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35A5E" w:rsidRPr="00C35A5E" w:rsidP="00C35A5E" w14:paraId="296C0F9C" w14:textId="63E45771">
      <w:pPr>
        <w:widowControl/>
        <w:tabs>
          <w:tab w:val="center" w:pos="4680"/>
          <w:tab w:val="right" w:pos="9360"/>
        </w:tabs>
        <w:rPr>
          <w:rFonts w:ascii="Times New Roman Bold" w:hAnsi="Times New Roman Bold"/>
          <w:szCs w:val="22"/>
        </w:rPr>
        <w:sectPr w:rsidSect="00C84E1D">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2880" w:footer="720" w:gutter="0"/>
          <w:pgNumType w:start="1"/>
          <w:cols w:space="720"/>
          <w:noEndnote/>
          <w:titlePg/>
          <w:docGrid w:linePitch="299"/>
        </w:sectPr>
      </w:pPr>
      <w:r>
        <w:rPr>
          <w:rFonts w:ascii="Times New Roman Bold" w:hAnsi="Times New Roman Bold"/>
          <w:b/>
          <w:kern w:val="0"/>
          <w:szCs w:val="22"/>
        </w:rPr>
        <w:tab/>
      </w:r>
    </w:p>
    <w:p w:rsidR="00C37DD6" w:rsidRPr="00C37DD6" w:rsidP="001B4D1C" w14:paraId="319FA293" w14:textId="0CFF5CF2">
      <w:pPr>
        <w:widowControl/>
        <w:jc w:val="right"/>
        <w:rPr>
          <w:b/>
          <w:bCs/>
          <w:szCs w:val="22"/>
        </w:rPr>
      </w:pPr>
      <w:r w:rsidRPr="00C37DD6">
        <w:rPr>
          <w:b/>
          <w:bCs/>
          <w:szCs w:val="22"/>
        </w:rPr>
        <w:t>DA 20-</w:t>
      </w:r>
      <w:r w:rsidR="002071D9">
        <w:rPr>
          <w:b/>
          <w:bCs/>
          <w:szCs w:val="22"/>
        </w:rPr>
        <w:t>143</w:t>
      </w:r>
    </w:p>
    <w:p w:rsidR="00C37DD6" w:rsidRPr="00C37DD6" w:rsidP="001B4D1C" w14:paraId="542C9F24" w14:textId="407D143C">
      <w:pPr>
        <w:widowControl/>
        <w:jc w:val="right"/>
        <w:rPr>
          <w:b/>
          <w:bCs/>
          <w:szCs w:val="22"/>
        </w:rPr>
      </w:pPr>
      <w:r w:rsidRPr="00C37DD6">
        <w:rPr>
          <w:b/>
          <w:bCs/>
          <w:szCs w:val="22"/>
        </w:rPr>
        <w:t xml:space="preserve">Released:  </w:t>
      </w:r>
      <w:r w:rsidR="002A7670">
        <w:rPr>
          <w:b/>
          <w:bCs/>
          <w:szCs w:val="22"/>
        </w:rPr>
        <w:t>Febru</w:t>
      </w:r>
      <w:r w:rsidRPr="00C37DD6" w:rsidR="002A7670">
        <w:rPr>
          <w:b/>
          <w:bCs/>
          <w:szCs w:val="22"/>
        </w:rPr>
        <w:t xml:space="preserve">ary </w:t>
      </w:r>
      <w:r w:rsidR="001F2714">
        <w:rPr>
          <w:b/>
          <w:bCs/>
          <w:szCs w:val="22"/>
        </w:rPr>
        <w:t>1</w:t>
      </w:r>
      <w:r w:rsidR="006430C5">
        <w:rPr>
          <w:b/>
          <w:bCs/>
          <w:szCs w:val="22"/>
        </w:rPr>
        <w:t>2</w:t>
      </w:r>
      <w:r w:rsidRPr="00C37DD6">
        <w:rPr>
          <w:b/>
          <w:bCs/>
          <w:szCs w:val="22"/>
        </w:rPr>
        <w:t>, 2020</w:t>
      </w:r>
    </w:p>
    <w:p w:rsidR="00C37DD6" w:rsidRPr="00C37DD6" w:rsidP="001B4D1C" w14:paraId="4EE21BB1" w14:textId="77777777">
      <w:pPr>
        <w:widowControl/>
        <w:rPr>
          <w:szCs w:val="22"/>
        </w:rPr>
      </w:pPr>
    </w:p>
    <w:p w:rsidR="00C37DD6" w:rsidP="001B4D1C" w14:paraId="534D398E" w14:textId="77777777">
      <w:pPr>
        <w:widowControl/>
        <w:jc w:val="center"/>
        <w:rPr>
          <w:b/>
          <w:sz w:val="24"/>
          <w:szCs w:val="24"/>
        </w:rPr>
      </w:pPr>
      <w:r w:rsidRPr="00C37DD6">
        <w:rPr>
          <w:b/>
          <w:sz w:val="24"/>
          <w:szCs w:val="24"/>
        </w:rPr>
        <w:t>WIRELESS TELECOMMUNICATIONS BUREAU SEEKS COMMENT ON REVISIONS TO FORMS 620 AND 621</w:t>
      </w:r>
    </w:p>
    <w:p w:rsidR="00C37DD6" w:rsidRPr="00C37DD6" w:rsidP="001B4D1C" w14:paraId="54A5D7C6" w14:textId="77777777">
      <w:pPr>
        <w:widowControl/>
        <w:jc w:val="center"/>
        <w:rPr>
          <w:b/>
          <w:sz w:val="24"/>
          <w:szCs w:val="24"/>
        </w:rPr>
      </w:pPr>
    </w:p>
    <w:p w:rsidR="00C37DD6" w:rsidRPr="00C37DD6" w:rsidP="001B4D1C" w14:paraId="7953A2F0" w14:textId="45A32B48">
      <w:pPr>
        <w:widowControl/>
        <w:jc w:val="center"/>
        <w:rPr>
          <w:b/>
          <w:sz w:val="24"/>
          <w:szCs w:val="24"/>
        </w:rPr>
      </w:pPr>
      <w:r w:rsidRPr="00C37DD6">
        <w:rPr>
          <w:b/>
          <w:sz w:val="24"/>
          <w:szCs w:val="24"/>
        </w:rPr>
        <w:t>WT Docket No. 20-</w:t>
      </w:r>
      <w:r w:rsidR="001F2714">
        <w:rPr>
          <w:b/>
          <w:sz w:val="24"/>
          <w:szCs w:val="24"/>
        </w:rPr>
        <w:t>39</w:t>
      </w:r>
      <w:bookmarkStart w:id="1" w:name="_GoBack"/>
      <w:bookmarkEnd w:id="1"/>
    </w:p>
    <w:p w:rsidR="00C37DD6" w:rsidRPr="00C37DD6" w:rsidP="001B4D1C" w14:paraId="189ED37E" w14:textId="77777777">
      <w:pPr>
        <w:widowControl/>
        <w:rPr>
          <w:szCs w:val="22"/>
        </w:rPr>
      </w:pPr>
    </w:p>
    <w:p w:rsidR="00C37DD6" w:rsidRPr="00C37DD6" w:rsidP="001B4D1C" w14:paraId="20243775" w14:textId="16BD64F7">
      <w:pPr>
        <w:widowControl/>
        <w:rPr>
          <w:b/>
          <w:bCs/>
          <w:szCs w:val="22"/>
        </w:rPr>
      </w:pPr>
      <w:r w:rsidRPr="00C37DD6">
        <w:rPr>
          <w:b/>
          <w:bCs/>
          <w:szCs w:val="22"/>
        </w:rPr>
        <w:t xml:space="preserve">Comment Date: </w:t>
      </w:r>
      <w:r w:rsidR="009C5EEB">
        <w:rPr>
          <w:b/>
          <w:bCs/>
          <w:szCs w:val="22"/>
        </w:rPr>
        <w:t>March 1</w:t>
      </w:r>
      <w:r w:rsidR="006430C5">
        <w:rPr>
          <w:b/>
          <w:bCs/>
          <w:szCs w:val="22"/>
        </w:rPr>
        <w:t>3</w:t>
      </w:r>
      <w:r w:rsidR="009C5EEB">
        <w:rPr>
          <w:b/>
          <w:bCs/>
          <w:szCs w:val="22"/>
        </w:rPr>
        <w:t xml:space="preserve">, 2020 </w:t>
      </w:r>
    </w:p>
    <w:p w:rsidR="00C37DD6" w:rsidP="001B4D1C" w14:paraId="74E8A21E" w14:textId="2A25BBC7">
      <w:pPr>
        <w:widowControl/>
        <w:rPr>
          <w:b/>
          <w:bCs/>
          <w:szCs w:val="22"/>
        </w:rPr>
      </w:pPr>
      <w:r w:rsidRPr="00C37DD6">
        <w:rPr>
          <w:b/>
          <w:bCs/>
          <w:szCs w:val="22"/>
        </w:rPr>
        <w:t xml:space="preserve">Reply Comment Date: </w:t>
      </w:r>
      <w:r w:rsidR="009C5EEB">
        <w:rPr>
          <w:b/>
          <w:bCs/>
          <w:szCs w:val="22"/>
        </w:rPr>
        <w:t>March 2</w:t>
      </w:r>
      <w:r w:rsidR="006430C5">
        <w:rPr>
          <w:b/>
          <w:bCs/>
          <w:szCs w:val="22"/>
        </w:rPr>
        <w:t>8</w:t>
      </w:r>
      <w:r w:rsidR="009C5EEB">
        <w:rPr>
          <w:b/>
          <w:bCs/>
          <w:szCs w:val="22"/>
        </w:rPr>
        <w:t>, 2020</w:t>
      </w:r>
    </w:p>
    <w:p w:rsidR="009C5EEB" w:rsidRPr="00C37DD6" w:rsidP="001B4D1C" w14:paraId="1838B307" w14:textId="77777777">
      <w:pPr>
        <w:widowControl/>
        <w:rPr>
          <w:b/>
          <w:bCs/>
          <w:szCs w:val="22"/>
        </w:rPr>
      </w:pPr>
    </w:p>
    <w:p w:rsidR="00D212AA" w:rsidP="00D212AA" w14:paraId="1BA05BE0" w14:textId="646B330A">
      <w:pPr>
        <w:widowControl/>
        <w:spacing w:after="120"/>
        <w:rPr>
          <w:szCs w:val="22"/>
        </w:rPr>
      </w:pPr>
      <w:r w:rsidRPr="00C37DD6">
        <w:rPr>
          <w:szCs w:val="22"/>
        </w:rPr>
        <w:tab/>
        <w:t xml:space="preserve">With this Public Notice, the Wireless Telecommunications Bureau (WTB) seeks comment on </w:t>
      </w:r>
      <w:r>
        <w:rPr>
          <w:szCs w:val="22"/>
        </w:rPr>
        <w:t xml:space="preserve">ways to improve </w:t>
      </w:r>
      <w:r w:rsidRPr="00C37DD6">
        <w:rPr>
          <w:szCs w:val="22"/>
        </w:rPr>
        <w:t>FCC Forms 620 and 621</w:t>
      </w:r>
      <w:r>
        <w:rPr>
          <w:szCs w:val="22"/>
        </w:rPr>
        <w:t>, which</w:t>
      </w:r>
      <w:r w:rsidRPr="00C37DD6">
        <w:rPr>
          <w:szCs w:val="22"/>
        </w:rPr>
        <w:t xml:space="preserve"> </w:t>
      </w:r>
      <w:r>
        <w:rPr>
          <w:szCs w:val="22"/>
        </w:rPr>
        <w:t xml:space="preserve">are used to notify </w:t>
      </w:r>
      <w:r w:rsidRPr="00C37DD6">
        <w:rPr>
          <w:szCs w:val="22"/>
        </w:rPr>
        <w:t>State Historic Preservation Office</w:t>
      </w:r>
      <w:r w:rsidR="00D10BA4">
        <w:rPr>
          <w:szCs w:val="22"/>
        </w:rPr>
        <w:t>r</w:t>
      </w:r>
      <w:r w:rsidRPr="00C37DD6">
        <w:rPr>
          <w:szCs w:val="22"/>
        </w:rPr>
        <w:t xml:space="preserve">s (SHPOs), </w:t>
      </w:r>
      <w:r w:rsidR="0029389D">
        <w:rPr>
          <w:szCs w:val="22"/>
        </w:rPr>
        <w:t xml:space="preserve">Tribal Historic Preservation Officers (THPOs), other officials of </w:t>
      </w:r>
      <w:r w:rsidRPr="00C37DD6">
        <w:rPr>
          <w:szCs w:val="22"/>
        </w:rPr>
        <w:t>Tribal Nations</w:t>
      </w:r>
      <w:r w:rsidR="0098465A">
        <w:rPr>
          <w:szCs w:val="22"/>
        </w:rPr>
        <w:t>,</w:t>
      </w:r>
      <w:r w:rsidRPr="00C37DD6">
        <w:rPr>
          <w:szCs w:val="22"/>
        </w:rPr>
        <w:t xml:space="preserve"> </w:t>
      </w:r>
      <w:r>
        <w:rPr>
          <w:szCs w:val="22"/>
        </w:rPr>
        <w:t xml:space="preserve">and </w:t>
      </w:r>
      <w:r w:rsidRPr="00C37DD6">
        <w:rPr>
          <w:szCs w:val="22"/>
        </w:rPr>
        <w:t>Native Hawaiian Organizations</w:t>
      </w:r>
      <w:r>
        <w:rPr>
          <w:szCs w:val="22"/>
        </w:rPr>
        <w:t xml:space="preserve"> (NHOs) </w:t>
      </w:r>
      <w:r w:rsidR="00731031">
        <w:rPr>
          <w:szCs w:val="22"/>
        </w:rPr>
        <w:t xml:space="preserve">(collectively, Reviewers) </w:t>
      </w:r>
      <w:r>
        <w:rPr>
          <w:szCs w:val="22"/>
        </w:rPr>
        <w:t>of certain proposed wireless infrastructure projects</w:t>
      </w:r>
      <w:r w:rsidR="0098465A">
        <w:rPr>
          <w:szCs w:val="22"/>
        </w:rPr>
        <w:t xml:space="preserve">.  The information provided with these forms enables Reviewers and the Commission </w:t>
      </w:r>
      <w:r>
        <w:rPr>
          <w:szCs w:val="22"/>
        </w:rPr>
        <w:t xml:space="preserve">to assess the </w:t>
      </w:r>
      <w:r w:rsidRPr="00C37DD6">
        <w:rPr>
          <w:szCs w:val="22"/>
        </w:rPr>
        <w:t xml:space="preserve">potential </w:t>
      </w:r>
      <w:r>
        <w:rPr>
          <w:szCs w:val="22"/>
        </w:rPr>
        <w:t xml:space="preserve">effects of those projects </w:t>
      </w:r>
      <w:r w:rsidRPr="00C37DD6">
        <w:rPr>
          <w:szCs w:val="22"/>
        </w:rPr>
        <w:t>on historic properties</w:t>
      </w:r>
      <w:r>
        <w:rPr>
          <w:szCs w:val="22"/>
        </w:rPr>
        <w:t>, as required by</w:t>
      </w:r>
      <w:r w:rsidRPr="00C37DD6">
        <w:rPr>
          <w:szCs w:val="22"/>
        </w:rPr>
        <w:t xml:space="preserve"> Section 106 of the National Historic Preservation Act (NHPA).</w:t>
      </w:r>
      <w:r>
        <w:rPr>
          <w:rStyle w:val="FootnoteReference"/>
          <w:szCs w:val="22"/>
        </w:rPr>
        <w:footnoteReference w:id="3"/>
      </w:r>
      <w:r>
        <w:rPr>
          <w:szCs w:val="22"/>
        </w:rPr>
        <w:t xml:space="preserve"> </w:t>
      </w:r>
    </w:p>
    <w:p w:rsidR="00D212AA" w:rsidP="00D212AA" w14:paraId="71F16754" w14:textId="3854085F">
      <w:pPr>
        <w:widowControl/>
        <w:spacing w:after="120"/>
        <w:ind w:firstLine="720"/>
        <w:rPr>
          <w:szCs w:val="22"/>
        </w:rPr>
      </w:pPr>
      <w:r>
        <w:rPr>
          <w:szCs w:val="22"/>
        </w:rPr>
        <w:t xml:space="preserve">Forms 620 and 621 have not been </w:t>
      </w:r>
      <w:r w:rsidR="0029389D">
        <w:rPr>
          <w:szCs w:val="22"/>
        </w:rPr>
        <w:t xml:space="preserve">substantially </w:t>
      </w:r>
      <w:r>
        <w:rPr>
          <w:szCs w:val="22"/>
        </w:rPr>
        <w:t>revised since they were created in 2004.</w:t>
      </w:r>
      <w:r>
        <w:rPr>
          <w:rStyle w:val="FootnoteReference"/>
          <w:szCs w:val="22"/>
        </w:rPr>
        <w:footnoteReference w:id="4"/>
      </w:r>
      <w:r>
        <w:rPr>
          <w:szCs w:val="22"/>
        </w:rPr>
        <w:t xml:space="preserve">  In light of technological and regulatory changes since then, as well as many years of experience using the forms, we believe it should be possible to make them easier to complete and to review without impeding their underlying purpose.</w:t>
      </w:r>
      <w:r w:rsidRPr="0062687A">
        <w:rPr>
          <w:rStyle w:val="FootnoteReference"/>
          <w:szCs w:val="22"/>
        </w:rPr>
        <w:t xml:space="preserve"> </w:t>
      </w:r>
      <w:r>
        <w:rPr>
          <w:rStyle w:val="FootnoteReference"/>
          <w:szCs w:val="22"/>
        </w:rPr>
        <w:footnoteReference w:id="5"/>
      </w:r>
      <w:r>
        <w:rPr>
          <w:szCs w:val="22"/>
        </w:rPr>
        <w:t xml:space="preserve">  Clarifications to the instructions for the forms </w:t>
      </w:r>
      <w:r w:rsidR="00731031">
        <w:rPr>
          <w:szCs w:val="22"/>
        </w:rPr>
        <w:t xml:space="preserve">also </w:t>
      </w:r>
      <w:r>
        <w:rPr>
          <w:szCs w:val="22"/>
        </w:rPr>
        <w:t xml:space="preserve">may be useful.  </w:t>
      </w:r>
    </w:p>
    <w:p w:rsidR="00CF1BA1" w:rsidP="00B529FB" w14:paraId="1FC20ECE" w14:textId="3C577807">
      <w:pPr>
        <w:widowControl/>
        <w:spacing w:after="120"/>
        <w:rPr>
          <w:szCs w:val="22"/>
        </w:rPr>
      </w:pPr>
      <w:r>
        <w:rPr>
          <w:szCs w:val="22"/>
        </w:rPr>
        <w:tab/>
      </w:r>
      <w:r w:rsidR="00384AAD">
        <w:t>Form 620 is used for proposed new towers; Form 621 is used for proposed collocations on existing structures.  These f</w:t>
      </w:r>
      <w:r w:rsidR="002C32AB">
        <w:rPr>
          <w:szCs w:val="22"/>
        </w:rPr>
        <w:t xml:space="preserve">orms and the instructions </w:t>
      </w:r>
      <w:r w:rsidR="001B0041">
        <w:rPr>
          <w:szCs w:val="22"/>
        </w:rPr>
        <w:t xml:space="preserve">accompanying </w:t>
      </w:r>
      <w:r w:rsidR="00384AAD">
        <w:rPr>
          <w:szCs w:val="22"/>
        </w:rPr>
        <w:t xml:space="preserve">them </w:t>
      </w:r>
      <w:r w:rsidR="002C32AB">
        <w:rPr>
          <w:szCs w:val="22"/>
        </w:rPr>
        <w:t>require applicant</w:t>
      </w:r>
      <w:r w:rsidR="00384AAD">
        <w:rPr>
          <w:szCs w:val="22"/>
        </w:rPr>
        <w:t>s</w:t>
      </w:r>
      <w:r w:rsidR="002C32AB">
        <w:rPr>
          <w:szCs w:val="22"/>
        </w:rPr>
        <w:t xml:space="preserve"> to submit information</w:t>
      </w:r>
      <w:r w:rsidR="00B529FB">
        <w:rPr>
          <w:szCs w:val="22"/>
        </w:rPr>
        <w:t xml:space="preserve"> </w:t>
      </w:r>
      <w:r w:rsidR="001C16DB">
        <w:rPr>
          <w:szCs w:val="22"/>
        </w:rPr>
        <w:t xml:space="preserve">that is required by the </w:t>
      </w:r>
      <w:r w:rsidRPr="0034506E">
        <w:rPr>
          <w:i/>
          <w:iCs/>
          <w:szCs w:val="22"/>
        </w:rPr>
        <w:t xml:space="preserve">Wireless Facilities </w:t>
      </w:r>
      <w:r w:rsidRPr="0034506E" w:rsidR="001C16DB">
        <w:rPr>
          <w:i/>
          <w:iCs/>
          <w:szCs w:val="22"/>
        </w:rPr>
        <w:t>NPA</w:t>
      </w:r>
      <w:r w:rsidR="001C16DB">
        <w:rPr>
          <w:szCs w:val="22"/>
        </w:rPr>
        <w:t xml:space="preserve"> for</w:t>
      </w:r>
      <w:r w:rsidR="00B529FB">
        <w:rPr>
          <w:szCs w:val="22"/>
        </w:rPr>
        <w:t xml:space="preserve"> each proposed new tower or collocation.  </w:t>
      </w:r>
      <w:r w:rsidR="004B66AA">
        <w:rPr>
          <w:szCs w:val="22"/>
        </w:rPr>
        <w:t xml:space="preserve">We seek comment on whether </w:t>
      </w:r>
      <w:r w:rsidR="00225049">
        <w:rPr>
          <w:szCs w:val="22"/>
        </w:rPr>
        <w:t xml:space="preserve">to modify </w:t>
      </w:r>
      <w:r>
        <w:rPr>
          <w:szCs w:val="22"/>
        </w:rPr>
        <w:t xml:space="preserve">any of </w:t>
      </w:r>
      <w:r w:rsidR="004B66AA">
        <w:rPr>
          <w:szCs w:val="22"/>
        </w:rPr>
        <w:t xml:space="preserve">the </w:t>
      </w:r>
      <w:r w:rsidR="009E7412">
        <w:rPr>
          <w:szCs w:val="22"/>
        </w:rPr>
        <w:t xml:space="preserve">forms’ </w:t>
      </w:r>
      <w:r w:rsidR="00C101B1">
        <w:rPr>
          <w:szCs w:val="22"/>
        </w:rPr>
        <w:t>organization</w:t>
      </w:r>
      <w:r w:rsidR="002322E1">
        <w:rPr>
          <w:szCs w:val="22"/>
        </w:rPr>
        <w:t>, format (including format for downloading or printing out forms),</w:t>
      </w:r>
      <w:r w:rsidR="00C101B1">
        <w:rPr>
          <w:szCs w:val="22"/>
        </w:rPr>
        <w:t xml:space="preserve"> or </w:t>
      </w:r>
      <w:r w:rsidR="00410258">
        <w:rPr>
          <w:szCs w:val="22"/>
        </w:rPr>
        <w:t xml:space="preserve">instructions (including </w:t>
      </w:r>
      <w:r>
        <w:rPr>
          <w:szCs w:val="22"/>
        </w:rPr>
        <w:t xml:space="preserve">specifications of required </w:t>
      </w:r>
      <w:r w:rsidR="001C16DB">
        <w:rPr>
          <w:szCs w:val="22"/>
        </w:rPr>
        <w:t>attachments</w:t>
      </w:r>
      <w:r w:rsidR="00410258">
        <w:rPr>
          <w:szCs w:val="22"/>
        </w:rPr>
        <w:t>)</w:t>
      </w:r>
      <w:r w:rsidR="004B66AA">
        <w:rPr>
          <w:szCs w:val="22"/>
        </w:rPr>
        <w:t xml:space="preserve">.  </w:t>
      </w:r>
      <w:r>
        <w:rPr>
          <w:szCs w:val="22"/>
        </w:rPr>
        <w:t xml:space="preserve">We </w:t>
      </w:r>
      <w:r w:rsidR="002322E1">
        <w:rPr>
          <w:szCs w:val="22"/>
        </w:rPr>
        <w:t xml:space="preserve">also </w:t>
      </w:r>
      <w:r>
        <w:rPr>
          <w:szCs w:val="22"/>
        </w:rPr>
        <w:t xml:space="preserve">invite commenters to address </w:t>
      </w:r>
      <w:r w:rsidR="001C16DB">
        <w:rPr>
          <w:szCs w:val="22"/>
        </w:rPr>
        <w:t xml:space="preserve">potential changes that might </w:t>
      </w:r>
      <w:r>
        <w:rPr>
          <w:szCs w:val="22"/>
        </w:rPr>
        <w:t xml:space="preserve">make </w:t>
      </w:r>
      <w:r w:rsidR="001C16DB">
        <w:rPr>
          <w:szCs w:val="22"/>
        </w:rPr>
        <w:t xml:space="preserve">the forms </w:t>
      </w:r>
      <w:r>
        <w:rPr>
          <w:szCs w:val="22"/>
        </w:rPr>
        <w:t xml:space="preserve">or attachments more </w:t>
      </w:r>
      <w:r w:rsidR="00656765">
        <w:rPr>
          <w:szCs w:val="22"/>
        </w:rPr>
        <w:t>suitab</w:t>
      </w:r>
      <w:r>
        <w:rPr>
          <w:szCs w:val="22"/>
        </w:rPr>
        <w:t>le</w:t>
      </w:r>
      <w:r w:rsidR="00656765">
        <w:rPr>
          <w:szCs w:val="22"/>
        </w:rPr>
        <w:t xml:space="preserve"> for reviews of </w:t>
      </w:r>
      <w:r w:rsidR="001B0041">
        <w:rPr>
          <w:szCs w:val="22"/>
        </w:rPr>
        <w:t xml:space="preserve">small cell facilities being deployed in connection with </w:t>
      </w:r>
      <w:r w:rsidR="0001201A">
        <w:rPr>
          <w:szCs w:val="22"/>
        </w:rPr>
        <w:t xml:space="preserve">the introduction of </w:t>
      </w:r>
      <w:r w:rsidR="001B0041">
        <w:rPr>
          <w:szCs w:val="22"/>
        </w:rPr>
        <w:t xml:space="preserve">5G </w:t>
      </w:r>
      <w:r w:rsidR="0001201A">
        <w:rPr>
          <w:szCs w:val="22"/>
        </w:rPr>
        <w:t>technologies and services</w:t>
      </w:r>
      <w:r>
        <w:rPr>
          <w:szCs w:val="22"/>
        </w:rPr>
        <w:t>.</w:t>
      </w:r>
      <w:r>
        <w:rPr>
          <w:rStyle w:val="FootnoteReference"/>
          <w:szCs w:val="22"/>
        </w:rPr>
        <w:footnoteReference w:id="6"/>
      </w:r>
      <w:r w:rsidR="001B0041">
        <w:rPr>
          <w:szCs w:val="22"/>
        </w:rPr>
        <w:t xml:space="preserve"> </w:t>
      </w:r>
    </w:p>
    <w:p w:rsidR="00B529FB" w:rsidP="00B529FB" w14:paraId="479B6352" w14:textId="72FA86BD">
      <w:pPr>
        <w:widowControl/>
        <w:spacing w:after="120"/>
        <w:rPr>
          <w:szCs w:val="22"/>
        </w:rPr>
      </w:pPr>
      <w:r>
        <w:rPr>
          <w:szCs w:val="22"/>
        </w:rPr>
        <w:tab/>
        <w:t xml:space="preserve">In particular, we </w:t>
      </w:r>
      <w:r w:rsidR="00D10BA4">
        <w:rPr>
          <w:szCs w:val="22"/>
        </w:rPr>
        <w:t>s</w:t>
      </w:r>
      <w:r>
        <w:rPr>
          <w:szCs w:val="22"/>
        </w:rPr>
        <w:t xml:space="preserve">eek comment on whether the review process could be improved by </w:t>
      </w:r>
      <w:r w:rsidR="00656765">
        <w:rPr>
          <w:szCs w:val="22"/>
        </w:rPr>
        <w:t>modif</w:t>
      </w:r>
      <w:r w:rsidR="00AE23B2">
        <w:rPr>
          <w:szCs w:val="22"/>
        </w:rPr>
        <w:t xml:space="preserve">ying </w:t>
      </w:r>
      <w:r w:rsidR="00656765">
        <w:rPr>
          <w:szCs w:val="22"/>
        </w:rPr>
        <w:t>the format or instructions associated with the following sections</w:t>
      </w:r>
      <w:r w:rsidR="00AE23B2">
        <w:rPr>
          <w:szCs w:val="22"/>
        </w:rPr>
        <w:t xml:space="preserve"> of the forms</w:t>
      </w:r>
      <w:r w:rsidR="00DC0EE5">
        <w:rPr>
          <w:szCs w:val="22"/>
        </w:rPr>
        <w:t>:</w:t>
      </w:r>
      <w:r>
        <w:rPr>
          <w:rStyle w:val="FootnoteReference"/>
          <w:szCs w:val="22"/>
        </w:rPr>
        <w:footnoteReference w:id="7"/>
      </w:r>
      <w:r w:rsidR="00DC0EE5">
        <w:rPr>
          <w:szCs w:val="22"/>
        </w:rPr>
        <w:t xml:space="preserve">   </w:t>
      </w:r>
      <w:r w:rsidR="001B0041">
        <w:rPr>
          <w:szCs w:val="22"/>
        </w:rPr>
        <w:t xml:space="preserve"> </w:t>
      </w:r>
    </w:p>
    <w:p w:rsidR="00F403AE" w:rsidP="00F403AE" w14:paraId="2F3E0965" w14:textId="1AEA2D3F">
      <w:pPr>
        <w:widowControl/>
        <w:numPr>
          <w:ilvl w:val="0"/>
          <w:numId w:val="9"/>
        </w:numPr>
        <w:spacing w:after="120"/>
        <w:ind w:left="360"/>
        <w:rPr>
          <w:szCs w:val="22"/>
        </w:rPr>
      </w:pPr>
      <w:r>
        <w:rPr>
          <w:i/>
          <w:iCs/>
          <w:szCs w:val="22"/>
        </w:rPr>
        <w:t xml:space="preserve">Identification of Applicant and Consultant.  </w:t>
      </w:r>
      <w:r>
        <w:rPr>
          <w:szCs w:val="22"/>
        </w:rPr>
        <w:t xml:space="preserve">For both Forms 620 and 621, </w:t>
      </w:r>
      <w:r w:rsidR="00B529FB">
        <w:rPr>
          <w:szCs w:val="22"/>
        </w:rPr>
        <w:t>the applicant must identify contact information for a responsible individual within the company</w:t>
      </w:r>
      <w:r>
        <w:rPr>
          <w:szCs w:val="22"/>
        </w:rPr>
        <w:t xml:space="preserve"> </w:t>
      </w:r>
      <w:r w:rsidR="001B0041">
        <w:rPr>
          <w:szCs w:val="22"/>
        </w:rPr>
        <w:t xml:space="preserve">and the principal investigator </w:t>
      </w:r>
      <w:r>
        <w:rPr>
          <w:szCs w:val="22"/>
        </w:rPr>
        <w:t xml:space="preserve">within the consulting firm </w:t>
      </w:r>
      <w:r w:rsidR="001B0041">
        <w:rPr>
          <w:szCs w:val="22"/>
        </w:rPr>
        <w:t xml:space="preserve">conducting </w:t>
      </w:r>
      <w:r w:rsidR="00B529FB">
        <w:rPr>
          <w:szCs w:val="22"/>
        </w:rPr>
        <w:t>the historic</w:t>
      </w:r>
      <w:r>
        <w:rPr>
          <w:szCs w:val="22"/>
        </w:rPr>
        <w:t>-preservation</w:t>
      </w:r>
      <w:r w:rsidR="00B529FB">
        <w:rPr>
          <w:szCs w:val="22"/>
        </w:rPr>
        <w:t xml:space="preserve"> review</w:t>
      </w:r>
      <w:r>
        <w:rPr>
          <w:szCs w:val="22"/>
        </w:rPr>
        <w:t xml:space="preserve">.  The applicant also must submit detailed information about the </w:t>
      </w:r>
      <w:r w:rsidR="00B529FB">
        <w:rPr>
          <w:szCs w:val="22"/>
        </w:rPr>
        <w:t>professional qualifications of each staff member who participated in the analysis.</w:t>
      </w:r>
      <w:r w:rsidR="00576DEF">
        <w:rPr>
          <w:szCs w:val="22"/>
        </w:rPr>
        <w:t xml:space="preserve"> </w:t>
      </w:r>
      <w:r w:rsidR="008208E4">
        <w:rPr>
          <w:szCs w:val="22"/>
        </w:rPr>
        <w:t xml:space="preserve"> </w:t>
      </w:r>
      <w:r w:rsidR="00576DEF">
        <w:rPr>
          <w:szCs w:val="22"/>
        </w:rPr>
        <w:t>What level of detail is sufficient</w:t>
      </w:r>
      <w:r w:rsidR="009071B6">
        <w:rPr>
          <w:szCs w:val="22"/>
        </w:rPr>
        <w:t xml:space="preserve"> to validate qualifications</w:t>
      </w:r>
      <w:r w:rsidR="00576DEF">
        <w:rPr>
          <w:szCs w:val="22"/>
        </w:rPr>
        <w:t xml:space="preserve">? </w:t>
      </w:r>
      <w:r w:rsidR="008208E4">
        <w:rPr>
          <w:szCs w:val="22"/>
        </w:rPr>
        <w:t xml:space="preserve"> </w:t>
      </w:r>
      <w:r w:rsidR="00576DEF">
        <w:rPr>
          <w:szCs w:val="22"/>
        </w:rPr>
        <w:t xml:space="preserve">Is a full resume necessary or </w:t>
      </w:r>
      <w:r w:rsidR="009B2094">
        <w:rPr>
          <w:szCs w:val="22"/>
        </w:rPr>
        <w:t>is</w:t>
      </w:r>
      <w:r w:rsidR="00576DEF">
        <w:rPr>
          <w:szCs w:val="22"/>
        </w:rPr>
        <w:t xml:space="preserve"> abbreviated information within the form itself</w:t>
      </w:r>
      <w:r w:rsidR="009B2094">
        <w:rPr>
          <w:szCs w:val="22"/>
        </w:rPr>
        <w:t xml:space="preserve"> sufficient</w:t>
      </w:r>
      <w:r w:rsidR="00576DEF">
        <w:rPr>
          <w:szCs w:val="22"/>
        </w:rPr>
        <w:t>?</w:t>
      </w:r>
      <w:r w:rsidR="00B529FB">
        <w:rPr>
          <w:szCs w:val="22"/>
        </w:rPr>
        <w:t xml:space="preserve">  </w:t>
      </w:r>
    </w:p>
    <w:p w:rsidR="00657FE5" w:rsidP="00F403AE" w14:paraId="79FB41E7" w14:textId="03EE424A">
      <w:pPr>
        <w:widowControl/>
        <w:numPr>
          <w:ilvl w:val="0"/>
          <w:numId w:val="9"/>
        </w:numPr>
        <w:spacing w:after="120"/>
        <w:ind w:left="360"/>
        <w:rPr>
          <w:szCs w:val="22"/>
        </w:rPr>
      </w:pPr>
      <w:r>
        <w:rPr>
          <w:i/>
          <w:iCs/>
          <w:szCs w:val="22"/>
        </w:rPr>
        <w:t xml:space="preserve">Site Location.  </w:t>
      </w:r>
      <w:r>
        <w:rPr>
          <w:szCs w:val="22"/>
        </w:rPr>
        <w:t xml:space="preserve">An applicant </w:t>
      </w:r>
      <w:r w:rsidR="00B529FB">
        <w:rPr>
          <w:szCs w:val="22"/>
        </w:rPr>
        <w:t>must i</w:t>
      </w:r>
      <w:r w:rsidR="002C32AB">
        <w:rPr>
          <w:szCs w:val="22"/>
        </w:rPr>
        <w:t>dentify the location of the proposed deployment with specificity (including the street address, crossroads, and latitude/longitude coordinates)</w:t>
      </w:r>
      <w:r>
        <w:rPr>
          <w:szCs w:val="22"/>
        </w:rPr>
        <w:t xml:space="preserve">, submit maps in various formats, provide additional site information </w:t>
      </w:r>
      <w:r w:rsidR="001B0041">
        <w:rPr>
          <w:szCs w:val="22"/>
        </w:rPr>
        <w:t>(</w:t>
      </w:r>
      <w:r>
        <w:rPr>
          <w:szCs w:val="22"/>
        </w:rPr>
        <w:t>including additional structures, access roads, utility lines, fences, easements, or other construction planned for the site in conjunction with the proposed deployment</w:t>
      </w:r>
      <w:r w:rsidR="001B0041">
        <w:rPr>
          <w:szCs w:val="22"/>
        </w:rPr>
        <w:t>), and submit photographs of views in all directions</w:t>
      </w:r>
      <w:r w:rsidR="00D1558C">
        <w:rPr>
          <w:szCs w:val="22"/>
        </w:rPr>
        <w:t xml:space="preserve"> as well as aerial photographs of the Area of Potential Effects (APE)</w:t>
      </w:r>
      <w:r>
        <w:rPr>
          <w:szCs w:val="22"/>
        </w:rPr>
        <w:t>.</w:t>
      </w:r>
      <w:r w:rsidR="009B2094">
        <w:rPr>
          <w:szCs w:val="22"/>
        </w:rPr>
        <w:t xml:space="preserve"> </w:t>
      </w:r>
      <w:r w:rsidR="008208E4">
        <w:rPr>
          <w:szCs w:val="22"/>
        </w:rPr>
        <w:t xml:space="preserve"> </w:t>
      </w:r>
      <w:r w:rsidR="009B2094">
        <w:rPr>
          <w:szCs w:val="22"/>
        </w:rPr>
        <w:t xml:space="preserve">We invite </w:t>
      </w:r>
      <w:r w:rsidR="00897E81">
        <w:rPr>
          <w:szCs w:val="22"/>
        </w:rPr>
        <w:t xml:space="preserve">comment </w:t>
      </w:r>
      <w:r w:rsidR="009B2094">
        <w:rPr>
          <w:szCs w:val="22"/>
        </w:rPr>
        <w:t xml:space="preserve">on the quantity and quality of </w:t>
      </w:r>
      <w:r w:rsidR="00027B0E">
        <w:rPr>
          <w:szCs w:val="22"/>
        </w:rPr>
        <w:t>information necessary to identify proposed sites</w:t>
      </w:r>
      <w:r w:rsidR="009B2094">
        <w:rPr>
          <w:szCs w:val="22"/>
        </w:rPr>
        <w:t xml:space="preserve">, as well as the format in which materials are provided. </w:t>
      </w:r>
      <w:r w:rsidR="00524093">
        <w:rPr>
          <w:szCs w:val="22"/>
        </w:rPr>
        <w:t xml:space="preserve"> </w:t>
      </w:r>
      <w:r>
        <w:rPr>
          <w:szCs w:val="22"/>
        </w:rPr>
        <w:t xml:space="preserve">  </w:t>
      </w:r>
    </w:p>
    <w:p w:rsidR="00657FE5" w:rsidP="00F403AE" w14:paraId="371C2F6F" w14:textId="6671B958">
      <w:pPr>
        <w:widowControl/>
        <w:numPr>
          <w:ilvl w:val="0"/>
          <w:numId w:val="9"/>
        </w:numPr>
        <w:spacing w:after="120"/>
        <w:ind w:left="360"/>
        <w:rPr>
          <w:szCs w:val="22"/>
        </w:rPr>
      </w:pPr>
      <w:r>
        <w:rPr>
          <w:i/>
          <w:iCs/>
          <w:szCs w:val="22"/>
        </w:rPr>
        <w:t>Information About the Proposed Deployment</w:t>
      </w:r>
      <w:r>
        <w:rPr>
          <w:szCs w:val="22"/>
        </w:rPr>
        <w:t>:  Applicants must submit information about the height of the relevant tower or other structure, a description of the type and other features of the tower (for Form 620) or antennas or other equipment to be collocated (for Form 621), the date of construction of the structure on which collocated equipment is to be mounted (for Form 621), and the status of the project (for both forms).</w:t>
      </w:r>
      <w:r w:rsidR="00576DEF">
        <w:rPr>
          <w:szCs w:val="22"/>
        </w:rPr>
        <w:t xml:space="preserve"> </w:t>
      </w:r>
      <w:r w:rsidR="008208E4">
        <w:rPr>
          <w:szCs w:val="22"/>
        </w:rPr>
        <w:t xml:space="preserve"> </w:t>
      </w:r>
      <w:r w:rsidR="009B2094">
        <w:rPr>
          <w:szCs w:val="22"/>
        </w:rPr>
        <w:t xml:space="preserve">Do the forms and instructions currently </w:t>
      </w:r>
      <w:r w:rsidR="004700CB">
        <w:rPr>
          <w:szCs w:val="22"/>
        </w:rPr>
        <w:t xml:space="preserve">require (or </w:t>
      </w:r>
      <w:r w:rsidR="009B2094">
        <w:rPr>
          <w:szCs w:val="22"/>
        </w:rPr>
        <w:t>encourage</w:t>
      </w:r>
      <w:r w:rsidR="004700CB">
        <w:rPr>
          <w:szCs w:val="22"/>
        </w:rPr>
        <w:t>)</w:t>
      </w:r>
      <w:r w:rsidR="00576DEF">
        <w:rPr>
          <w:szCs w:val="22"/>
        </w:rPr>
        <w:t xml:space="preserve"> </w:t>
      </w:r>
      <w:r w:rsidR="009B2094">
        <w:rPr>
          <w:szCs w:val="22"/>
        </w:rPr>
        <w:t xml:space="preserve">the submittal of </w:t>
      </w:r>
      <w:r w:rsidR="00576DEF">
        <w:rPr>
          <w:szCs w:val="22"/>
        </w:rPr>
        <w:t>sufficient</w:t>
      </w:r>
      <w:r w:rsidR="009B2094">
        <w:rPr>
          <w:szCs w:val="22"/>
        </w:rPr>
        <w:t>ly detailed</w:t>
      </w:r>
      <w:r w:rsidR="00576DEF">
        <w:rPr>
          <w:szCs w:val="22"/>
        </w:rPr>
        <w:t xml:space="preserve"> project information</w:t>
      </w:r>
      <w:r w:rsidR="009B2094">
        <w:rPr>
          <w:szCs w:val="22"/>
        </w:rPr>
        <w:t>?</w:t>
      </w:r>
      <w:r w:rsidR="00576DEF">
        <w:rPr>
          <w:szCs w:val="22"/>
        </w:rPr>
        <w:t xml:space="preserve"> </w:t>
      </w:r>
      <w:r w:rsidR="008208E4">
        <w:rPr>
          <w:szCs w:val="22"/>
        </w:rPr>
        <w:t xml:space="preserve"> </w:t>
      </w:r>
      <w:r w:rsidR="009B2094">
        <w:rPr>
          <w:szCs w:val="22"/>
        </w:rPr>
        <w:t xml:space="preserve">Does </w:t>
      </w:r>
      <w:r w:rsidR="008208E4">
        <w:rPr>
          <w:szCs w:val="22"/>
        </w:rPr>
        <w:t xml:space="preserve">the </w:t>
      </w:r>
      <w:r w:rsidR="009B2094">
        <w:rPr>
          <w:szCs w:val="22"/>
        </w:rPr>
        <w:t>narrative d</w:t>
      </w:r>
      <w:r w:rsidR="00524093">
        <w:rPr>
          <w:szCs w:val="22"/>
        </w:rPr>
        <w:t xml:space="preserve">ocumentation </w:t>
      </w:r>
      <w:r w:rsidR="009B2094">
        <w:rPr>
          <w:szCs w:val="22"/>
        </w:rPr>
        <w:t xml:space="preserve">sufficiently </w:t>
      </w:r>
      <w:r w:rsidR="00576DEF">
        <w:rPr>
          <w:szCs w:val="22"/>
        </w:rPr>
        <w:t>expla</w:t>
      </w:r>
      <w:r w:rsidR="009B2094">
        <w:rPr>
          <w:szCs w:val="22"/>
        </w:rPr>
        <w:t>i</w:t>
      </w:r>
      <w:r w:rsidR="00576DEF">
        <w:rPr>
          <w:szCs w:val="22"/>
        </w:rPr>
        <w:t>n</w:t>
      </w:r>
      <w:r w:rsidR="009B2094">
        <w:rPr>
          <w:szCs w:val="22"/>
        </w:rPr>
        <w:t xml:space="preserve"> </w:t>
      </w:r>
      <w:r w:rsidR="00576DEF">
        <w:rPr>
          <w:szCs w:val="22"/>
        </w:rPr>
        <w:t>relevant technology and defin</w:t>
      </w:r>
      <w:r w:rsidR="009B2094">
        <w:rPr>
          <w:szCs w:val="22"/>
        </w:rPr>
        <w:t>e</w:t>
      </w:r>
      <w:r w:rsidR="00576DEF">
        <w:rPr>
          <w:szCs w:val="22"/>
        </w:rPr>
        <w:t xml:space="preserve"> acronyms</w:t>
      </w:r>
      <w:r w:rsidR="009B2094">
        <w:rPr>
          <w:szCs w:val="22"/>
        </w:rPr>
        <w:t>?</w:t>
      </w:r>
      <w:r w:rsidR="00576DEF">
        <w:rPr>
          <w:szCs w:val="22"/>
        </w:rPr>
        <w:t xml:space="preserve"> </w:t>
      </w:r>
    </w:p>
    <w:p w:rsidR="00B2471F" w:rsidP="00F403AE" w14:paraId="4F547A2F" w14:textId="4A389BC9">
      <w:pPr>
        <w:widowControl/>
        <w:numPr>
          <w:ilvl w:val="0"/>
          <w:numId w:val="9"/>
        </w:numPr>
        <w:spacing w:after="120"/>
        <w:ind w:left="360"/>
        <w:rPr>
          <w:szCs w:val="22"/>
        </w:rPr>
      </w:pPr>
      <w:r>
        <w:rPr>
          <w:i/>
          <w:iCs/>
          <w:szCs w:val="22"/>
        </w:rPr>
        <w:t>Information About Historic Properties</w:t>
      </w:r>
      <w:r>
        <w:rPr>
          <w:szCs w:val="22"/>
        </w:rPr>
        <w:t xml:space="preserve">.  </w:t>
      </w:r>
      <w:r w:rsidR="00D1558C">
        <w:rPr>
          <w:szCs w:val="22"/>
        </w:rPr>
        <w:t>Both forms generally require applicants to identify and describe all historic properties (</w:t>
      </w:r>
      <w:r w:rsidR="00D1558C">
        <w:rPr>
          <w:i/>
          <w:iCs/>
          <w:szCs w:val="22"/>
        </w:rPr>
        <w:t>i.e.</w:t>
      </w:r>
      <w:r w:rsidR="00D1558C">
        <w:rPr>
          <w:szCs w:val="22"/>
        </w:rPr>
        <w:t>, those listed or eligible to be listed in the National Register) within the proposed deployment’s relevant APEs, including archeological materials that would be directly affected by the proposed deployment and sites of cultural or religious significance to Tribal Nations or NHOs</w:t>
      </w:r>
      <w:r w:rsidR="00523FCC">
        <w:rPr>
          <w:szCs w:val="22"/>
        </w:rPr>
        <w:t xml:space="preserve">. </w:t>
      </w:r>
      <w:r w:rsidR="008208E4">
        <w:rPr>
          <w:szCs w:val="22"/>
        </w:rPr>
        <w:t xml:space="preserve"> </w:t>
      </w:r>
      <w:r w:rsidR="00523FCC">
        <w:rPr>
          <w:szCs w:val="22"/>
        </w:rPr>
        <w:t>I</w:t>
      </w:r>
      <w:r w:rsidR="00D1558C">
        <w:rPr>
          <w:szCs w:val="22"/>
        </w:rPr>
        <w:t>n certain circumstances</w:t>
      </w:r>
      <w:r w:rsidR="00523FCC">
        <w:rPr>
          <w:szCs w:val="22"/>
        </w:rPr>
        <w:t xml:space="preserve">, </w:t>
      </w:r>
      <w:r w:rsidR="00897E81">
        <w:rPr>
          <w:szCs w:val="22"/>
        </w:rPr>
        <w:t>applican</w:t>
      </w:r>
      <w:r w:rsidR="0098465A">
        <w:rPr>
          <w:szCs w:val="22"/>
        </w:rPr>
        <w:t>t</w:t>
      </w:r>
      <w:r w:rsidR="00897E81">
        <w:rPr>
          <w:szCs w:val="22"/>
        </w:rPr>
        <w:t>s</w:t>
      </w:r>
      <w:r w:rsidR="00523FCC">
        <w:rPr>
          <w:szCs w:val="22"/>
        </w:rPr>
        <w:t xml:space="preserve"> also</w:t>
      </w:r>
      <w:r w:rsidR="00D1558C">
        <w:rPr>
          <w:szCs w:val="22"/>
        </w:rPr>
        <w:t xml:space="preserve"> must submit a Cultural Resources Report and/or an archeological field survey.  Applicants also must provide photographs of each historic property and of views from each such property toward the site of the proposed deployment</w:t>
      </w:r>
      <w:r>
        <w:rPr>
          <w:szCs w:val="22"/>
        </w:rPr>
        <w:t>, and they must describe the techniques and methodologies they used to identify historic properties within the APE for direct effects and the information they gathered through the comments of Tribes, NHOs, local governments, or members of the public regarding historic properties in the APE for visual effects.</w:t>
      </w:r>
      <w:r w:rsidR="00576DEF">
        <w:rPr>
          <w:szCs w:val="22"/>
        </w:rPr>
        <w:t xml:space="preserve"> How could information about historic properties be best presented? How should historic districts be identified? </w:t>
      </w:r>
      <w:r w:rsidR="008208E4">
        <w:rPr>
          <w:szCs w:val="22"/>
        </w:rPr>
        <w:t xml:space="preserve"> </w:t>
      </w:r>
      <w:r w:rsidR="00576DEF">
        <w:rPr>
          <w:szCs w:val="22"/>
        </w:rPr>
        <w:t>Is identification of each contributing resource needed</w:t>
      </w:r>
      <w:r w:rsidR="0098465A">
        <w:rPr>
          <w:szCs w:val="22"/>
        </w:rPr>
        <w:t>,</w:t>
      </w:r>
      <w:r w:rsidR="00576DEF">
        <w:rPr>
          <w:szCs w:val="22"/>
        </w:rPr>
        <w:t xml:space="preserve"> or are outer boundaries sufficient for review? </w:t>
      </w:r>
      <w:r w:rsidR="008208E4">
        <w:rPr>
          <w:szCs w:val="22"/>
        </w:rPr>
        <w:t xml:space="preserve"> </w:t>
      </w:r>
      <w:r w:rsidR="00576DEF">
        <w:rPr>
          <w:szCs w:val="22"/>
        </w:rPr>
        <w:t xml:space="preserve">Should </w:t>
      </w:r>
      <w:r w:rsidR="0098465A">
        <w:rPr>
          <w:szCs w:val="22"/>
        </w:rPr>
        <w:t xml:space="preserve">the forms include blanks for applicants to identify and briefly describe the techniques and methodologies (potentially including </w:t>
      </w:r>
      <w:r w:rsidR="00576DEF">
        <w:rPr>
          <w:szCs w:val="22"/>
        </w:rPr>
        <w:t>field survey</w:t>
      </w:r>
      <w:r w:rsidR="0098465A">
        <w:rPr>
          <w:szCs w:val="22"/>
        </w:rPr>
        <w:t>s)</w:t>
      </w:r>
      <w:r w:rsidR="00576DEF">
        <w:rPr>
          <w:szCs w:val="22"/>
        </w:rPr>
        <w:t xml:space="preserve"> </w:t>
      </w:r>
      <w:r w:rsidR="0098465A">
        <w:rPr>
          <w:szCs w:val="22"/>
        </w:rPr>
        <w:t>used to identify</w:t>
      </w:r>
      <w:r w:rsidR="004700CB">
        <w:rPr>
          <w:szCs w:val="22"/>
        </w:rPr>
        <w:t xml:space="preserve"> and assess effects on any </w:t>
      </w:r>
      <w:r w:rsidR="0098465A">
        <w:rPr>
          <w:szCs w:val="22"/>
        </w:rPr>
        <w:t>historic properties within the APE</w:t>
      </w:r>
      <w:r w:rsidR="004700CB">
        <w:rPr>
          <w:szCs w:val="22"/>
        </w:rPr>
        <w:t xml:space="preserve">, </w:t>
      </w:r>
      <w:r w:rsidR="0098465A">
        <w:rPr>
          <w:szCs w:val="22"/>
        </w:rPr>
        <w:t xml:space="preserve">or should applicants continue to submit such information </w:t>
      </w:r>
      <w:r w:rsidR="00576DEF">
        <w:rPr>
          <w:szCs w:val="22"/>
        </w:rPr>
        <w:t>in reports</w:t>
      </w:r>
      <w:r w:rsidR="0098465A">
        <w:rPr>
          <w:szCs w:val="22"/>
        </w:rPr>
        <w:t xml:space="preserve"> attached to the forms</w:t>
      </w:r>
      <w:r w:rsidR="00576DEF">
        <w:rPr>
          <w:szCs w:val="22"/>
        </w:rPr>
        <w:t>?</w:t>
      </w:r>
      <w:r>
        <w:rPr>
          <w:szCs w:val="22"/>
        </w:rPr>
        <w:t xml:space="preserve">  </w:t>
      </w:r>
    </w:p>
    <w:p w:rsidR="00DC0EE5" w:rsidRPr="00C37DD6" w:rsidP="00642EC7" w14:paraId="6CFCE74D" w14:textId="7CC36F1C">
      <w:pPr>
        <w:widowControl/>
        <w:spacing w:after="120"/>
        <w:rPr>
          <w:szCs w:val="22"/>
        </w:rPr>
      </w:pPr>
      <w:r>
        <w:rPr>
          <w:szCs w:val="22"/>
        </w:rPr>
        <w:tab/>
        <w:t xml:space="preserve">We seek comment on </w:t>
      </w:r>
      <w:r w:rsidR="00523FCC">
        <w:rPr>
          <w:szCs w:val="22"/>
        </w:rPr>
        <w:t xml:space="preserve">possible </w:t>
      </w:r>
      <w:r>
        <w:rPr>
          <w:szCs w:val="22"/>
        </w:rPr>
        <w:t xml:space="preserve">changes to these and other sections of the forms or instructions that might be beneficial to Reviewers and applicants.  </w:t>
      </w:r>
      <w:r w:rsidRPr="00C37DD6">
        <w:rPr>
          <w:szCs w:val="22"/>
        </w:rPr>
        <w:t xml:space="preserve">We invite commenters to address </w:t>
      </w:r>
      <w:r>
        <w:rPr>
          <w:szCs w:val="22"/>
        </w:rPr>
        <w:t xml:space="preserve">and, if possible, to quantify </w:t>
      </w:r>
      <w:r w:rsidRPr="00C37DD6">
        <w:rPr>
          <w:szCs w:val="22"/>
        </w:rPr>
        <w:t xml:space="preserve">the benefits and detriments of any </w:t>
      </w:r>
      <w:r>
        <w:rPr>
          <w:szCs w:val="22"/>
        </w:rPr>
        <w:t xml:space="preserve">potential </w:t>
      </w:r>
      <w:r w:rsidRPr="00C37DD6">
        <w:rPr>
          <w:szCs w:val="22"/>
        </w:rPr>
        <w:t>changes</w:t>
      </w:r>
      <w:r>
        <w:rPr>
          <w:szCs w:val="22"/>
        </w:rPr>
        <w:t xml:space="preserve"> to Forms 620, 621, or their instructions</w:t>
      </w:r>
      <w:r w:rsidR="009B2094">
        <w:rPr>
          <w:szCs w:val="22"/>
        </w:rPr>
        <w:t>, including potential changes to the methods by which forms are accessed, downloaded, and printed out.</w:t>
      </w:r>
      <w:r w:rsidRPr="00C37DD6">
        <w:rPr>
          <w:szCs w:val="22"/>
        </w:rPr>
        <w:t xml:space="preserve">  </w:t>
      </w:r>
      <w:r w:rsidR="00027B0E">
        <w:rPr>
          <w:szCs w:val="22"/>
        </w:rPr>
        <w:t>How c</w:t>
      </w:r>
      <w:r w:rsidRPr="00C37DD6">
        <w:rPr>
          <w:szCs w:val="22"/>
        </w:rPr>
        <w:t xml:space="preserve">ould </w:t>
      </w:r>
      <w:r w:rsidR="00027B0E">
        <w:rPr>
          <w:szCs w:val="22"/>
        </w:rPr>
        <w:t xml:space="preserve">potential </w:t>
      </w:r>
      <w:r>
        <w:rPr>
          <w:szCs w:val="22"/>
        </w:rPr>
        <w:t xml:space="preserve">changes </w:t>
      </w:r>
      <w:r w:rsidRPr="00C37DD6">
        <w:rPr>
          <w:szCs w:val="22"/>
        </w:rPr>
        <w:t xml:space="preserve">improve or </w:t>
      </w:r>
      <w:r w:rsidR="00027B0E">
        <w:rPr>
          <w:szCs w:val="22"/>
        </w:rPr>
        <w:t>diminish</w:t>
      </w:r>
      <w:r w:rsidRPr="00C37DD6" w:rsidR="00027B0E">
        <w:rPr>
          <w:szCs w:val="22"/>
        </w:rPr>
        <w:t xml:space="preserve"> </w:t>
      </w:r>
      <w:r w:rsidRPr="00C37DD6">
        <w:rPr>
          <w:szCs w:val="22"/>
        </w:rPr>
        <w:t xml:space="preserve">the quality of the information that SHPOs or </w:t>
      </w:r>
      <w:r w:rsidR="009E7412">
        <w:rPr>
          <w:szCs w:val="22"/>
        </w:rPr>
        <w:t xml:space="preserve">THPOs </w:t>
      </w:r>
      <w:r w:rsidR="00027B0E">
        <w:rPr>
          <w:szCs w:val="22"/>
        </w:rPr>
        <w:t>review and</w:t>
      </w:r>
      <w:r w:rsidRPr="00C37DD6">
        <w:rPr>
          <w:szCs w:val="22"/>
        </w:rPr>
        <w:t xml:space="preserve"> analyze </w:t>
      </w:r>
      <w:r w:rsidR="00027B0E">
        <w:rPr>
          <w:szCs w:val="22"/>
        </w:rPr>
        <w:t>to</w:t>
      </w:r>
      <w:r w:rsidRPr="00C37DD6">
        <w:rPr>
          <w:szCs w:val="22"/>
        </w:rPr>
        <w:t xml:space="preserve"> make decisions about proposed undertakings?  </w:t>
      </w:r>
      <w:bookmarkStart w:id="2" w:name="_Hlk29807968"/>
      <w:r w:rsidRPr="00642EC7" w:rsidR="00642EC7">
        <w:rPr>
          <w:szCs w:val="22"/>
        </w:rPr>
        <w:t xml:space="preserve">How could changes to the forms, or the formatting of supplemental information, facilitate the review process? </w:t>
      </w:r>
      <w:r w:rsidR="00642EC7">
        <w:rPr>
          <w:szCs w:val="22"/>
        </w:rPr>
        <w:t xml:space="preserve"> </w:t>
      </w:r>
      <w:r w:rsidRPr="00642EC7" w:rsidR="00642EC7">
        <w:rPr>
          <w:szCs w:val="22"/>
        </w:rPr>
        <w:t xml:space="preserve">To what extent would any proposed changes increase or reduce the time and effort that applicants and their consultants must devote to gathering, organizing, and presenting the relevant information? </w:t>
      </w:r>
      <w:r w:rsidR="00642EC7">
        <w:rPr>
          <w:szCs w:val="22"/>
        </w:rPr>
        <w:t xml:space="preserve"> </w:t>
      </w:r>
      <w:r w:rsidRPr="00642EC7" w:rsidR="00642EC7">
        <w:rPr>
          <w:szCs w:val="22"/>
        </w:rPr>
        <w:t xml:space="preserve">To what extent would they </w:t>
      </w:r>
      <w:r w:rsidR="00642EC7">
        <w:rPr>
          <w:szCs w:val="22"/>
        </w:rPr>
        <w:t>affect R</w:t>
      </w:r>
      <w:r w:rsidRPr="00642EC7" w:rsidR="00642EC7">
        <w:rPr>
          <w:szCs w:val="22"/>
        </w:rPr>
        <w:t xml:space="preserve">eviewers’ time and effort? </w:t>
      </w:r>
      <w:r w:rsidR="00642EC7">
        <w:rPr>
          <w:szCs w:val="22"/>
        </w:rPr>
        <w:t xml:space="preserve"> </w:t>
      </w:r>
      <w:bookmarkEnd w:id="2"/>
      <w:r>
        <w:rPr>
          <w:szCs w:val="22"/>
        </w:rPr>
        <w:t>Should differing specifications apply depending on the size, scale, location, or other features of proposed facilit</w:t>
      </w:r>
      <w:r w:rsidR="00642EC7">
        <w:rPr>
          <w:szCs w:val="22"/>
        </w:rPr>
        <w:t>ies</w:t>
      </w:r>
      <w:r>
        <w:rPr>
          <w:szCs w:val="22"/>
        </w:rPr>
        <w:t xml:space="preserve"> or historic sites?</w:t>
      </w:r>
    </w:p>
    <w:p w:rsidR="005D25F4" w:rsidP="00261CFE" w14:paraId="144E668B" w14:textId="495946D4">
      <w:pPr>
        <w:widowControl/>
        <w:spacing w:after="120"/>
        <w:rPr>
          <w:szCs w:val="22"/>
        </w:rPr>
      </w:pPr>
      <w:r>
        <w:rPr>
          <w:szCs w:val="22"/>
        </w:rPr>
        <w:tab/>
      </w:r>
      <w:r w:rsidRPr="00261CFE" w:rsidR="00261CFE">
        <w:rPr>
          <w:i/>
          <w:iCs/>
          <w:szCs w:val="22"/>
        </w:rPr>
        <w:t>Batching</w:t>
      </w:r>
      <w:r w:rsidRPr="00C37DD6" w:rsidR="00261CFE">
        <w:rPr>
          <w:szCs w:val="22"/>
        </w:rPr>
        <w:t xml:space="preserve">.  Wireless service providers and infrastructure operators sometimes plan to deploy numerous new </w:t>
      </w:r>
      <w:r w:rsidR="009E7412">
        <w:rPr>
          <w:szCs w:val="22"/>
        </w:rPr>
        <w:t xml:space="preserve">small </w:t>
      </w:r>
      <w:r w:rsidRPr="00C37DD6" w:rsidR="00261CFE">
        <w:rPr>
          <w:szCs w:val="22"/>
        </w:rPr>
        <w:t xml:space="preserve">antenna structures </w:t>
      </w:r>
      <w:r w:rsidR="009E7412">
        <w:rPr>
          <w:szCs w:val="22"/>
        </w:rPr>
        <w:t xml:space="preserve">and </w:t>
      </w:r>
      <w:r w:rsidRPr="00C37DD6" w:rsidR="00261CFE">
        <w:rPr>
          <w:szCs w:val="22"/>
        </w:rPr>
        <w:t xml:space="preserve">collocated equipment rapidly throughout a market area.  We seek comment on whether </w:t>
      </w:r>
      <w:r w:rsidR="00DC0EE5">
        <w:rPr>
          <w:szCs w:val="22"/>
        </w:rPr>
        <w:t xml:space="preserve">Reviewers could </w:t>
      </w:r>
      <w:r w:rsidR="007C7CAF">
        <w:rPr>
          <w:szCs w:val="22"/>
        </w:rPr>
        <w:t xml:space="preserve">more efficiently or effectively </w:t>
      </w:r>
      <w:r w:rsidR="00DC0EE5">
        <w:rPr>
          <w:szCs w:val="22"/>
        </w:rPr>
        <w:t xml:space="preserve">assess the potential impact of </w:t>
      </w:r>
      <w:r w:rsidRPr="00C37DD6" w:rsidR="00261CFE">
        <w:rPr>
          <w:szCs w:val="22"/>
        </w:rPr>
        <w:t>group</w:t>
      </w:r>
      <w:r w:rsidR="00DC0EE5">
        <w:rPr>
          <w:szCs w:val="22"/>
        </w:rPr>
        <w:t>s</w:t>
      </w:r>
      <w:r w:rsidRPr="00C37DD6" w:rsidR="00261CFE">
        <w:rPr>
          <w:szCs w:val="22"/>
        </w:rPr>
        <w:t xml:space="preserve"> of similar proposed deployments within a narrowly-defined geographic area </w:t>
      </w:r>
      <w:r w:rsidR="00DC0EE5">
        <w:rPr>
          <w:szCs w:val="22"/>
        </w:rPr>
        <w:t xml:space="preserve">if information about </w:t>
      </w:r>
      <w:r w:rsidR="00F3192C">
        <w:rPr>
          <w:szCs w:val="22"/>
        </w:rPr>
        <w:t xml:space="preserve">all </w:t>
      </w:r>
      <w:r w:rsidR="00DC0EE5">
        <w:rPr>
          <w:szCs w:val="22"/>
        </w:rPr>
        <w:t xml:space="preserve">the deployments </w:t>
      </w:r>
      <w:r w:rsidR="00F3192C">
        <w:rPr>
          <w:szCs w:val="22"/>
        </w:rPr>
        <w:t xml:space="preserve">in the group </w:t>
      </w:r>
      <w:r w:rsidR="00DC0EE5">
        <w:rPr>
          <w:szCs w:val="22"/>
        </w:rPr>
        <w:t xml:space="preserve">were presented </w:t>
      </w:r>
      <w:r w:rsidRPr="00C37DD6" w:rsidR="00261CFE">
        <w:rPr>
          <w:szCs w:val="22"/>
        </w:rPr>
        <w:t xml:space="preserve">on a single </w:t>
      </w:r>
      <w:r w:rsidR="00DC0EE5">
        <w:rPr>
          <w:szCs w:val="22"/>
        </w:rPr>
        <w:t xml:space="preserve">consolidated submission, and if so, how Forms 620 and 621 could be modified to facilitate </w:t>
      </w:r>
      <w:r w:rsidR="00F3192C">
        <w:rPr>
          <w:szCs w:val="22"/>
        </w:rPr>
        <w:t>such coordinated reviews</w:t>
      </w:r>
      <w:r w:rsidR="00DC0EE5">
        <w:rPr>
          <w:szCs w:val="22"/>
        </w:rPr>
        <w:t>.</w:t>
      </w:r>
      <w:r>
        <w:rPr>
          <w:rStyle w:val="FootnoteReference"/>
          <w:szCs w:val="22"/>
        </w:rPr>
        <w:footnoteReference w:id="8"/>
      </w:r>
      <w:r w:rsidR="00DC0EE5">
        <w:rPr>
          <w:szCs w:val="22"/>
        </w:rPr>
        <w:t xml:space="preserve">  </w:t>
      </w:r>
      <w:r w:rsidR="007C7CAF">
        <w:rPr>
          <w:szCs w:val="22"/>
        </w:rPr>
        <w:t xml:space="preserve">For example, </w:t>
      </w:r>
      <w:r w:rsidR="00261CFE">
        <w:rPr>
          <w:szCs w:val="22"/>
        </w:rPr>
        <w:t xml:space="preserve">where </w:t>
      </w:r>
      <w:r w:rsidR="007C7CAF">
        <w:rPr>
          <w:szCs w:val="22"/>
        </w:rPr>
        <w:t xml:space="preserve">an </w:t>
      </w:r>
      <w:r w:rsidR="00261CFE">
        <w:rPr>
          <w:szCs w:val="22"/>
        </w:rPr>
        <w:t>applicant propose</w:t>
      </w:r>
      <w:r w:rsidR="007C7CAF">
        <w:rPr>
          <w:szCs w:val="22"/>
        </w:rPr>
        <w:t>s</w:t>
      </w:r>
      <w:r w:rsidR="00261CFE">
        <w:rPr>
          <w:szCs w:val="22"/>
        </w:rPr>
        <w:t xml:space="preserve"> to deploy substantial numbers of similar collocations </w:t>
      </w:r>
      <w:r w:rsidR="007C7CAF">
        <w:rPr>
          <w:szCs w:val="22"/>
        </w:rPr>
        <w:t>on</w:t>
      </w:r>
      <w:r w:rsidR="00261CFE">
        <w:rPr>
          <w:szCs w:val="22"/>
        </w:rPr>
        <w:t xml:space="preserve"> small structures within a narrowly-defined geographic area, would the review process be simplified by facilitating consolidated submissions of information regarding groups of proposed deployments in a single </w:t>
      </w:r>
      <w:r w:rsidR="007C7CAF">
        <w:rPr>
          <w:szCs w:val="22"/>
        </w:rPr>
        <w:t xml:space="preserve">Form 621 </w:t>
      </w:r>
      <w:r w:rsidR="00261CFE">
        <w:rPr>
          <w:szCs w:val="22"/>
        </w:rPr>
        <w:t>or in separate</w:t>
      </w:r>
      <w:r w:rsidR="007C7CAF">
        <w:rPr>
          <w:szCs w:val="22"/>
        </w:rPr>
        <w:t>, linked</w:t>
      </w:r>
      <w:r w:rsidR="00261CFE">
        <w:rPr>
          <w:szCs w:val="22"/>
        </w:rPr>
        <w:t xml:space="preserve"> forms with a shared set of exhibits?  </w:t>
      </w:r>
      <w:r>
        <w:rPr>
          <w:szCs w:val="22"/>
        </w:rPr>
        <w:t xml:space="preserve">If so, what should be the limits of the geographic scope of such consolidated filings?  What is the minimum and maximum number of deployments that should be allowed in such a consolidated filing?  </w:t>
      </w:r>
      <w:r w:rsidR="007A5392">
        <w:rPr>
          <w:szCs w:val="22"/>
        </w:rPr>
        <w:t xml:space="preserve">How should applicants </w:t>
      </w:r>
      <w:r w:rsidR="008208E4">
        <w:rPr>
          <w:szCs w:val="22"/>
        </w:rPr>
        <w:t xml:space="preserve">submit information on the locations of </w:t>
      </w:r>
      <w:r w:rsidR="00D3100B">
        <w:rPr>
          <w:szCs w:val="22"/>
        </w:rPr>
        <w:t xml:space="preserve">each of the </w:t>
      </w:r>
      <w:r w:rsidR="007A5392">
        <w:rPr>
          <w:szCs w:val="22"/>
        </w:rPr>
        <w:t xml:space="preserve">individual </w:t>
      </w:r>
      <w:r w:rsidR="008208E4">
        <w:rPr>
          <w:szCs w:val="22"/>
        </w:rPr>
        <w:t xml:space="preserve">proposed deployments </w:t>
      </w:r>
      <w:r w:rsidR="007A5392">
        <w:rPr>
          <w:szCs w:val="22"/>
        </w:rPr>
        <w:t>within a batch</w:t>
      </w:r>
      <w:r w:rsidR="00D3100B">
        <w:rPr>
          <w:szCs w:val="22"/>
        </w:rPr>
        <w:t xml:space="preserve">?  What format should applicants use </w:t>
      </w:r>
      <w:r w:rsidR="007A5392">
        <w:rPr>
          <w:szCs w:val="22"/>
        </w:rPr>
        <w:t>(</w:t>
      </w:r>
      <w:r w:rsidRPr="00FF5249" w:rsidR="007A5392">
        <w:rPr>
          <w:i/>
          <w:iCs/>
          <w:szCs w:val="22"/>
        </w:rPr>
        <w:t>e.g.</w:t>
      </w:r>
      <w:r w:rsidR="007A5392">
        <w:rPr>
          <w:szCs w:val="22"/>
        </w:rPr>
        <w:t>, spreadsheet</w:t>
      </w:r>
      <w:r w:rsidR="00D3100B">
        <w:rPr>
          <w:szCs w:val="22"/>
        </w:rPr>
        <w:t>s</w:t>
      </w:r>
      <w:r w:rsidR="007A5392">
        <w:rPr>
          <w:szCs w:val="22"/>
        </w:rPr>
        <w:t xml:space="preserve">, lists, maps)? </w:t>
      </w:r>
      <w:r w:rsidR="008208E4">
        <w:rPr>
          <w:szCs w:val="22"/>
        </w:rPr>
        <w:t xml:space="preserve"> </w:t>
      </w:r>
      <w:r w:rsidR="00D3100B">
        <w:rPr>
          <w:szCs w:val="22"/>
        </w:rPr>
        <w:t>Should the Commission’s electronic filing systems and databases (</w:t>
      </w:r>
      <w:r w:rsidR="00D3100B">
        <w:rPr>
          <w:i/>
          <w:iCs/>
          <w:szCs w:val="22"/>
        </w:rPr>
        <w:t>i.e.</w:t>
      </w:r>
      <w:r w:rsidR="00D3100B">
        <w:rPr>
          <w:szCs w:val="22"/>
        </w:rPr>
        <w:t xml:space="preserve">, e106 and TCNS) be modified to ensure that Reviewers receive information identifying each location in a batch?  </w:t>
      </w:r>
      <w:r>
        <w:rPr>
          <w:szCs w:val="22"/>
        </w:rPr>
        <w:t xml:space="preserve">Are there specific types of proposed deployments for which such consolidated submissions would </w:t>
      </w:r>
      <w:r w:rsidR="00D3100B">
        <w:rPr>
          <w:szCs w:val="22"/>
        </w:rPr>
        <w:t xml:space="preserve">or would not </w:t>
      </w:r>
      <w:r>
        <w:rPr>
          <w:szCs w:val="22"/>
        </w:rPr>
        <w:t>be appropriate?  Would Reviewers benefit if some information were submitted separately for each individual proposed deployment and other information pertaining to a group of deployments were submitted on a consolidated basis?  If so, which information is needed for individual deployments and which information could be consolidated?</w:t>
      </w:r>
    </w:p>
    <w:p w:rsidR="00C37DD6" w:rsidP="001B4D1C" w14:paraId="42644739" w14:textId="77777777">
      <w:pPr>
        <w:widowControl/>
        <w:spacing w:after="120"/>
        <w:rPr>
          <w:szCs w:val="22"/>
        </w:rPr>
      </w:pPr>
      <w:r>
        <w:rPr>
          <w:szCs w:val="22"/>
        </w:rPr>
        <w:tab/>
      </w:r>
      <w:r w:rsidRPr="00C37DD6">
        <w:rPr>
          <w:szCs w:val="22"/>
        </w:rPr>
        <w:t>Pursuant to sections 1.415 and 1.419 of the Commission’s rules, interested parties may file comments and reply comments on or before the dates indicated on the first page of this document.</w:t>
      </w:r>
      <w:r>
        <w:rPr>
          <w:rStyle w:val="FootnoteReference"/>
          <w:szCs w:val="22"/>
        </w:rPr>
        <w:footnoteReference w:id="9"/>
      </w:r>
      <w:r w:rsidRPr="00C37DD6">
        <w:rPr>
          <w:szCs w:val="22"/>
        </w:rPr>
        <w:t xml:space="preserve">  </w:t>
      </w:r>
    </w:p>
    <w:p w:rsidR="00C37DD6" w:rsidRPr="00C37DD6" w:rsidP="001B4D1C" w14:paraId="1C0D3445" w14:textId="77777777">
      <w:pPr>
        <w:widowControl/>
        <w:numPr>
          <w:ilvl w:val="0"/>
          <w:numId w:val="7"/>
        </w:numPr>
        <w:spacing w:after="120"/>
        <w:rPr>
          <w:snapToGrid/>
          <w:kern w:val="0"/>
          <w:szCs w:val="22"/>
        </w:rPr>
      </w:pPr>
      <w:r w:rsidRPr="00897022">
        <w:rPr>
          <w:i/>
          <w:iCs/>
          <w:snapToGrid/>
          <w:kern w:val="0"/>
          <w:szCs w:val="22"/>
        </w:rPr>
        <w:t>Electronic Filers</w:t>
      </w:r>
      <w:r w:rsidRPr="00C37DD6">
        <w:rPr>
          <w:snapToGrid/>
          <w:kern w:val="0"/>
          <w:szCs w:val="22"/>
        </w:rPr>
        <w:t xml:space="preserve">:  Comments may be filed electronically using the </w:t>
      </w:r>
      <w:r w:rsidRPr="00C37DD6">
        <w:rPr>
          <w:szCs w:val="22"/>
        </w:rPr>
        <w:t>Commission’s Electronic Comment Filing System (ECFS)</w:t>
      </w:r>
      <w:r>
        <w:rPr>
          <w:szCs w:val="22"/>
        </w:rPr>
        <w:t>, which can be accessed at</w:t>
      </w:r>
      <w:r w:rsidRPr="00C37DD6">
        <w:rPr>
          <w:snapToGrid/>
          <w:kern w:val="0"/>
          <w:szCs w:val="22"/>
        </w:rPr>
        <w:t xml:space="preserve"> http://www.fcc.gov/ecfs/.</w:t>
      </w:r>
      <w:r>
        <w:rPr>
          <w:rStyle w:val="FootnoteReference"/>
          <w:szCs w:val="22"/>
        </w:rPr>
        <w:footnoteReference w:id="10"/>
      </w:r>
      <w:r w:rsidRPr="00C37DD6">
        <w:rPr>
          <w:snapToGrid/>
          <w:kern w:val="0"/>
          <w:szCs w:val="22"/>
        </w:rPr>
        <w:t xml:space="preserve">  </w:t>
      </w:r>
    </w:p>
    <w:p w:rsidR="00C37DD6" w:rsidRPr="00C37DD6" w:rsidP="001B4D1C" w14:paraId="419AF762" w14:textId="12311769">
      <w:pPr>
        <w:widowControl/>
        <w:numPr>
          <w:ilvl w:val="0"/>
          <w:numId w:val="7"/>
        </w:numPr>
        <w:spacing w:after="120"/>
        <w:rPr>
          <w:szCs w:val="22"/>
        </w:rPr>
      </w:pPr>
      <w:r w:rsidRPr="00897022">
        <w:rPr>
          <w:i/>
          <w:iCs/>
          <w:snapToGrid/>
          <w:kern w:val="0"/>
          <w:szCs w:val="22"/>
        </w:rPr>
        <w:t>Paper Filers</w:t>
      </w:r>
      <w:r w:rsidRPr="00C37DD6">
        <w:rPr>
          <w:snapToGrid/>
          <w:kern w:val="0"/>
          <w:szCs w:val="22"/>
        </w:rPr>
        <w:t>:  Parties who choose to file by paper must file an original and one copy of each filing.  If more than one docket or rulemaking number appears in the caption of this proceeding, filers must submit</w:t>
      </w:r>
      <w:r w:rsidRPr="00C37DD6">
        <w:rPr>
          <w:szCs w:val="22"/>
        </w:rPr>
        <w:t xml:space="preserve"> two additional copies for each additional docket or rulemaking number.  Filings </w:t>
      </w:r>
      <w:r w:rsidR="00A90FB8">
        <w:rPr>
          <w:szCs w:val="22"/>
        </w:rPr>
        <w:t xml:space="preserve">may </w:t>
      </w:r>
      <w:r w:rsidRPr="00C37DD6">
        <w:rPr>
          <w:szCs w:val="22"/>
        </w:rPr>
        <w:t>be sent by hand or messenger delivery, by commercial overnight courier, or by first-class or overnight U.S. Postal Service mail.  All filings must be addressed to the Commission’s Secretary, Office of the Secretary, Federal Communications Commission.</w:t>
      </w:r>
    </w:p>
    <w:p w:rsidR="00C37DD6" w:rsidRPr="00C37DD6" w:rsidP="001B4D1C" w14:paraId="71114CE8" w14:textId="77777777">
      <w:pPr>
        <w:widowControl/>
        <w:numPr>
          <w:ilvl w:val="1"/>
          <w:numId w:val="7"/>
        </w:numPr>
        <w:spacing w:after="120"/>
        <w:rPr>
          <w:snapToGrid/>
          <w:kern w:val="0"/>
          <w:szCs w:val="22"/>
        </w:rPr>
      </w:pPr>
      <w:r w:rsidRPr="00C37DD6">
        <w:rPr>
          <w:snapToGrid/>
          <w:kern w:val="0"/>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C37DD6" w:rsidRPr="00C37DD6" w:rsidP="001B4D1C" w14:paraId="3FC0461C" w14:textId="77777777">
      <w:pPr>
        <w:widowControl/>
        <w:numPr>
          <w:ilvl w:val="1"/>
          <w:numId w:val="7"/>
        </w:numPr>
        <w:spacing w:after="120"/>
        <w:rPr>
          <w:snapToGrid/>
          <w:kern w:val="0"/>
          <w:szCs w:val="22"/>
        </w:rPr>
      </w:pPr>
      <w:r w:rsidRPr="00C37DD6">
        <w:rPr>
          <w:snapToGrid/>
          <w:kern w:val="0"/>
          <w:szCs w:val="22"/>
        </w:rPr>
        <w:t>Commercial overnight mail (other than U.S. Postal Service Express Mail and Priority Mail) must be sent to 9050 Junction Drive, Annapolis Junction, MD 20701.</w:t>
      </w:r>
    </w:p>
    <w:p w:rsidR="00C37DD6" w:rsidRPr="00C37DD6" w:rsidP="001B4D1C" w14:paraId="4E4E7451" w14:textId="77777777">
      <w:pPr>
        <w:widowControl/>
        <w:numPr>
          <w:ilvl w:val="1"/>
          <w:numId w:val="7"/>
        </w:numPr>
        <w:spacing w:after="120"/>
        <w:rPr>
          <w:snapToGrid/>
          <w:kern w:val="0"/>
          <w:szCs w:val="22"/>
        </w:rPr>
      </w:pPr>
      <w:r w:rsidRPr="00C37DD6">
        <w:rPr>
          <w:snapToGrid/>
          <w:kern w:val="0"/>
          <w:szCs w:val="22"/>
        </w:rPr>
        <w:t>U.S. Postal Service first-class, Express, and Priority mail must be addressed to 445 12th St</w:t>
      </w:r>
      <w:r>
        <w:rPr>
          <w:snapToGrid/>
          <w:kern w:val="0"/>
          <w:szCs w:val="22"/>
        </w:rPr>
        <w:t>.</w:t>
      </w:r>
      <w:r w:rsidRPr="00C37DD6">
        <w:rPr>
          <w:snapToGrid/>
          <w:kern w:val="0"/>
          <w:szCs w:val="22"/>
        </w:rPr>
        <w:t xml:space="preserve"> SW, Washington, DC 20554.</w:t>
      </w:r>
    </w:p>
    <w:p w:rsidR="00C37DD6" w:rsidRPr="00C37DD6" w:rsidP="001B4D1C" w14:paraId="32D12097" w14:textId="77777777">
      <w:pPr>
        <w:widowControl/>
        <w:spacing w:after="120"/>
        <w:rPr>
          <w:rFonts w:asciiTheme="majorBidi" w:hAnsiTheme="majorBidi" w:cstheme="majorBidi"/>
          <w:szCs w:val="22"/>
        </w:rPr>
      </w:pPr>
      <w:r>
        <w:rPr>
          <w:rFonts w:asciiTheme="majorBidi" w:hAnsiTheme="majorBidi" w:cstheme="majorBidi"/>
          <w:szCs w:val="22"/>
        </w:rPr>
        <w:tab/>
      </w:r>
      <w:r w:rsidRPr="00C37DD6">
        <w:rPr>
          <w:rFonts w:asciiTheme="majorBidi" w:hAnsiTheme="majorBidi" w:cstheme="majorBidi"/>
          <w:i/>
          <w:iCs/>
          <w:szCs w:val="22"/>
        </w:rPr>
        <w:t>People with Disabilities</w:t>
      </w:r>
      <w:r w:rsidRPr="00C37DD6">
        <w:rPr>
          <w:rFonts w:asciiTheme="majorBidi" w:hAnsiTheme="majorBidi" w:cstheme="majorBidi"/>
          <w:szCs w:val="22"/>
        </w:rPr>
        <w:t>.  To request materials in accessible formats for people with disabilities (Braille, large print, electronic files, audio format), send an email to fcc504@fcc.gov or call the Consumer &amp; Governmental Affairs Bureau at 202-418-0530 (voice), 202-418-0432 (</w:t>
      </w:r>
      <w:r w:rsidRPr="00C37DD6">
        <w:rPr>
          <w:rFonts w:asciiTheme="majorBidi" w:hAnsiTheme="majorBidi" w:cstheme="majorBidi"/>
          <w:szCs w:val="22"/>
        </w:rPr>
        <w:t>tty</w:t>
      </w:r>
      <w:r w:rsidRPr="00C37DD6">
        <w:rPr>
          <w:rFonts w:asciiTheme="majorBidi" w:hAnsiTheme="majorBidi" w:cstheme="majorBidi"/>
          <w:szCs w:val="22"/>
        </w:rPr>
        <w:t>).</w:t>
      </w:r>
    </w:p>
    <w:p w:rsidR="00C37DD6" w:rsidRPr="00C37DD6" w:rsidP="001B4D1C" w14:paraId="1BDC208B" w14:textId="77777777">
      <w:pPr>
        <w:widowControl/>
        <w:spacing w:after="120"/>
        <w:rPr>
          <w:rFonts w:asciiTheme="majorBidi" w:hAnsiTheme="majorBidi" w:cstheme="majorBidi"/>
          <w:szCs w:val="22"/>
        </w:rPr>
      </w:pPr>
      <w:r>
        <w:rPr>
          <w:rFonts w:asciiTheme="majorBidi" w:hAnsiTheme="majorBidi" w:cstheme="majorBidi"/>
          <w:szCs w:val="22"/>
        </w:rPr>
        <w:tab/>
      </w:r>
      <w:r w:rsidRPr="00C37DD6">
        <w:rPr>
          <w:rFonts w:asciiTheme="majorBidi" w:hAnsiTheme="majorBidi" w:cstheme="majorBidi"/>
          <w:i/>
          <w:iCs/>
          <w:szCs w:val="22"/>
        </w:rPr>
        <w:t xml:space="preserve">Ex </w:t>
      </w:r>
      <w:r w:rsidRPr="00C37DD6">
        <w:rPr>
          <w:rFonts w:asciiTheme="majorBidi" w:hAnsiTheme="majorBidi" w:cstheme="majorBidi"/>
          <w:i/>
          <w:iCs/>
          <w:szCs w:val="22"/>
        </w:rPr>
        <w:t>Parte</w:t>
      </w:r>
      <w:r w:rsidRPr="00C37DD6">
        <w:rPr>
          <w:rFonts w:asciiTheme="majorBidi" w:hAnsiTheme="majorBidi" w:cstheme="majorBidi"/>
          <w:i/>
          <w:iCs/>
          <w:szCs w:val="22"/>
        </w:rPr>
        <w:t xml:space="preserve"> Rules</w:t>
      </w:r>
      <w:r w:rsidRPr="00C37DD6">
        <w:rPr>
          <w:rFonts w:asciiTheme="majorBidi" w:hAnsiTheme="majorBidi" w:cstheme="majorBidi"/>
          <w:szCs w:val="22"/>
        </w:rPr>
        <w:t xml:space="preserve">.  This proceeding shall be treated as a “permit-but-disclose” proceeding in accordance with the Commission’s </w:t>
      </w:r>
      <w:r w:rsidRPr="00C37DD6">
        <w:rPr>
          <w:rFonts w:asciiTheme="majorBidi" w:hAnsiTheme="majorBidi" w:cstheme="majorBidi"/>
          <w:i/>
          <w:iCs/>
          <w:szCs w:val="22"/>
        </w:rPr>
        <w:t xml:space="preserve">ex </w:t>
      </w:r>
      <w:r w:rsidRPr="00C37DD6">
        <w:rPr>
          <w:rFonts w:asciiTheme="majorBidi" w:hAnsiTheme="majorBidi" w:cstheme="majorBidi"/>
          <w:i/>
          <w:iCs/>
          <w:szCs w:val="22"/>
        </w:rPr>
        <w:t>parte</w:t>
      </w:r>
      <w:r w:rsidRPr="00C37DD6">
        <w:rPr>
          <w:rFonts w:asciiTheme="majorBidi" w:hAnsiTheme="majorBidi" w:cstheme="majorBidi"/>
          <w:szCs w:val="22"/>
        </w:rPr>
        <w:t xml:space="preserve"> rules.</w:t>
      </w:r>
      <w:r>
        <w:rPr>
          <w:rStyle w:val="FootnoteReference"/>
          <w:rFonts w:cstheme="majorBidi"/>
          <w:szCs w:val="22"/>
        </w:rPr>
        <w:footnoteReference w:id="11"/>
      </w:r>
      <w:r w:rsidRPr="00C37DD6">
        <w:rPr>
          <w:rFonts w:asciiTheme="majorBidi" w:hAnsiTheme="majorBidi" w:cstheme="majorBidi"/>
          <w:szCs w:val="22"/>
        </w:rPr>
        <w:t xml:space="preserve">   Persons making </w:t>
      </w:r>
      <w:r w:rsidRPr="00C37DD6">
        <w:rPr>
          <w:rFonts w:asciiTheme="majorBidi" w:hAnsiTheme="majorBidi" w:cstheme="majorBidi"/>
          <w:i/>
          <w:iCs/>
          <w:szCs w:val="22"/>
        </w:rPr>
        <w:t xml:space="preserve">ex </w:t>
      </w:r>
      <w:r w:rsidRPr="00C37DD6">
        <w:rPr>
          <w:rFonts w:asciiTheme="majorBidi" w:hAnsiTheme="majorBidi" w:cstheme="majorBidi"/>
          <w:i/>
          <w:iCs/>
          <w:szCs w:val="22"/>
        </w:rPr>
        <w:t>parte</w:t>
      </w:r>
      <w:r w:rsidRPr="00C37DD6">
        <w:rPr>
          <w:rFonts w:asciiTheme="majorBidi" w:hAnsiTheme="majorBidi" w:cstheme="majorBidi"/>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37DD6">
        <w:rPr>
          <w:rFonts w:asciiTheme="majorBidi" w:hAnsiTheme="majorBidi" w:cstheme="majorBidi"/>
          <w:i/>
          <w:iCs/>
          <w:szCs w:val="22"/>
        </w:rPr>
        <w:t xml:space="preserve">ex </w:t>
      </w:r>
      <w:r w:rsidRPr="00C37DD6">
        <w:rPr>
          <w:rFonts w:asciiTheme="majorBidi" w:hAnsiTheme="majorBidi" w:cstheme="majorBidi"/>
          <w:i/>
          <w:iCs/>
          <w:szCs w:val="22"/>
        </w:rPr>
        <w:t>parte</w:t>
      </w:r>
      <w:r w:rsidRPr="00C37DD6">
        <w:rPr>
          <w:rFonts w:asciiTheme="majorBidi" w:hAnsiTheme="majorBidi" w:cstheme="majorBidi"/>
          <w:szCs w:val="22"/>
        </w:rPr>
        <w:t xml:space="preserve"> presentations are reminded that memoranda summarizing the presentation must: (1) list all persons attending or otherwise participating in the meeting at which the </w:t>
      </w:r>
      <w:r w:rsidRPr="00C37DD6">
        <w:rPr>
          <w:rFonts w:asciiTheme="majorBidi" w:hAnsiTheme="majorBidi" w:cstheme="majorBidi"/>
          <w:i/>
          <w:iCs/>
          <w:szCs w:val="22"/>
        </w:rPr>
        <w:t xml:space="preserve">ex </w:t>
      </w:r>
      <w:r w:rsidRPr="00C37DD6">
        <w:rPr>
          <w:rFonts w:asciiTheme="majorBidi" w:hAnsiTheme="majorBidi" w:cstheme="majorBidi"/>
          <w:i/>
          <w:iCs/>
          <w:szCs w:val="22"/>
        </w:rPr>
        <w:t>parte</w:t>
      </w:r>
      <w:r w:rsidRPr="00C37DD6">
        <w:rPr>
          <w:rFonts w:asciiTheme="majorBidi" w:hAnsiTheme="majorBidi" w:cstheme="majorBidi"/>
          <w:szCs w:val="22"/>
        </w:rPr>
        <w:t xml:space="preserve"> presentation was made; and (2) summarize all data presented and arguments made during the presentation.  </w:t>
      </w:r>
    </w:p>
    <w:p w:rsidR="00C37DD6" w:rsidRPr="00C37DD6" w:rsidP="001B4D1C" w14:paraId="66D9263F" w14:textId="77777777">
      <w:pPr>
        <w:widowControl/>
        <w:spacing w:after="120"/>
        <w:rPr>
          <w:rFonts w:asciiTheme="majorBidi" w:hAnsiTheme="majorBidi" w:cstheme="majorBidi"/>
          <w:szCs w:val="22"/>
        </w:rPr>
      </w:pPr>
      <w:r>
        <w:rPr>
          <w:rFonts w:asciiTheme="majorBidi" w:hAnsiTheme="majorBidi" w:cstheme="majorBidi"/>
          <w:szCs w:val="22"/>
        </w:rPr>
        <w:tab/>
      </w:r>
      <w:r w:rsidRPr="00C37DD6">
        <w:rPr>
          <w:rFonts w:asciiTheme="majorBidi" w:hAnsiTheme="majorBidi" w:cstheme="majorBidi"/>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w:t>
      </w:r>
      <w:r w:rsidRPr="00C37DD6">
        <w:rPr>
          <w:rFonts w:asciiTheme="majorBidi" w:hAnsiTheme="majorBidi" w:cstheme="majorBidi"/>
          <w:szCs w:val="22"/>
        </w:rPr>
        <w:t>parte</w:t>
      </w:r>
      <w:r w:rsidRPr="00C37DD6">
        <w:rPr>
          <w:rFonts w:asciiTheme="majorBidi" w:hAnsiTheme="majorBidi" w:cstheme="majorBidi"/>
          <w:szCs w:val="22"/>
        </w:rPr>
        <w:t xml:space="preserve"> meetings are deemed to be written </w:t>
      </w:r>
      <w:r w:rsidRPr="00C37DD6">
        <w:rPr>
          <w:rFonts w:asciiTheme="majorBidi" w:hAnsiTheme="majorBidi" w:cstheme="majorBidi"/>
          <w:i/>
          <w:iCs/>
          <w:szCs w:val="22"/>
        </w:rPr>
        <w:t xml:space="preserve">ex </w:t>
      </w:r>
      <w:r w:rsidRPr="00C37DD6">
        <w:rPr>
          <w:rFonts w:asciiTheme="majorBidi" w:hAnsiTheme="majorBidi" w:cstheme="majorBidi"/>
          <w:i/>
          <w:iCs/>
          <w:szCs w:val="22"/>
        </w:rPr>
        <w:t>parte</w:t>
      </w:r>
      <w:r w:rsidRPr="00C37DD6">
        <w:rPr>
          <w:rFonts w:asciiTheme="majorBidi" w:hAnsiTheme="majorBidi" w:cstheme="majorBidi"/>
          <w:szCs w:val="22"/>
        </w:rPr>
        <w:t xml:space="preserve"> presentations and must be filed consistent with section 1.1206(b) of the Commission’s rules.</w:t>
      </w:r>
      <w:r>
        <w:rPr>
          <w:rStyle w:val="FootnoteReference"/>
          <w:rFonts w:cstheme="majorBidi"/>
          <w:szCs w:val="22"/>
        </w:rPr>
        <w:footnoteReference w:id="12"/>
      </w:r>
      <w:r w:rsidRPr="00C37DD6">
        <w:rPr>
          <w:rFonts w:asciiTheme="majorBidi" w:hAnsiTheme="majorBidi" w:cstheme="majorBidi"/>
          <w:szCs w:val="22"/>
        </w:rPr>
        <w:t xml:space="preserve">   In proceedings governed by section 1.49(f) of the rules or for which the Commission has made available a method of electronic filing, written </w:t>
      </w:r>
      <w:r w:rsidRPr="00C37DD6">
        <w:rPr>
          <w:rFonts w:asciiTheme="majorBidi" w:hAnsiTheme="majorBidi" w:cstheme="majorBidi"/>
          <w:i/>
          <w:iCs/>
          <w:szCs w:val="22"/>
        </w:rPr>
        <w:t xml:space="preserve">ex </w:t>
      </w:r>
      <w:r w:rsidRPr="00C37DD6">
        <w:rPr>
          <w:rFonts w:asciiTheme="majorBidi" w:hAnsiTheme="majorBidi" w:cstheme="majorBidi"/>
          <w:i/>
          <w:iCs/>
          <w:szCs w:val="22"/>
        </w:rPr>
        <w:t>parte</w:t>
      </w:r>
      <w:r w:rsidRPr="00C37DD6">
        <w:rPr>
          <w:rFonts w:asciiTheme="majorBidi" w:hAnsiTheme="majorBidi" w:cstheme="majorBidi"/>
          <w:szCs w:val="22"/>
        </w:rPr>
        <w:t xml:space="preserve"> presentations and memoranda summarizing oral ex </w:t>
      </w:r>
      <w:r w:rsidRPr="00C37DD6">
        <w:rPr>
          <w:rFonts w:asciiTheme="majorBidi" w:hAnsiTheme="majorBidi" w:cstheme="majorBidi"/>
          <w:szCs w:val="22"/>
        </w:rPr>
        <w:t>parte</w:t>
      </w:r>
      <w:r w:rsidRPr="00C37DD6">
        <w:rPr>
          <w:rFonts w:asciiTheme="majorBidi" w:hAnsiTheme="majorBidi" w:cstheme="majorBidi"/>
          <w:szCs w:val="22"/>
        </w:rPr>
        <w:t xml:space="preserve"> presentations, and all attachments thereto, must be filed through the electronic comment filing system available for that proceeding, and must be filed in their native format (</w:t>
      </w:r>
      <w:r w:rsidRPr="00897022">
        <w:rPr>
          <w:rFonts w:asciiTheme="majorBidi" w:hAnsiTheme="majorBidi" w:cstheme="majorBidi"/>
          <w:i/>
          <w:iCs/>
          <w:szCs w:val="22"/>
        </w:rPr>
        <w:t>e.g.</w:t>
      </w:r>
      <w:r w:rsidRPr="00C37DD6">
        <w:rPr>
          <w:rFonts w:asciiTheme="majorBidi" w:hAnsiTheme="majorBidi" w:cstheme="majorBidi"/>
          <w:szCs w:val="22"/>
        </w:rPr>
        <w:t>, .doc</w:t>
      </w:r>
      <w:r w:rsidR="00897022">
        <w:rPr>
          <w:rFonts w:asciiTheme="majorBidi" w:hAnsiTheme="majorBidi" w:cstheme="majorBidi"/>
          <w:szCs w:val="22"/>
        </w:rPr>
        <w:t>x</w:t>
      </w:r>
      <w:r w:rsidRPr="00C37DD6">
        <w:rPr>
          <w:rFonts w:asciiTheme="majorBidi" w:hAnsiTheme="majorBidi" w:cstheme="majorBidi"/>
          <w:szCs w:val="22"/>
        </w:rPr>
        <w:t>, .xml, .ppt</w:t>
      </w:r>
      <w:r w:rsidR="00897022">
        <w:rPr>
          <w:rFonts w:asciiTheme="majorBidi" w:hAnsiTheme="majorBidi" w:cstheme="majorBidi"/>
          <w:szCs w:val="22"/>
        </w:rPr>
        <w:t>x</w:t>
      </w:r>
      <w:r w:rsidRPr="00C37DD6">
        <w:rPr>
          <w:rFonts w:asciiTheme="majorBidi" w:hAnsiTheme="majorBidi" w:cstheme="majorBidi"/>
          <w:szCs w:val="22"/>
        </w:rPr>
        <w:t>, searchable .pdf).</w:t>
      </w:r>
      <w:r>
        <w:rPr>
          <w:rStyle w:val="FootnoteReference"/>
          <w:rFonts w:cstheme="majorBidi"/>
          <w:szCs w:val="22"/>
        </w:rPr>
        <w:footnoteReference w:id="13"/>
      </w:r>
      <w:r w:rsidRPr="00C37DD6">
        <w:rPr>
          <w:rFonts w:asciiTheme="majorBidi" w:hAnsiTheme="majorBidi" w:cstheme="majorBidi"/>
          <w:szCs w:val="22"/>
        </w:rPr>
        <w:t xml:space="preserve">   Participants in this proceeding should familiarize themselves with the Commission’s </w:t>
      </w:r>
      <w:r w:rsidRPr="00897022">
        <w:rPr>
          <w:rFonts w:asciiTheme="majorBidi" w:hAnsiTheme="majorBidi" w:cstheme="majorBidi"/>
          <w:i/>
          <w:iCs/>
          <w:szCs w:val="22"/>
        </w:rPr>
        <w:t xml:space="preserve">ex </w:t>
      </w:r>
      <w:r w:rsidRPr="00897022">
        <w:rPr>
          <w:rFonts w:asciiTheme="majorBidi" w:hAnsiTheme="majorBidi" w:cstheme="majorBidi"/>
          <w:i/>
          <w:iCs/>
          <w:szCs w:val="22"/>
        </w:rPr>
        <w:t>parte</w:t>
      </w:r>
      <w:r w:rsidRPr="00C37DD6">
        <w:rPr>
          <w:rFonts w:asciiTheme="majorBidi" w:hAnsiTheme="majorBidi" w:cstheme="majorBidi"/>
          <w:szCs w:val="22"/>
        </w:rPr>
        <w:t xml:space="preserve"> rules.</w:t>
      </w:r>
    </w:p>
    <w:p w:rsidR="00C37DD6" w:rsidRPr="00C37DD6" w:rsidP="001B4D1C" w14:paraId="339D301B" w14:textId="61B72C8E">
      <w:pPr>
        <w:widowControl/>
        <w:spacing w:after="120"/>
        <w:rPr>
          <w:rFonts w:asciiTheme="majorBidi" w:hAnsiTheme="majorBidi" w:cstheme="majorBidi"/>
          <w:szCs w:val="22"/>
        </w:rPr>
      </w:pPr>
      <w:r>
        <w:rPr>
          <w:rFonts w:asciiTheme="majorBidi" w:hAnsiTheme="majorBidi" w:cstheme="majorBidi"/>
          <w:szCs w:val="22"/>
        </w:rPr>
        <w:tab/>
      </w:r>
      <w:r w:rsidRPr="00C37DD6">
        <w:rPr>
          <w:rFonts w:asciiTheme="majorBidi" w:hAnsiTheme="majorBidi" w:cstheme="majorBidi"/>
          <w:i/>
          <w:iCs/>
          <w:szCs w:val="22"/>
        </w:rPr>
        <w:t>Additional Information</w:t>
      </w:r>
      <w:r w:rsidRPr="00C37DD6">
        <w:rPr>
          <w:rFonts w:asciiTheme="majorBidi" w:hAnsiTheme="majorBidi" w:cstheme="majorBidi"/>
          <w:szCs w:val="22"/>
        </w:rPr>
        <w:t xml:space="preserve">.  For further information, contact </w:t>
      </w:r>
      <w:r w:rsidR="0078487E">
        <w:rPr>
          <w:rFonts w:asciiTheme="majorBidi" w:hAnsiTheme="majorBidi" w:cstheme="majorBidi"/>
          <w:szCs w:val="22"/>
        </w:rPr>
        <w:t>David Sieradzki</w:t>
      </w:r>
      <w:r w:rsidRPr="00C37DD6">
        <w:rPr>
          <w:rFonts w:asciiTheme="majorBidi" w:hAnsiTheme="majorBidi" w:cstheme="majorBidi"/>
          <w:szCs w:val="22"/>
        </w:rPr>
        <w:t xml:space="preserve"> of the Wireless Telecommunications Bureau at (202) 418-</w:t>
      </w:r>
      <w:r w:rsidR="0078487E">
        <w:rPr>
          <w:rFonts w:asciiTheme="majorBidi" w:hAnsiTheme="majorBidi" w:cstheme="majorBidi"/>
          <w:szCs w:val="22"/>
        </w:rPr>
        <w:t>1368</w:t>
      </w:r>
      <w:r w:rsidRPr="00C37DD6">
        <w:rPr>
          <w:rFonts w:asciiTheme="majorBidi" w:hAnsiTheme="majorBidi" w:cstheme="majorBidi"/>
          <w:szCs w:val="22"/>
        </w:rPr>
        <w:t xml:space="preserve"> or </w:t>
      </w:r>
      <w:r w:rsidR="0078487E">
        <w:rPr>
          <w:rFonts w:asciiTheme="majorBidi" w:hAnsiTheme="majorBidi" w:cstheme="majorBidi"/>
          <w:szCs w:val="22"/>
        </w:rPr>
        <w:t>david.sieradzki</w:t>
      </w:r>
      <w:r w:rsidRPr="00C37DD6">
        <w:rPr>
          <w:rFonts w:asciiTheme="majorBidi" w:hAnsiTheme="majorBidi" w:cstheme="majorBidi"/>
          <w:szCs w:val="22"/>
        </w:rPr>
        <w:t>@fcc.gov.</w:t>
      </w:r>
      <w:r w:rsidRPr="00C37DD6">
        <w:rPr>
          <w:rFonts w:asciiTheme="majorBidi" w:hAnsiTheme="majorBidi" w:cstheme="majorBidi"/>
          <w:szCs w:val="22"/>
        </w:rPr>
        <w:tab/>
      </w:r>
    </w:p>
    <w:p w:rsidR="0058198F" w:rsidRPr="0058198F" w:rsidP="001B4D1C" w14:paraId="304B40E5" w14:textId="77777777">
      <w:pPr>
        <w:widowControl/>
        <w:spacing w:after="120"/>
        <w:jc w:val="center"/>
        <w:rPr>
          <w:b/>
          <w:snapToGrid/>
          <w:kern w:val="0"/>
          <w:szCs w:val="22"/>
        </w:rPr>
      </w:pPr>
      <w:r w:rsidRPr="0058198F">
        <w:rPr>
          <w:b/>
          <w:snapToGrid/>
          <w:kern w:val="0"/>
          <w:szCs w:val="22"/>
        </w:rPr>
        <w:t>–FCC–</w:t>
      </w:r>
    </w:p>
    <w:p w:rsidR="00412FC5" w:rsidRPr="002F716D" w:rsidP="001B4D1C" w14:paraId="520556CD" w14:textId="77777777">
      <w:pPr>
        <w:widowControl/>
        <w:spacing w:after="120"/>
        <w:rPr>
          <w:rFonts w:asciiTheme="majorBidi" w:hAnsiTheme="majorBidi" w:cstheme="majorBidi"/>
          <w:szCs w:val="22"/>
        </w:rPr>
      </w:pPr>
    </w:p>
    <w:sectPr w:rsidSect="005165A8">
      <w:headerReference w:type="default" r:id="rId10"/>
      <w:endnotePr>
        <w:numFmt w:val="decimal"/>
      </w:endnotePr>
      <w:type w:val="continuous"/>
      <w:pgSz w:w="12240" w:h="15840"/>
      <w:pgMar w:top="1440" w:right="1440" w:bottom="720" w:left="1440" w:header="144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041" w:rsidP="0055614C" w14:paraId="6F958F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0041" w14:paraId="57AE3D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041" w14:paraId="509D308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1B0041" w14:paraId="395C639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041" w14:paraId="770705D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355D" w14:paraId="0148976B" w14:textId="77777777">
      <w:r>
        <w:separator/>
      </w:r>
    </w:p>
  </w:footnote>
  <w:footnote w:type="continuationSeparator" w:id="1">
    <w:p w:rsidR="00CC355D" w:rsidP="00C721AC" w14:paraId="7859C09E" w14:textId="77777777">
      <w:pPr>
        <w:spacing w:before="120"/>
        <w:rPr>
          <w:sz w:val="20"/>
        </w:rPr>
      </w:pPr>
      <w:r>
        <w:rPr>
          <w:sz w:val="20"/>
        </w:rPr>
        <w:t xml:space="preserve">(Continued from previous page)  </w:t>
      </w:r>
      <w:r>
        <w:rPr>
          <w:sz w:val="20"/>
        </w:rPr>
        <w:separator/>
      </w:r>
    </w:p>
  </w:footnote>
  <w:footnote w:type="continuationNotice" w:id="2">
    <w:p w:rsidR="00CC355D" w:rsidP="00C721AC" w14:paraId="69B5C631" w14:textId="77777777">
      <w:pPr>
        <w:jc w:val="right"/>
        <w:rPr>
          <w:sz w:val="20"/>
        </w:rPr>
      </w:pPr>
      <w:r>
        <w:rPr>
          <w:sz w:val="20"/>
        </w:rPr>
        <w:t>(continued….)</w:t>
      </w:r>
    </w:p>
  </w:footnote>
  <w:footnote w:id="3">
    <w:p w:rsidR="007C7CAF" w:rsidP="007C7CAF" w14:paraId="7672C6DF" w14:textId="402F9975">
      <w:pPr>
        <w:pStyle w:val="FootnoteText"/>
      </w:pPr>
      <w:r>
        <w:rPr>
          <w:rStyle w:val="FootnoteReference"/>
        </w:rPr>
        <w:footnoteRef/>
      </w:r>
      <w:r>
        <w:t xml:space="preserve"> 54 U.S.C. § 306108; </w:t>
      </w:r>
      <w:r>
        <w:rPr>
          <w:i/>
          <w:iCs/>
        </w:rPr>
        <w:t xml:space="preserve">see also </w:t>
      </w:r>
      <w:r>
        <w:t>36 CFR Part 800 (Advisory Council on Historic Preservation (ACHP) rules). 47 </w:t>
      </w:r>
      <w:r w:rsidR="00F60478">
        <w:t>CFR</w:t>
      </w:r>
      <w:r>
        <w:t xml:space="preserve"> §§ 1.1307(a)(4), 1.1320 (Commission rules governing historic-preservation review process).  </w:t>
      </w:r>
    </w:p>
  </w:footnote>
  <w:footnote w:id="4">
    <w:p w:rsidR="00D212AA" w:rsidP="00D212AA" w14:paraId="5E7CCA82" w14:textId="77777777">
      <w:pPr>
        <w:pStyle w:val="FootnoteText"/>
      </w:pPr>
      <w:r>
        <w:rPr>
          <w:rStyle w:val="FootnoteReference"/>
        </w:rPr>
        <w:footnoteRef/>
      </w:r>
      <w:r>
        <w:t xml:space="preserve"> </w:t>
      </w:r>
      <w:r>
        <w:rPr>
          <w:i/>
          <w:iCs/>
        </w:rPr>
        <w:t>National Programmatic Agreement Regarding the Section 106 National Historic Preservation Act Review Process</w:t>
      </w:r>
      <w:r>
        <w:t xml:space="preserve">, 20 FCC </w:t>
      </w:r>
      <w:r>
        <w:t>Rcd</w:t>
      </w:r>
      <w:r>
        <w:t xml:space="preserve"> 1073 (2004) (</w:t>
      </w:r>
      <w:r>
        <w:rPr>
          <w:i/>
          <w:iCs/>
        </w:rPr>
        <w:t xml:space="preserve">2004 </w:t>
      </w:r>
      <w:r w:rsidRPr="0041732C">
        <w:rPr>
          <w:i/>
          <w:iCs/>
        </w:rPr>
        <w:t>NPA Order</w:t>
      </w:r>
      <w:r>
        <w:t xml:space="preserve">), </w:t>
      </w:r>
      <w:r>
        <w:rPr>
          <w:i/>
          <w:iCs/>
        </w:rPr>
        <w:t>pet. for review denied</w:t>
      </w:r>
      <w:r>
        <w:t xml:space="preserve">, </w:t>
      </w:r>
      <w:r>
        <w:rPr>
          <w:i/>
          <w:iCs/>
        </w:rPr>
        <w:t>CTIA v. FCC</w:t>
      </w:r>
      <w:r>
        <w:t xml:space="preserve">, 466 F.3d 105 (D.C. Cir. 2006); </w:t>
      </w:r>
      <w:r>
        <w:rPr>
          <w:i/>
          <w:iCs/>
        </w:rPr>
        <w:t>see also</w:t>
      </w:r>
      <w:r>
        <w:t xml:space="preserve"> </w:t>
      </w:r>
      <w:r>
        <w:rPr>
          <w:szCs w:val="22"/>
        </w:rPr>
        <w:t>National Programmatic Agreement f</w:t>
      </w:r>
      <w:r w:rsidRPr="00D95E54">
        <w:rPr>
          <w:szCs w:val="22"/>
        </w:rPr>
        <w:t>or</w:t>
      </w:r>
      <w:r>
        <w:rPr>
          <w:szCs w:val="22"/>
        </w:rPr>
        <w:t xml:space="preserve"> </w:t>
      </w:r>
      <w:r w:rsidRPr="00D95E54">
        <w:rPr>
          <w:szCs w:val="22"/>
        </w:rPr>
        <w:t xml:space="preserve">Review </w:t>
      </w:r>
      <w:r>
        <w:rPr>
          <w:szCs w:val="22"/>
        </w:rPr>
        <w:t>o</w:t>
      </w:r>
      <w:r w:rsidRPr="00D95E54">
        <w:rPr>
          <w:szCs w:val="22"/>
        </w:rPr>
        <w:t xml:space="preserve">f Effects </w:t>
      </w:r>
      <w:r>
        <w:rPr>
          <w:szCs w:val="22"/>
        </w:rPr>
        <w:t>o</w:t>
      </w:r>
      <w:r w:rsidRPr="00D95E54">
        <w:rPr>
          <w:szCs w:val="22"/>
        </w:rPr>
        <w:t>n Historic Properties</w:t>
      </w:r>
      <w:r>
        <w:rPr>
          <w:szCs w:val="22"/>
        </w:rPr>
        <w:t xml:space="preserve"> f</w:t>
      </w:r>
      <w:r w:rsidRPr="00D95E54">
        <w:rPr>
          <w:szCs w:val="22"/>
        </w:rPr>
        <w:t>or Certain Undertakings Approved</w:t>
      </w:r>
      <w:r>
        <w:rPr>
          <w:szCs w:val="22"/>
        </w:rPr>
        <w:t xml:space="preserve"> b</w:t>
      </w:r>
      <w:r w:rsidRPr="00D95E54">
        <w:rPr>
          <w:szCs w:val="22"/>
        </w:rPr>
        <w:t xml:space="preserve">y </w:t>
      </w:r>
      <w:r>
        <w:rPr>
          <w:szCs w:val="22"/>
        </w:rPr>
        <w:t>t</w:t>
      </w:r>
      <w:r w:rsidRPr="00D95E54">
        <w:rPr>
          <w:szCs w:val="22"/>
        </w:rPr>
        <w:t>he Federal Communications</w:t>
      </w:r>
      <w:r>
        <w:rPr>
          <w:szCs w:val="22"/>
        </w:rPr>
        <w:t xml:space="preserve"> </w:t>
      </w:r>
      <w:r w:rsidRPr="00D95E54">
        <w:rPr>
          <w:szCs w:val="22"/>
        </w:rPr>
        <w:t>Commission</w:t>
      </w:r>
      <w:r>
        <w:rPr>
          <w:szCs w:val="22"/>
        </w:rPr>
        <w:t>, 47 CFR Part 1, App. C (</w:t>
      </w:r>
      <w:r>
        <w:rPr>
          <w:i/>
          <w:iCs/>
          <w:szCs w:val="22"/>
        </w:rPr>
        <w:t>Wireless Facilities NPA</w:t>
      </w:r>
      <w:r>
        <w:rPr>
          <w:szCs w:val="22"/>
        </w:rPr>
        <w:t>).</w:t>
      </w:r>
    </w:p>
  </w:footnote>
  <w:footnote w:id="5">
    <w:p w:rsidR="00D212AA" w:rsidP="00D212AA" w14:paraId="7471CA05" w14:textId="77777777">
      <w:pPr>
        <w:pStyle w:val="FootnoteText"/>
      </w:pPr>
      <w:r>
        <w:rPr>
          <w:rStyle w:val="FootnoteReference"/>
        </w:rPr>
        <w:footnoteRef/>
      </w:r>
      <w:r>
        <w:t xml:space="preserve"> </w:t>
      </w:r>
      <w:r w:rsidRPr="00C37DD6">
        <w:rPr>
          <w:szCs w:val="22"/>
        </w:rPr>
        <w:t>We do not</w:t>
      </w:r>
      <w:r>
        <w:rPr>
          <w:szCs w:val="22"/>
        </w:rPr>
        <w:t xml:space="preserve"> </w:t>
      </w:r>
      <w:r w:rsidRPr="00C37DD6">
        <w:rPr>
          <w:szCs w:val="22"/>
        </w:rPr>
        <w:t xml:space="preserve">seek comment on </w:t>
      </w:r>
      <w:r>
        <w:rPr>
          <w:szCs w:val="22"/>
        </w:rPr>
        <w:t xml:space="preserve">changes to the </w:t>
      </w:r>
      <w:r w:rsidRPr="00C37DD6">
        <w:rPr>
          <w:szCs w:val="22"/>
        </w:rPr>
        <w:t xml:space="preserve">substantive requirements </w:t>
      </w:r>
      <w:r>
        <w:rPr>
          <w:szCs w:val="22"/>
        </w:rPr>
        <w:t>set forth in the Commission’s rules, orders, or program alternatives approved by ACHP</w:t>
      </w:r>
      <w:r w:rsidRPr="00C37DD6">
        <w:rPr>
          <w:szCs w:val="22"/>
        </w:rPr>
        <w:t>.</w:t>
      </w:r>
      <w:r>
        <w:rPr>
          <w:szCs w:val="22"/>
        </w:rPr>
        <w:t xml:space="preserve">  </w:t>
      </w:r>
      <w:r>
        <w:rPr>
          <w:i/>
          <w:iCs/>
        </w:rPr>
        <w:t xml:space="preserve">See </w:t>
      </w:r>
      <w:r>
        <w:t xml:space="preserve">47 CFR §§ 0.131(e), 0.331 (defining scope of </w:t>
      </w:r>
      <w:r>
        <w:rPr>
          <w:szCs w:val="22"/>
        </w:rPr>
        <w:t xml:space="preserve">WTB’s delegated authority); </w:t>
      </w:r>
      <w:r>
        <w:rPr>
          <w:i/>
          <w:iCs/>
          <w:szCs w:val="22"/>
        </w:rPr>
        <w:t>cf.</w:t>
      </w:r>
      <w:r>
        <w:rPr>
          <w:szCs w:val="22"/>
        </w:rPr>
        <w:t xml:space="preserve"> </w:t>
      </w:r>
      <w:r w:rsidRPr="005F2DE1">
        <w:rPr>
          <w:i/>
          <w:iCs/>
          <w:szCs w:val="22"/>
        </w:rPr>
        <w:t>Completing the Transition to Electronic Filing</w:t>
      </w:r>
      <w:r>
        <w:rPr>
          <w:szCs w:val="22"/>
        </w:rPr>
        <w:t>, Notice of Proposed Rulemaking,</w:t>
      </w:r>
      <w:r w:rsidRPr="005F2DE1">
        <w:rPr>
          <w:szCs w:val="22"/>
        </w:rPr>
        <w:t xml:space="preserve"> 34 FCC </w:t>
      </w:r>
      <w:r w:rsidRPr="005F2DE1">
        <w:rPr>
          <w:szCs w:val="22"/>
        </w:rPr>
        <w:t>Rcd</w:t>
      </w:r>
      <w:r w:rsidRPr="005F2DE1">
        <w:rPr>
          <w:szCs w:val="22"/>
        </w:rPr>
        <w:t xml:space="preserve"> 8397 (2019)</w:t>
      </w:r>
      <w:r>
        <w:rPr>
          <w:szCs w:val="22"/>
        </w:rPr>
        <w:t xml:space="preserve"> (seeking comment on applicants’ electronic filing obligations </w:t>
      </w:r>
      <w:r>
        <w:rPr>
          <w:szCs w:val="22"/>
        </w:rPr>
        <w:t>with regard to</w:t>
      </w:r>
      <w:r>
        <w:rPr>
          <w:szCs w:val="22"/>
        </w:rPr>
        <w:t xml:space="preserve"> Forms 620, 621, and others).</w:t>
      </w:r>
    </w:p>
  </w:footnote>
  <w:footnote w:id="6">
    <w:p w:rsidR="0001201A" w:rsidP="0034506E" w14:paraId="37269954" w14:textId="399C98B0">
      <w:pPr>
        <w:pStyle w:val="FootnoteText"/>
      </w:pPr>
      <w:r>
        <w:rPr>
          <w:rStyle w:val="FootnoteReference"/>
        </w:rPr>
        <w:footnoteRef/>
      </w:r>
      <w:r>
        <w:t xml:space="preserve"> </w:t>
      </w:r>
      <w:r w:rsidR="007828B7">
        <w:rPr>
          <w:i/>
          <w:iCs/>
        </w:rPr>
        <w:t>See, e.g., Communications Marketplace Report</w:t>
      </w:r>
      <w:r w:rsidR="007828B7">
        <w:t xml:space="preserve">, 33 FCC </w:t>
      </w:r>
      <w:r w:rsidR="007828B7">
        <w:t>Rcd</w:t>
      </w:r>
      <w:r w:rsidR="007828B7">
        <w:t xml:space="preserve"> 12558, 12589, para. 35 (2018) (discussing the need for wireless service providers and infrastructure companies to deploy small cell facilities </w:t>
      </w:r>
      <w:r w:rsidR="007E4949">
        <w:t xml:space="preserve">rapidly </w:t>
      </w:r>
      <w:r w:rsidR="007828B7">
        <w:t xml:space="preserve">in order to densify networks, increase local capacity, and </w:t>
      </w:r>
      <w:r w:rsidR="0029389D">
        <w:t xml:space="preserve">introduce </w:t>
      </w:r>
      <w:r w:rsidR="007828B7">
        <w:t>5G technology</w:t>
      </w:r>
      <w:r w:rsidR="0029389D">
        <w:t xml:space="preserve"> across the nation</w:t>
      </w:r>
      <w:r w:rsidR="007828B7">
        <w:t>).</w:t>
      </w:r>
    </w:p>
  </w:footnote>
  <w:footnote w:id="7">
    <w:p w:rsidR="00CF1BA1" w:rsidP="00CF1BA1" w14:paraId="479FFC06" w14:textId="02A466C9">
      <w:pPr>
        <w:pStyle w:val="FootnoteText"/>
      </w:pPr>
      <w:r>
        <w:rPr>
          <w:rStyle w:val="FootnoteReference"/>
        </w:rPr>
        <w:footnoteRef/>
      </w:r>
      <w:r>
        <w:t xml:space="preserve"> The high-level, general summar</w:t>
      </w:r>
      <w:r w:rsidR="00AE23B2">
        <w:t xml:space="preserve">ies set forth </w:t>
      </w:r>
      <w:r w:rsidR="00410258">
        <w:t xml:space="preserve">herein </w:t>
      </w:r>
      <w:r w:rsidR="00AE23B2">
        <w:t xml:space="preserve">are intended to be descriptive, </w:t>
      </w:r>
      <w:r>
        <w:t xml:space="preserve">not </w:t>
      </w:r>
      <w:r w:rsidR="00AE23B2">
        <w:t xml:space="preserve">authoritative.  The text </w:t>
      </w:r>
      <w:r>
        <w:t xml:space="preserve">of the forms, their instructions, </w:t>
      </w:r>
      <w:r w:rsidR="00AE23B2">
        <w:t xml:space="preserve">and </w:t>
      </w:r>
      <w:r>
        <w:t xml:space="preserve">pertinent Commission orders and rules are the only definitive bases for interpreting their substantive requirements. </w:t>
      </w:r>
    </w:p>
  </w:footnote>
  <w:footnote w:id="8">
    <w:p w:rsidR="009E7412" w:rsidRPr="009E7412" w:rsidP="009E7412" w14:paraId="7DF87313" w14:textId="1692CBE2">
      <w:pPr>
        <w:pStyle w:val="FootnoteText"/>
      </w:pPr>
      <w:r>
        <w:rPr>
          <w:rStyle w:val="FootnoteReference"/>
        </w:rPr>
        <w:footnoteRef/>
      </w:r>
      <w:r>
        <w:t xml:space="preserve"> </w:t>
      </w:r>
      <w:r>
        <w:rPr>
          <w:i/>
          <w:iCs/>
        </w:rPr>
        <w:t xml:space="preserve">Cf. </w:t>
      </w:r>
      <w:r w:rsidRPr="009E7412">
        <w:t xml:space="preserve">Advisory Council </w:t>
      </w:r>
      <w:r>
        <w:t>o</w:t>
      </w:r>
      <w:r w:rsidRPr="009E7412">
        <w:t>n Historic</w:t>
      </w:r>
      <w:r>
        <w:t xml:space="preserve"> </w:t>
      </w:r>
      <w:r w:rsidRPr="009E7412">
        <w:t>Preservation</w:t>
      </w:r>
      <w:r>
        <w:t xml:space="preserve">, </w:t>
      </w:r>
      <w:r w:rsidRPr="009E7412">
        <w:rPr>
          <w:i/>
          <w:iCs/>
        </w:rPr>
        <w:t>Notice of Issuance of Program</w:t>
      </w:r>
      <w:r>
        <w:rPr>
          <w:i/>
          <w:iCs/>
        </w:rPr>
        <w:t xml:space="preserve"> </w:t>
      </w:r>
      <w:r w:rsidRPr="009E7412">
        <w:rPr>
          <w:i/>
          <w:iCs/>
        </w:rPr>
        <w:t xml:space="preserve">Comment </w:t>
      </w:r>
      <w:r w:rsidR="00B90FDC">
        <w:rPr>
          <w:i/>
          <w:iCs/>
        </w:rPr>
        <w:t>t</w:t>
      </w:r>
      <w:r w:rsidRPr="009E7412">
        <w:rPr>
          <w:i/>
          <w:iCs/>
        </w:rPr>
        <w:t>o Tailor the Federal</w:t>
      </w:r>
      <w:r>
        <w:rPr>
          <w:i/>
          <w:iCs/>
        </w:rPr>
        <w:t xml:space="preserve"> </w:t>
      </w:r>
      <w:r w:rsidRPr="009E7412">
        <w:rPr>
          <w:i/>
          <w:iCs/>
        </w:rPr>
        <w:t>Communications Commission’s</w:t>
      </w:r>
      <w:r>
        <w:rPr>
          <w:i/>
          <w:iCs/>
        </w:rPr>
        <w:t xml:space="preserve"> </w:t>
      </w:r>
      <w:r w:rsidRPr="009E7412">
        <w:rPr>
          <w:i/>
          <w:iCs/>
        </w:rPr>
        <w:t>Review for Undertakings Involving the</w:t>
      </w:r>
      <w:r>
        <w:rPr>
          <w:i/>
          <w:iCs/>
        </w:rPr>
        <w:t xml:space="preserve"> </w:t>
      </w:r>
      <w:r w:rsidRPr="009E7412">
        <w:rPr>
          <w:i/>
          <w:iCs/>
        </w:rPr>
        <w:t>Construction of Positive Train Control</w:t>
      </w:r>
      <w:r>
        <w:rPr>
          <w:i/>
          <w:iCs/>
        </w:rPr>
        <w:t xml:space="preserve"> </w:t>
      </w:r>
      <w:r w:rsidRPr="009E7412">
        <w:rPr>
          <w:i/>
          <w:iCs/>
        </w:rPr>
        <w:t>Wayside Poles and Infrastructure</w:t>
      </w:r>
      <w:r>
        <w:t>, 79 FR 30861</w:t>
      </w:r>
      <w:r w:rsidR="00A90FB8">
        <w:t>, 30866,</w:t>
      </w:r>
      <w:r>
        <w:t xml:space="preserve"> </w:t>
      </w:r>
      <w:r w:rsidR="00A90FB8">
        <w:t xml:space="preserve">§ VII.A </w:t>
      </w:r>
      <w:r>
        <w:t>(May 29, 2014)</w:t>
      </w:r>
      <w:r w:rsidR="00A90FB8">
        <w:t xml:space="preserve"> (establishing comparable process).</w:t>
      </w:r>
      <w:r>
        <w:t xml:space="preserve"> </w:t>
      </w:r>
    </w:p>
  </w:footnote>
  <w:footnote w:id="9">
    <w:p w:rsidR="001B0041" w14:paraId="2B60FB12" w14:textId="77777777">
      <w:pPr>
        <w:pStyle w:val="FootnoteText"/>
      </w:pPr>
      <w:r>
        <w:rPr>
          <w:rStyle w:val="FootnoteReference"/>
        </w:rPr>
        <w:footnoteRef/>
      </w:r>
      <w:r>
        <w:t xml:space="preserve"> </w:t>
      </w:r>
      <w:r w:rsidRPr="00A36921">
        <w:t>47 CFR §§ 1.415, 1.419.</w:t>
      </w:r>
    </w:p>
  </w:footnote>
  <w:footnote w:id="10">
    <w:p w:rsidR="001B0041" w:rsidP="00C37DD6" w14:paraId="428CB05D" w14:textId="77777777">
      <w:pPr>
        <w:pStyle w:val="FootnoteText"/>
      </w:pPr>
      <w:r>
        <w:rPr>
          <w:rStyle w:val="FootnoteReference"/>
        </w:rPr>
        <w:footnoteRef/>
      </w:r>
      <w:r>
        <w:t xml:space="preserve"> </w:t>
      </w:r>
      <w:r w:rsidRPr="00C37DD6">
        <w:rPr>
          <w:i/>
          <w:iCs/>
          <w:szCs w:val="22"/>
        </w:rPr>
        <w:t>See Electronic Filing of Documents in Rulemaking Proceedings</w:t>
      </w:r>
      <w:r w:rsidRPr="00C37DD6">
        <w:rPr>
          <w:szCs w:val="22"/>
        </w:rPr>
        <w:t>, 63 FR 24121 (1998).</w:t>
      </w:r>
    </w:p>
  </w:footnote>
  <w:footnote w:id="11">
    <w:p w:rsidR="001B0041" w14:paraId="2A56BCEC" w14:textId="5CBE0454">
      <w:pPr>
        <w:pStyle w:val="FootnoteText"/>
      </w:pPr>
      <w:r>
        <w:rPr>
          <w:rStyle w:val="FootnoteReference"/>
        </w:rPr>
        <w:footnoteRef/>
      </w:r>
      <w:r>
        <w:t xml:space="preserve"> </w:t>
      </w:r>
      <w:r w:rsidRPr="00A36921">
        <w:rPr>
          <w:i/>
          <w:iCs/>
          <w:color w:val="242021"/>
          <w:spacing w:val="1"/>
        </w:rPr>
        <w:t>Se</w:t>
      </w:r>
      <w:r w:rsidRPr="00A36921">
        <w:rPr>
          <w:i/>
          <w:iCs/>
          <w:color w:val="242021"/>
        </w:rPr>
        <w:t>e</w:t>
      </w:r>
      <w:r w:rsidRPr="00A36921">
        <w:rPr>
          <w:i/>
          <w:iCs/>
          <w:color w:val="242021"/>
          <w:spacing w:val="-2"/>
        </w:rPr>
        <w:t xml:space="preserve"> </w:t>
      </w:r>
      <w:r w:rsidR="00A90FB8">
        <w:rPr>
          <w:color w:val="242021"/>
          <w:spacing w:val="-2"/>
        </w:rPr>
        <w:t xml:space="preserve">47 CFR </w:t>
      </w:r>
      <w:r w:rsidRPr="00A36921">
        <w:rPr>
          <w:color w:val="242021"/>
          <w:spacing w:val="1"/>
        </w:rPr>
        <w:t>§</w:t>
      </w:r>
      <w:r w:rsidRPr="00A36921">
        <w:rPr>
          <w:color w:val="242021"/>
        </w:rPr>
        <w:t>§</w:t>
      </w:r>
      <w:r w:rsidRPr="00A36921">
        <w:rPr>
          <w:color w:val="242021"/>
          <w:spacing w:val="-2"/>
        </w:rPr>
        <w:t xml:space="preserve"> </w:t>
      </w:r>
      <w:r w:rsidRPr="00A36921">
        <w:rPr>
          <w:color w:val="242021"/>
          <w:spacing w:val="1"/>
        </w:rPr>
        <w:t>1.120</w:t>
      </w:r>
      <w:r w:rsidRPr="00A36921">
        <w:rPr>
          <w:color w:val="242021"/>
        </w:rPr>
        <w:t>0</w:t>
      </w:r>
      <w:r w:rsidRPr="00A36921">
        <w:rPr>
          <w:color w:val="242021"/>
          <w:spacing w:val="-4"/>
        </w:rPr>
        <w:t xml:space="preserve"> </w:t>
      </w:r>
      <w:r w:rsidRPr="00A36921">
        <w:rPr>
          <w:i/>
          <w:iCs/>
          <w:color w:val="242021"/>
          <w:spacing w:val="-1"/>
        </w:rPr>
        <w:t>e</w:t>
      </w:r>
      <w:r w:rsidRPr="00A36921">
        <w:rPr>
          <w:i/>
          <w:iCs/>
          <w:color w:val="242021"/>
        </w:rPr>
        <w:t>t</w:t>
      </w:r>
      <w:r w:rsidRPr="00A36921">
        <w:rPr>
          <w:i/>
          <w:iCs/>
          <w:color w:val="242021"/>
          <w:spacing w:val="-1"/>
        </w:rPr>
        <w:t xml:space="preserve"> se</w:t>
      </w:r>
      <w:r w:rsidRPr="00A36921">
        <w:rPr>
          <w:i/>
          <w:iCs/>
          <w:color w:val="242021"/>
          <w:spacing w:val="1"/>
        </w:rPr>
        <w:t>q</w:t>
      </w:r>
      <w:r w:rsidRPr="00A36921">
        <w:rPr>
          <w:color w:val="242021"/>
        </w:rPr>
        <w:t>.</w:t>
      </w:r>
    </w:p>
  </w:footnote>
  <w:footnote w:id="12">
    <w:p w:rsidR="001B0041" w14:paraId="5C9A7B1B" w14:textId="77777777">
      <w:pPr>
        <w:pStyle w:val="FootnoteText"/>
      </w:pPr>
      <w:r>
        <w:rPr>
          <w:rStyle w:val="FootnoteReference"/>
        </w:rPr>
        <w:footnoteRef/>
      </w:r>
      <w:r>
        <w:t xml:space="preserve"> </w:t>
      </w:r>
      <w:r w:rsidRPr="00A36921">
        <w:rPr>
          <w:i/>
        </w:rPr>
        <w:t xml:space="preserve">Id. </w:t>
      </w:r>
      <w:r w:rsidRPr="00A36921">
        <w:t>§ 1.1206(b).</w:t>
      </w:r>
    </w:p>
  </w:footnote>
  <w:footnote w:id="13">
    <w:p w:rsidR="001B0041" w:rsidRPr="00897022" w14:paraId="2D719EB1" w14:textId="748384B9">
      <w:pPr>
        <w:pStyle w:val="FootnoteText"/>
      </w:pPr>
      <w:r>
        <w:rPr>
          <w:rStyle w:val="FootnoteReference"/>
        </w:rPr>
        <w:footnoteRef/>
      </w:r>
      <w:r>
        <w:t xml:space="preserve"> </w:t>
      </w:r>
      <w:r>
        <w:rPr>
          <w:i/>
          <w:iCs/>
        </w:rPr>
        <w:t>Id.</w:t>
      </w:r>
      <w:r>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041" w:rsidP="00F44425" w14:paraId="173D859C" w14:textId="77777777">
    <w:pPr>
      <w:pStyle w:val="Header"/>
    </w:pPr>
    <w:r>
      <w:tab/>
      <w:t>Federal Communications Commission</w:t>
    </w:r>
    <w:r>
      <w:tab/>
    </w:r>
    <w:r>
      <w:fldChar w:fldCharType="begin"/>
    </w:r>
    <w:r>
      <w:instrText xml:space="preserve"> MACROBUTTON  AcceptAllChangesShown "FCC  XX-XXX" </w:instrText>
    </w:r>
    <w:r>
      <w:fldChar w:fldCharType="end"/>
    </w:r>
  </w:p>
  <w:p w:rsidR="001B0041" w14:paraId="2E3B68E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B0041" w14:paraId="3833EE0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041" w:rsidRPr="0041002D" w:rsidP="00F44425" w14:paraId="37DE0F5F" w14:textId="77777777">
    <w:pPr>
      <w:pStyle w:val="Header"/>
    </w:pPr>
    <w:r>
      <mc:AlternateContent>
        <mc:Choice Requires="wps">
          <w:drawing>
            <wp:anchor distT="45720" distB="45720" distL="114300" distR="114300" simplePos="0" relativeHeight="251667456" behindDoc="0" locked="0" layoutInCell="1" allowOverlap="1">
              <wp:simplePos x="0" y="0"/>
              <wp:positionH relativeFrom="column">
                <wp:posOffset>245110</wp:posOffset>
              </wp:positionH>
              <wp:positionV relativeFrom="paragraph">
                <wp:posOffset>-1346200</wp:posOffset>
              </wp:positionV>
              <wp:extent cx="5101590" cy="749300"/>
              <wp:effectExtent l="0" t="0" r="0" b="0"/>
              <wp:wrapSquare wrapText="bothSides"/>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101590" cy="7493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0041" w14:textId="77777777">
                          <w:r>
                            <w:rPr>
                              <w:rFonts w:ascii="News Gothic MT" w:hAnsi="News Gothic MT"/>
                              <w:b/>
                              <w:sz w:val="96"/>
                            </w:rPr>
                            <w:t>PUBLIC NOTICE</w:t>
                          </w:r>
                        </w:p>
                        <w:p w:rsidR="001B0041" w14:textId="77777777"/>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401.7pt;height:59pt;margin-top:-106pt;margin-left:19.3pt;mso-height-percent:0;mso-height-relative:margin;mso-width-percent:0;mso-width-relative:margin;mso-wrap-distance-bottom:3.6pt;mso-wrap-distance-left:9pt;mso-wrap-distance-right:9pt;mso-wrap-distance-top:3.6pt;mso-wrap-style:square;position:absolute;visibility:visible;v-text-anchor:top;z-index:251668480" stroked="f">
              <v:textbox>
                <w:txbxContent>
                  <w:p w:rsidR="001B0041" w14:paraId="3D763E8F" w14:textId="77777777">
                    <w:r>
                      <w:rPr>
                        <w:rFonts w:ascii="News Gothic MT" w:hAnsi="News Gothic MT"/>
                        <w:b/>
                        <w:sz w:val="96"/>
                      </w:rPr>
                      <w:t>PUBLIC NOTICE</w:t>
                    </w:r>
                  </w:p>
                  <w:p w:rsidR="001B0041" w14:paraId="7C4ACE16" w14:textId="77777777"/>
                </w:txbxContent>
              </v:textbox>
              <w10:wrap type="square"/>
            </v:shape>
          </w:pict>
        </mc:Fallback>
      </mc:AlternateContent>
    </w:r>
    <w:r>
      <w:rPr>
        <w:snapToGrid/>
      </w:rPr>
      <mc:AlternateContent>
        <mc:Choice Requires="wps">
          <w:drawing>
            <wp:anchor distT="0" distB="0" distL="114300" distR="114300" simplePos="0" relativeHeight="251665408" behindDoc="0" locked="0" layoutInCell="0" allowOverlap="1">
              <wp:simplePos x="0" y="0"/>
              <wp:positionH relativeFrom="column">
                <wp:posOffset>-457200</wp:posOffset>
              </wp:positionH>
              <wp:positionV relativeFrom="paragraph">
                <wp:posOffset>52705</wp:posOffset>
              </wp:positionV>
              <wp:extent cx="6858000" cy="2540"/>
              <wp:effectExtent l="9525" t="5080" r="9525" b="11430"/>
              <wp:wrapNone/>
              <wp:docPr id="3" name="Line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1" style="mso-height-percent:0;mso-height-relative:page;mso-width-percent:0;mso-width-relative:page;mso-wrap-distance-bottom:0;mso-wrap-distance-left:9pt;mso-wrap-distance-right:9pt;mso-wrap-distance-top:0;mso-wrap-style:square;position:absolute;visibility:visible;z-index:251666432" from="-36pt,4.15pt" to="7in,4.35pt" o:allowincell="f"/>
          </w:pict>
        </mc:Fallback>
      </mc:AlternateContent>
    </w:r>
    <w:r>
      <w:rPr>
        <w:snapToGrid/>
      </w:rPr>
      <mc:AlternateContent>
        <mc:Choice Requires="wps">
          <w:drawing>
            <wp:anchor distT="0" distB="0" distL="114300" distR="114300" simplePos="0" relativeHeight="251663360" behindDoc="0" locked="0" layoutInCell="0" allowOverlap="1">
              <wp:simplePos x="0" y="0"/>
              <wp:positionH relativeFrom="column">
                <wp:posOffset>3818890</wp:posOffset>
              </wp:positionH>
              <wp:positionV relativeFrom="paragraph">
                <wp:posOffset>-514985</wp:posOffset>
              </wp:positionV>
              <wp:extent cx="2640965" cy="548640"/>
              <wp:effectExtent l="0" t="0" r="0" b="4445"/>
              <wp:wrapNone/>
              <wp:docPr id="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0041" w:rsidP="0041002D" w14:textId="77777777">
                          <w:pPr>
                            <w:spacing w:before="40"/>
                            <w:jc w:val="right"/>
                            <w:rPr>
                              <w:rFonts w:ascii="Arial" w:hAnsi="Arial"/>
                              <w:b/>
                              <w:sz w:val="16"/>
                            </w:rPr>
                          </w:pPr>
                          <w:r>
                            <w:rPr>
                              <w:rFonts w:ascii="Arial" w:hAnsi="Arial"/>
                              <w:b/>
                              <w:sz w:val="16"/>
                            </w:rPr>
                            <w:t>News Media Information 202 / 418-0500</w:t>
                          </w:r>
                        </w:p>
                        <w:p w:rsidR="001B0041" w:rsidP="0041002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B0041" w:rsidP="0041002D" w14:textId="77777777">
                          <w:pPr>
                            <w:jc w:val="right"/>
                            <w:rPr>
                              <w:rFonts w:ascii="Arial" w:hAnsi="Arial"/>
                              <w:b/>
                              <w:sz w:val="16"/>
                            </w:rPr>
                          </w:pPr>
                          <w:r>
                            <w:rPr>
                              <w:rFonts w:ascii="Arial" w:hAnsi="Arial"/>
                              <w:b/>
                              <w:sz w:val="16"/>
                            </w:rPr>
                            <w:t>TTY: 1-888-835-5322</w:t>
                          </w:r>
                        </w:p>
                        <w:p w:rsidR="001B0041" w:rsidP="0041002D"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2" type="#_x0000_t202" style="width:207.95pt;height:43.2pt;margin-top:-40.55pt;margin-left:300.7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0041" w:rsidP="0041002D" w14:paraId="5B4DEA30" w14:textId="77777777">
                    <w:pPr>
                      <w:spacing w:before="40"/>
                      <w:jc w:val="right"/>
                      <w:rPr>
                        <w:rFonts w:ascii="Arial" w:hAnsi="Arial"/>
                        <w:b/>
                        <w:sz w:val="16"/>
                      </w:rPr>
                    </w:pPr>
                    <w:r>
                      <w:rPr>
                        <w:rFonts w:ascii="Arial" w:hAnsi="Arial"/>
                        <w:b/>
                        <w:sz w:val="16"/>
                      </w:rPr>
                      <w:t>News Media Information 202 / 418-0500</w:t>
                    </w:r>
                  </w:p>
                  <w:p w:rsidR="001B0041" w:rsidP="0041002D" w14:paraId="571E1119"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B0041" w:rsidP="0041002D" w14:paraId="3782C7DF" w14:textId="77777777">
                    <w:pPr>
                      <w:jc w:val="right"/>
                      <w:rPr>
                        <w:rFonts w:ascii="Arial" w:hAnsi="Arial"/>
                        <w:b/>
                        <w:sz w:val="16"/>
                      </w:rPr>
                    </w:pPr>
                    <w:r>
                      <w:rPr>
                        <w:rFonts w:ascii="Arial" w:hAnsi="Arial"/>
                        <w:b/>
                        <w:sz w:val="16"/>
                      </w:rPr>
                      <w:t>TTY: 1-888-835-5322</w:t>
                    </w:r>
                  </w:p>
                  <w:p w:rsidR="001B0041" w:rsidP="0041002D" w14:paraId="2F3A7D0C" w14:textId="77777777">
                    <w:pPr>
                      <w:jc w:val="right"/>
                    </w:pPr>
                  </w:p>
                </w:txbxContent>
              </v:textbox>
            </v:shape>
          </w:pict>
        </mc:Fallback>
      </mc:AlternateContent>
    </w:r>
    <w:r>
      <w:rPr>
        <w:snapToGrid/>
      </w:rPr>
      <mc:AlternateContent>
        <mc:Choice Requires="wps">
          <w:drawing>
            <wp:anchor distT="0" distB="0" distL="114300" distR="114300" simplePos="0" relativeHeight="251661312" behindDoc="0" locked="0" layoutInCell="0" allowOverlap="1">
              <wp:simplePos x="0" y="0"/>
              <wp:positionH relativeFrom="column">
                <wp:posOffset>147320</wp:posOffset>
              </wp:positionH>
              <wp:positionV relativeFrom="paragraph">
                <wp:posOffset>-640080</wp:posOffset>
              </wp:positionV>
              <wp:extent cx="3108960" cy="640080"/>
              <wp:effectExtent l="4445" t="0" r="1270" b="0"/>
              <wp:wrapNone/>
              <wp:docPr id="1"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B0041" w:rsidP="0041002D" w14:textId="77777777">
                          <w:pPr>
                            <w:rPr>
                              <w:rFonts w:ascii="Arial" w:hAnsi="Arial"/>
                              <w:b/>
                            </w:rPr>
                          </w:pPr>
                          <w:r>
                            <w:rPr>
                              <w:rFonts w:ascii="Arial" w:hAnsi="Arial"/>
                              <w:b/>
                            </w:rPr>
                            <w:t>Federal Communications Commission</w:t>
                          </w:r>
                        </w:p>
                        <w:p w:rsidR="001B0041" w:rsidP="0041002D"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1B0041" w:rsidP="0041002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 o:spid="_x0000_s2053" type="#_x0000_t202" style="width:244.8pt;height:50.4pt;margin-top:-50.4pt;margin-left:11.6pt;mso-height-percent:0;mso-height-relative:page;mso-width-percent:0;mso-width-relative:page;mso-wrap-distance-bottom:0;mso-wrap-distance-left:9pt;mso-wrap-distance-right:9pt;mso-wrap-distance-top:0;mso-wrap-style:square;position:absolute;visibility:visible;v-text-anchor:top;z-index:251662336" o:allowincell="f" stroked="f">
              <v:textbox>
                <w:txbxContent>
                  <w:p w:rsidR="001B0041" w:rsidP="0041002D" w14:paraId="1D9F9E7C" w14:textId="77777777">
                    <w:pPr>
                      <w:rPr>
                        <w:rFonts w:ascii="Arial" w:hAnsi="Arial"/>
                        <w:b/>
                      </w:rPr>
                    </w:pPr>
                    <w:r>
                      <w:rPr>
                        <w:rFonts w:ascii="Arial" w:hAnsi="Arial"/>
                        <w:b/>
                      </w:rPr>
                      <w:t>Federal Communications Commission</w:t>
                    </w:r>
                  </w:p>
                  <w:p w:rsidR="001B0041" w:rsidP="0041002D" w14:paraId="0F8FB81E"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1B0041" w:rsidP="0041002D" w14:paraId="17970BCD" w14:textId="77777777">
                    <w:pPr>
                      <w:rPr>
                        <w:rFonts w:ascii="Arial" w:hAnsi="Arial"/>
                        <w:sz w:val="24"/>
                      </w:rPr>
                    </w:pPr>
                    <w:r>
                      <w:rPr>
                        <w:rFonts w:ascii="Arial" w:hAnsi="Arial"/>
                        <w:b/>
                      </w:rPr>
                      <w:t>Washington, D.C. 20554</w:t>
                    </w:r>
                  </w:p>
                </w:txbxContent>
              </v:textbox>
            </v:shape>
          </w:pict>
        </mc:Fallback>
      </mc:AlternateContent>
    </w:r>
    <w:r>
      <w:rPr>
        <w:snapToGrid/>
      </w:rPr>
      <w:drawing>
        <wp:anchor distT="0" distB="0" distL="114300" distR="114300" simplePos="0" relativeHeight="251660288" behindDoc="0" locked="0" layoutInCell="0" allowOverlap="1">
          <wp:simplePos x="0" y="0"/>
          <wp:positionH relativeFrom="column">
            <wp:posOffset>-426720</wp:posOffset>
          </wp:positionH>
          <wp:positionV relativeFrom="paragraph">
            <wp:posOffset>-1263650</wp:posOffset>
          </wp:positionV>
          <wp:extent cx="530225" cy="530225"/>
          <wp:effectExtent l="0" t="0" r="0" b="0"/>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839931"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0041" w:rsidRPr="005165A8" w:rsidP="005165A8" w14:paraId="280B6D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4552935"/>
    <w:multiLevelType w:val="hybridMultilevel"/>
    <w:tmpl w:val="44B8BB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7F117B7"/>
    <w:multiLevelType w:val="hybridMultilevel"/>
    <w:tmpl w:val="EFB0B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9114800"/>
    <w:multiLevelType w:val="hybridMultilevel"/>
    <w:tmpl w:val="CD722828"/>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Times New Roman" w:hAnsi="Times New Roman" w:eastAsiaTheme="minorHAns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E5"/>
    <w:rsid w:val="00002905"/>
    <w:rsid w:val="000109C2"/>
    <w:rsid w:val="0001201A"/>
    <w:rsid w:val="00025836"/>
    <w:rsid w:val="00027B0E"/>
    <w:rsid w:val="00036039"/>
    <w:rsid w:val="00037F90"/>
    <w:rsid w:val="000478FA"/>
    <w:rsid w:val="000875BF"/>
    <w:rsid w:val="00096D8C"/>
    <w:rsid w:val="000A2103"/>
    <w:rsid w:val="000A51B9"/>
    <w:rsid w:val="000B01B9"/>
    <w:rsid w:val="000C0B65"/>
    <w:rsid w:val="000E05FE"/>
    <w:rsid w:val="000E3D42"/>
    <w:rsid w:val="00104590"/>
    <w:rsid w:val="00122BD5"/>
    <w:rsid w:val="00133F79"/>
    <w:rsid w:val="00134975"/>
    <w:rsid w:val="001829B4"/>
    <w:rsid w:val="00187823"/>
    <w:rsid w:val="00194A66"/>
    <w:rsid w:val="001B0041"/>
    <w:rsid w:val="001B4D1C"/>
    <w:rsid w:val="001C16DB"/>
    <w:rsid w:val="001D6BCF"/>
    <w:rsid w:val="001D6DE1"/>
    <w:rsid w:val="001E01CA"/>
    <w:rsid w:val="001F2714"/>
    <w:rsid w:val="002071D9"/>
    <w:rsid w:val="00211001"/>
    <w:rsid w:val="00211D27"/>
    <w:rsid w:val="0021486B"/>
    <w:rsid w:val="00225049"/>
    <w:rsid w:val="002322E1"/>
    <w:rsid w:val="00261CFE"/>
    <w:rsid w:val="00275CF5"/>
    <w:rsid w:val="0028301F"/>
    <w:rsid w:val="00285017"/>
    <w:rsid w:val="0029389D"/>
    <w:rsid w:val="00297FD3"/>
    <w:rsid w:val="002A0309"/>
    <w:rsid w:val="002A2D2E"/>
    <w:rsid w:val="002A7670"/>
    <w:rsid w:val="002C00E8"/>
    <w:rsid w:val="002C32AB"/>
    <w:rsid w:val="002E65AE"/>
    <w:rsid w:val="002F716D"/>
    <w:rsid w:val="00343749"/>
    <w:rsid w:val="0034506E"/>
    <w:rsid w:val="00354CEB"/>
    <w:rsid w:val="003558C0"/>
    <w:rsid w:val="003660ED"/>
    <w:rsid w:val="00384AAD"/>
    <w:rsid w:val="00393417"/>
    <w:rsid w:val="003B0550"/>
    <w:rsid w:val="003B694F"/>
    <w:rsid w:val="003C4BE5"/>
    <w:rsid w:val="003F171C"/>
    <w:rsid w:val="0041002D"/>
    <w:rsid w:val="00410258"/>
    <w:rsid w:val="00412FC5"/>
    <w:rsid w:val="0041732C"/>
    <w:rsid w:val="00422276"/>
    <w:rsid w:val="004242F1"/>
    <w:rsid w:val="004330AA"/>
    <w:rsid w:val="00445A00"/>
    <w:rsid w:val="00451B0F"/>
    <w:rsid w:val="0045292B"/>
    <w:rsid w:val="004573E8"/>
    <w:rsid w:val="00464690"/>
    <w:rsid w:val="00466EBB"/>
    <w:rsid w:val="004700CB"/>
    <w:rsid w:val="004B66AA"/>
    <w:rsid w:val="004C2EE3"/>
    <w:rsid w:val="004E4A22"/>
    <w:rsid w:val="004F6F1B"/>
    <w:rsid w:val="00511968"/>
    <w:rsid w:val="005165A8"/>
    <w:rsid w:val="00523FCC"/>
    <w:rsid w:val="00524093"/>
    <w:rsid w:val="00530EAF"/>
    <w:rsid w:val="0055614C"/>
    <w:rsid w:val="0056609D"/>
    <w:rsid w:val="00566D06"/>
    <w:rsid w:val="00576DEF"/>
    <w:rsid w:val="005810F1"/>
    <w:rsid w:val="0058198F"/>
    <w:rsid w:val="00583BCB"/>
    <w:rsid w:val="005D07DD"/>
    <w:rsid w:val="005D25F4"/>
    <w:rsid w:val="005E14C2"/>
    <w:rsid w:val="005F2DE1"/>
    <w:rsid w:val="00605FE8"/>
    <w:rsid w:val="00606A99"/>
    <w:rsid w:val="00607BA5"/>
    <w:rsid w:val="0061180A"/>
    <w:rsid w:val="00620B75"/>
    <w:rsid w:val="0062687A"/>
    <w:rsid w:val="00626EB6"/>
    <w:rsid w:val="00627400"/>
    <w:rsid w:val="00642EC7"/>
    <w:rsid w:val="006430C5"/>
    <w:rsid w:val="006457A8"/>
    <w:rsid w:val="00653EEC"/>
    <w:rsid w:val="00655D03"/>
    <w:rsid w:val="00656765"/>
    <w:rsid w:val="00657FE5"/>
    <w:rsid w:val="00667915"/>
    <w:rsid w:val="00670FAA"/>
    <w:rsid w:val="00683388"/>
    <w:rsid w:val="00683F84"/>
    <w:rsid w:val="006A6A81"/>
    <w:rsid w:val="006B2472"/>
    <w:rsid w:val="006F7393"/>
    <w:rsid w:val="0070224F"/>
    <w:rsid w:val="007115F7"/>
    <w:rsid w:val="00731031"/>
    <w:rsid w:val="007828B7"/>
    <w:rsid w:val="0078487E"/>
    <w:rsid w:val="00785689"/>
    <w:rsid w:val="0079197F"/>
    <w:rsid w:val="007960BA"/>
    <w:rsid w:val="0079754B"/>
    <w:rsid w:val="007A1E6D"/>
    <w:rsid w:val="007A4844"/>
    <w:rsid w:val="007A5392"/>
    <w:rsid w:val="007B0EB2"/>
    <w:rsid w:val="007B6661"/>
    <w:rsid w:val="007C7CAF"/>
    <w:rsid w:val="007E4949"/>
    <w:rsid w:val="0080368B"/>
    <w:rsid w:val="00810B6F"/>
    <w:rsid w:val="00817E25"/>
    <w:rsid w:val="008208E4"/>
    <w:rsid w:val="00822CE0"/>
    <w:rsid w:val="00823D9C"/>
    <w:rsid w:val="00841AB1"/>
    <w:rsid w:val="00864ED3"/>
    <w:rsid w:val="00897022"/>
    <w:rsid w:val="00897E81"/>
    <w:rsid w:val="008A1263"/>
    <w:rsid w:val="008C68F1"/>
    <w:rsid w:val="0090377F"/>
    <w:rsid w:val="009071B6"/>
    <w:rsid w:val="00921803"/>
    <w:rsid w:val="00926503"/>
    <w:rsid w:val="009561EB"/>
    <w:rsid w:val="009726D8"/>
    <w:rsid w:val="00983D44"/>
    <w:rsid w:val="0098465A"/>
    <w:rsid w:val="009A30AD"/>
    <w:rsid w:val="009B2094"/>
    <w:rsid w:val="009B59C6"/>
    <w:rsid w:val="009B72D5"/>
    <w:rsid w:val="009C1B57"/>
    <w:rsid w:val="009C29B3"/>
    <w:rsid w:val="009C5EEB"/>
    <w:rsid w:val="009D17B4"/>
    <w:rsid w:val="009D53B2"/>
    <w:rsid w:val="009D7308"/>
    <w:rsid w:val="009E7412"/>
    <w:rsid w:val="009F76DB"/>
    <w:rsid w:val="00A22E78"/>
    <w:rsid w:val="00A3179C"/>
    <w:rsid w:val="00A32C3B"/>
    <w:rsid w:val="00A36921"/>
    <w:rsid w:val="00A44A48"/>
    <w:rsid w:val="00A45F4F"/>
    <w:rsid w:val="00A600A9"/>
    <w:rsid w:val="00A90FB8"/>
    <w:rsid w:val="00AA1564"/>
    <w:rsid w:val="00AA55B7"/>
    <w:rsid w:val="00AA5B9E"/>
    <w:rsid w:val="00AB2407"/>
    <w:rsid w:val="00AB53DF"/>
    <w:rsid w:val="00AE23B2"/>
    <w:rsid w:val="00AE2E66"/>
    <w:rsid w:val="00AF416C"/>
    <w:rsid w:val="00B07E5C"/>
    <w:rsid w:val="00B2471F"/>
    <w:rsid w:val="00B529FB"/>
    <w:rsid w:val="00B811F7"/>
    <w:rsid w:val="00B90FDC"/>
    <w:rsid w:val="00BA5DC6"/>
    <w:rsid w:val="00BA6196"/>
    <w:rsid w:val="00BC6D8C"/>
    <w:rsid w:val="00C101B1"/>
    <w:rsid w:val="00C24E14"/>
    <w:rsid w:val="00C32F7C"/>
    <w:rsid w:val="00C34006"/>
    <w:rsid w:val="00C35A5E"/>
    <w:rsid w:val="00C36B4C"/>
    <w:rsid w:val="00C37DD6"/>
    <w:rsid w:val="00C426B1"/>
    <w:rsid w:val="00C43E7C"/>
    <w:rsid w:val="00C4432C"/>
    <w:rsid w:val="00C66160"/>
    <w:rsid w:val="00C721AC"/>
    <w:rsid w:val="00C84E1D"/>
    <w:rsid w:val="00C90D6A"/>
    <w:rsid w:val="00CA247E"/>
    <w:rsid w:val="00CA6D21"/>
    <w:rsid w:val="00CC2831"/>
    <w:rsid w:val="00CC355D"/>
    <w:rsid w:val="00CC72B6"/>
    <w:rsid w:val="00CD1CDF"/>
    <w:rsid w:val="00CE2D9A"/>
    <w:rsid w:val="00CF1BA1"/>
    <w:rsid w:val="00D0218D"/>
    <w:rsid w:val="00D10BA4"/>
    <w:rsid w:val="00D139B9"/>
    <w:rsid w:val="00D1558C"/>
    <w:rsid w:val="00D212AA"/>
    <w:rsid w:val="00D25FB5"/>
    <w:rsid w:val="00D3100B"/>
    <w:rsid w:val="00D44223"/>
    <w:rsid w:val="00D67BE6"/>
    <w:rsid w:val="00D91B58"/>
    <w:rsid w:val="00D954D7"/>
    <w:rsid w:val="00D95E54"/>
    <w:rsid w:val="00DA2529"/>
    <w:rsid w:val="00DB130A"/>
    <w:rsid w:val="00DB2EBB"/>
    <w:rsid w:val="00DC0EE5"/>
    <w:rsid w:val="00DC10A1"/>
    <w:rsid w:val="00DC2CC5"/>
    <w:rsid w:val="00DC655F"/>
    <w:rsid w:val="00DD0B59"/>
    <w:rsid w:val="00DD7EBD"/>
    <w:rsid w:val="00DE2360"/>
    <w:rsid w:val="00DF62B6"/>
    <w:rsid w:val="00E07225"/>
    <w:rsid w:val="00E3772C"/>
    <w:rsid w:val="00E5409F"/>
    <w:rsid w:val="00E903F0"/>
    <w:rsid w:val="00ED6185"/>
    <w:rsid w:val="00EE6488"/>
    <w:rsid w:val="00F021FA"/>
    <w:rsid w:val="00F3192C"/>
    <w:rsid w:val="00F319A2"/>
    <w:rsid w:val="00F403AE"/>
    <w:rsid w:val="00F44425"/>
    <w:rsid w:val="00F5498C"/>
    <w:rsid w:val="00F60478"/>
    <w:rsid w:val="00F62E97"/>
    <w:rsid w:val="00F64209"/>
    <w:rsid w:val="00F91690"/>
    <w:rsid w:val="00F93BF5"/>
    <w:rsid w:val="00FF5249"/>
    <w:rsid w:val="00FF53B1"/>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1F80536-B3C9-41C4-8BF5-84369D59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lang w:bidi="ar-SA"/>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uiPriority w:val="99"/>
    <w:rsid w:val="000E3D42"/>
    <w:pPr>
      <w:spacing w:after="120"/>
    </w:pPr>
    <w:rPr>
      <w:lang w:bidi="ar-SA"/>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44425"/>
    <w:pPr>
      <w:tabs>
        <w:tab w:val="center" w:pos="4680"/>
        <w:tab w:val="right" w:pos="10080"/>
      </w:tabs>
      <w:spacing w:after="40"/>
      <w:ind w:firstLine="1080"/>
    </w:pPr>
    <w:rPr>
      <w:b/>
      <w:noProof/>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583BCB"/>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uiPriority w:val="99"/>
    <w:rsid w:val="00530EAF"/>
    <w:rPr>
      <w:lang w:bidi="ar-SA"/>
    </w:rPr>
  </w:style>
  <w:style w:type="paragraph" w:styleId="BalloonText">
    <w:name w:val="Balloon Text"/>
    <w:basedOn w:val="Normal"/>
    <w:link w:val="BalloonTextChar"/>
    <w:rsid w:val="00D212AA"/>
    <w:rPr>
      <w:rFonts w:ascii="Segoe UI" w:hAnsi="Segoe UI" w:cs="Segoe UI"/>
      <w:sz w:val="18"/>
      <w:szCs w:val="18"/>
    </w:rPr>
  </w:style>
  <w:style w:type="character" w:customStyle="1" w:styleId="BalloonTextChar">
    <w:name w:val="Balloon Text Char"/>
    <w:basedOn w:val="DefaultParagraphFont"/>
    <w:link w:val="BalloonText"/>
    <w:rsid w:val="00D212AA"/>
    <w:rPr>
      <w:rFonts w:ascii="Segoe UI" w:hAnsi="Segoe UI" w:cs="Segoe UI"/>
      <w:snapToGrid w:val="0"/>
      <w:kern w:val="28"/>
      <w:sz w:val="18"/>
      <w:szCs w:val="18"/>
      <w:lang w:bidi="ar-SA"/>
    </w:rPr>
  </w:style>
  <w:style w:type="character" w:styleId="CommentReference">
    <w:name w:val="annotation reference"/>
    <w:basedOn w:val="DefaultParagraphFont"/>
    <w:rsid w:val="00D212AA"/>
    <w:rPr>
      <w:sz w:val="16"/>
      <w:szCs w:val="16"/>
    </w:rPr>
  </w:style>
  <w:style w:type="paragraph" w:styleId="CommentText">
    <w:name w:val="annotation text"/>
    <w:basedOn w:val="Normal"/>
    <w:link w:val="CommentTextChar"/>
    <w:rsid w:val="00D212AA"/>
    <w:rPr>
      <w:sz w:val="20"/>
    </w:rPr>
  </w:style>
  <w:style w:type="character" w:customStyle="1" w:styleId="CommentTextChar">
    <w:name w:val="Comment Text Char"/>
    <w:basedOn w:val="DefaultParagraphFont"/>
    <w:link w:val="CommentText"/>
    <w:rsid w:val="00D212AA"/>
    <w:rPr>
      <w:snapToGrid w:val="0"/>
      <w:kern w:val="28"/>
      <w:lang w:bidi="ar-SA"/>
    </w:rPr>
  </w:style>
  <w:style w:type="paragraph" w:styleId="Revision">
    <w:name w:val="Revision"/>
    <w:hidden/>
    <w:uiPriority w:val="99"/>
    <w:semiHidden/>
    <w:rsid w:val="00AE23B2"/>
    <w:rPr>
      <w:snapToGrid w:val="0"/>
      <w:kern w:val="28"/>
      <w:sz w:val="22"/>
      <w:lang w:bidi="ar-SA"/>
    </w:rPr>
  </w:style>
  <w:style w:type="paragraph" w:styleId="CommentSubject">
    <w:name w:val="annotation subject"/>
    <w:basedOn w:val="CommentText"/>
    <w:next w:val="CommentText"/>
    <w:link w:val="CommentSubjectChar"/>
    <w:rsid w:val="00C101B1"/>
    <w:rPr>
      <w:b/>
      <w:bCs/>
    </w:rPr>
  </w:style>
  <w:style w:type="character" w:customStyle="1" w:styleId="CommentSubjectChar">
    <w:name w:val="Comment Subject Char"/>
    <w:basedOn w:val="CommentTextChar"/>
    <w:link w:val="CommentSubject"/>
    <w:rsid w:val="00C101B1"/>
    <w:rPr>
      <w:b/>
      <w:bCs/>
      <w:snapToGrid w:val="0"/>
      <w:kern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