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E92BFB" w14:paraId="5F4BC4EF" w14:textId="6FBF7F72">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77777777">
            <w:pPr>
              <w:tabs>
                <w:tab w:val="center" w:pos="4680"/>
              </w:tabs>
              <w:suppressAutoHyphens/>
              <w:rPr>
                <w:spacing w:val="-2"/>
              </w:rPr>
            </w:pPr>
            <w:r>
              <w:rPr>
                <w:spacing w:val="-2"/>
              </w:rPr>
              <w:t xml:space="preserve">In </w:t>
            </w:r>
            <w:r w:rsidR="004C31FD">
              <w:rPr>
                <w:spacing w:val="-2"/>
              </w:rPr>
              <w:t>re Application of</w:t>
            </w:r>
          </w:p>
          <w:p w:rsidR="004C2EE3" w14:paraId="5AD94FA5" w14:textId="77777777">
            <w:pPr>
              <w:tabs>
                <w:tab w:val="center" w:pos="4680"/>
              </w:tabs>
              <w:suppressAutoHyphens/>
              <w:rPr>
                <w:spacing w:val="-2"/>
              </w:rPr>
            </w:pPr>
          </w:p>
          <w:p w:rsidR="004C2EE3" w:rsidRPr="004C31FD" w:rsidP="007115F7" w14:paraId="5DD14CB3" w14:textId="714A9265">
            <w:pPr>
              <w:tabs>
                <w:tab w:val="center" w:pos="4680"/>
              </w:tabs>
              <w:suppressAutoHyphens/>
              <w:rPr>
                <w:b/>
                <w:spacing w:val="-2"/>
              </w:rPr>
            </w:pPr>
            <w:bookmarkStart w:id="0" w:name="_Hlk56578838"/>
            <w:r>
              <w:rPr>
                <w:b/>
                <w:spacing w:val="-2"/>
              </w:rPr>
              <w:t>Rejoice HD, Inc.</w:t>
            </w:r>
          </w:p>
          <w:bookmarkEnd w:id="0"/>
          <w:p w:rsidR="004C31FD" w:rsidP="007115F7" w14:paraId="41784E1D" w14:textId="77777777">
            <w:pPr>
              <w:tabs>
                <w:tab w:val="center" w:pos="4680"/>
              </w:tabs>
              <w:suppressAutoHyphens/>
              <w:rPr>
                <w:spacing w:val="-2"/>
              </w:rPr>
            </w:pPr>
          </w:p>
          <w:p w:rsidR="004C31FD" w:rsidP="007115F7" w14:paraId="3F597545" w14:textId="77777777">
            <w:pPr>
              <w:tabs>
                <w:tab w:val="center" w:pos="4680"/>
              </w:tabs>
              <w:suppressAutoHyphens/>
              <w:rPr>
                <w:spacing w:val="-2"/>
              </w:rPr>
            </w:pPr>
            <w:r>
              <w:rPr>
                <w:spacing w:val="-2"/>
              </w:rPr>
              <w:t xml:space="preserve">For Renewal License for </w:t>
            </w:r>
          </w:p>
          <w:p w:rsidR="004C31FD" w:rsidRPr="007115F7" w:rsidP="007115F7" w14:paraId="65F49D86" w14:textId="32BD25ED">
            <w:pPr>
              <w:tabs>
                <w:tab w:val="center" w:pos="4680"/>
              </w:tabs>
              <w:suppressAutoHyphens/>
              <w:rPr>
                <w:spacing w:val="-2"/>
              </w:rPr>
            </w:pPr>
            <w:r>
              <w:rPr>
                <w:spacing w:val="-2"/>
              </w:rPr>
              <w:t xml:space="preserve">Station </w:t>
            </w:r>
            <w:r w:rsidR="00064B0D">
              <w:rPr>
                <w:spacing w:val="-2"/>
              </w:rPr>
              <w:t>W18BS</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22095FB3">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4277B319">
            <w:pPr>
              <w:tabs>
                <w:tab w:val="center" w:pos="4680"/>
              </w:tabs>
              <w:suppressAutoHyphens/>
              <w:rPr>
                <w:spacing w:val="-2"/>
              </w:rPr>
            </w:pPr>
            <w:r>
              <w:rPr>
                <w:spacing w:val="-2"/>
              </w:rPr>
              <w:t xml:space="preserve">Facility ID No. </w:t>
            </w:r>
            <w:r w:rsidRPr="00756D63" w:rsidR="00675C48">
              <w:rPr>
                <w:spacing w:val="-2"/>
              </w:rPr>
              <w:t>27723</w:t>
            </w:r>
          </w:p>
          <w:p w:rsidR="004C31FD" w14:paraId="4DB0228A" w14:textId="1C3B3E4E">
            <w:pPr>
              <w:tabs>
                <w:tab w:val="center" w:pos="4680"/>
              </w:tabs>
              <w:suppressAutoHyphens/>
              <w:rPr>
                <w:spacing w:val="-2"/>
              </w:rPr>
            </w:pPr>
            <w:bookmarkStart w:id="1" w:name="_Hlk56609464"/>
            <w:r>
              <w:rPr>
                <w:spacing w:val="-2"/>
              </w:rPr>
              <w:t>NAL/Acct. No. MB-</w:t>
            </w:r>
            <w:r w:rsidR="000B46DC">
              <w:t>202041420002</w:t>
            </w:r>
          </w:p>
          <w:bookmarkEnd w:id="1"/>
          <w:p w:rsidR="004C31FD" w14:paraId="7929E2B8" w14:textId="30BAA69E">
            <w:pPr>
              <w:tabs>
                <w:tab w:val="center" w:pos="4680"/>
              </w:tabs>
              <w:suppressAutoHyphens/>
              <w:rPr>
                <w:spacing w:val="-2"/>
              </w:rPr>
            </w:pPr>
            <w:r>
              <w:rPr>
                <w:spacing w:val="-2"/>
              </w:rPr>
              <w:t xml:space="preserve">FRN: </w:t>
            </w:r>
            <w:r w:rsidRPr="000B46DC" w:rsidR="000B46DC">
              <w:rPr>
                <w:spacing w:val="-2"/>
              </w:rPr>
              <w:t>0021621727</w:t>
            </w:r>
          </w:p>
          <w:p w:rsidR="004C31FD" w14:paraId="56EB9DD6" w14:textId="71AE5DDA">
            <w:pPr>
              <w:tabs>
                <w:tab w:val="center" w:pos="4680"/>
              </w:tabs>
              <w:suppressAutoHyphens/>
              <w:rPr>
                <w:spacing w:val="-2"/>
              </w:rPr>
            </w:pPr>
            <w:r>
              <w:rPr>
                <w:spacing w:val="-2"/>
              </w:rPr>
              <w:t xml:space="preserve">LMS </w:t>
            </w:r>
            <w:r>
              <w:rPr>
                <w:spacing w:val="-2"/>
              </w:rPr>
              <w:t xml:space="preserve">File No. </w:t>
            </w:r>
            <w:r w:rsidRPr="00675C48" w:rsidR="00675C48">
              <w:rPr>
                <w:spacing w:val="-2"/>
              </w:rPr>
              <w:t>0000117664</w:t>
            </w:r>
          </w:p>
        </w:tc>
      </w:tr>
    </w:tbl>
    <w:p w:rsidR="004C2EE3" w:rsidP="0070224F" w14:paraId="79BF4F7D" w14:textId="77777777"/>
    <w:p w:rsidR="00841AB1" w:rsidP="00F021FA" w14:paraId="3B5963AC" w14:textId="77777777">
      <w:pPr>
        <w:pStyle w:val="StyleBoldCentered"/>
      </w:pPr>
      <w:r>
        <w:t>MEMORANDUM OPINION AND ORDER</w:t>
      </w:r>
    </w:p>
    <w:p w:rsidR="004C31FD" w:rsidP="00F021FA" w14:paraId="6F51A1A9" w14:textId="77777777">
      <w:pPr>
        <w:pStyle w:val="StyleBoldCentered"/>
      </w:pPr>
      <w:r>
        <w:t>AND</w:t>
      </w:r>
    </w:p>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48CDF4ED">
      <w:pPr>
        <w:tabs>
          <w:tab w:val="left" w:pos="720"/>
          <w:tab w:val="right" w:pos="9360"/>
        </w:tabs>
        <w:suppressAutoHyphens/>
        <w:spacing w:line="227" w:lineRule="auto"/>
        <w:rPr>
          <w:spacing w:val="-2"/>
        </w:rPr>
      </w:pPr>
      <w:r>
        <w:rPr>
          <w:b/>
          <w:spacing w:val="-2"/>
        </w:rPr>
        <w:t xml:space="preserve">Adopted:  </w:t>
      </w:r>
      <w:r w:rsidR="00A05585">
        <w:rPr>
          <w:b/>
          <w:spacing w:val="-2"/>
        </w:rPr>
        <w:t xml:space="preserve">December </w:t>
      </w:r>
      <w:r w:rsidR="0047344D">
        <w:rPr>
          <w:b/>
          <w:spacing w:val="-2"/>
        </w:rPr>
        <w:t>3</w:t>
      </w:r>
      <w:r w:rsidR="00A05585">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05585">
        <w:rPr>
          <w:b/>
          <w:spacing w:val="-2"/>
        </w:rPr>
        <w:t xml:space="preserve">December </w:t>
      </w:r>
      <w:r w:rsidR="0047344D">
        <w:rPr>
          <w:b/>
          <w:spacing w:val="-2"/>
        </w:rPr>
        <w:t>3</w:t>
      </w:r>
      <w:r w:rsidR="00A05585">
        <w:rPr>
          <w:b/>
          <w:spacing w:val="-2"/>
        </w:rPr>
        <w:t>, 2020</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E92BFB" w14:paraId="1AE00C03" w14:textId="77777777">
      <w:pPr>
        <w:pStyle w:val="Heading1"/>
        <w:keepNext w:val="0"/>
        <w:suppressAutoHyphens w:val="0"/>
      </w:pPr>
      <w:r>
        <w:t>INTRODUCTION</w:t>
      </w:r>
    </w:p>
    <w:p w:rsidR="004C31FD" w:rsidP="00EA32CC" w14:paraId="20398677" w14:textId="2AF4B602">
      <w:pPr>
        <w:pStyle w:val="ParaNum"/>
      </w:pPr>
      <w:r>
        <w:t>The Media Bureau has before it the application (Application)</w:t>
      </w:r>
      <w:r>
        <w:rPr>
          <w:rStyle w:val="FootnoteReference"/>
        </w:rPr>
        <w:footnoteReference w:id="3"/>
      </w:r>
      <w:r>
        <w:t xml:space="preserve"> of </w:t>
      </w:r>
      <w:r w:rsidR="00B2060D">
        <w:t>Rejoice HD, Inc.</w:t>
      </w:r>
      <w:r>
        <w:t xml:space="preserve"> (Licensee), for renewal of license for Station </w:t>
      </w:r>
      <w:r w:rsidR="00B2060D">
        <w:t>W18BS</w:t>
      </w:r>
      <w:r>
        <w:t xml:space="preserve"> (Station).  In this </w:t>
      </w:r>
      <w:r w:rsidRPr="004C31FD">
        <w:rPr>
          <w:i/>
        </w:rPr>
        <w:t xml:space="preserve">Memorandum Opinion and Order and Notice of Apparent Liability for Forfeiture </w:t>
      </w:r>
      <w:r w:rsidRPr="00E92BFB">
        <w:rPr>
          <w:iCs/>
        </w:rPr>
        <w:t>(</w:t>
      </w:r>
      <w:r w:rsidRPr="004C31FD">
        <w:rPr>
          <w:i/>
        </w:rPr>
        <w:t>NAL</w:t>
      </w:r>
      <w:r w:rsidRPr="00E92BFB">
        <w:rPr>
          <w:iCs/>
        </w:rPr>
        <w:t>)</w:t>
      </w:r>
      <w:r>
        <w:t>,</w:t>
      </w:r>
      <w:r>
        <w:rPr>
          <w:rStyle w:val="FootnoteReference"/>
        </w:rPr>
        <w:footnoteReference w:id="4"/>
      </w:r>
      <w:r>
        <w:t xml:space="preserve"> we find that the Licensee apparently </w:t>
      </w:r>
      <w:r w:rsidR="001D3B51">
        <w:t>willfully violated section 73.3539</w:t>
      </w:r>
      <w:r w:rsidR="00336449">
        <w:t>(a)</w:t>
      </w:r>
      <w:r>
        <w:rPr>
          <w:rStyle w:val="FootnoteReference"/>
        </w:rPr>
        <w:footnoteReference w:id="5"/>
      </w:r>
      <w:r w:rsidR="001D3B51">
        <w:t xml:space="preserve"> of the </w:t>
      </w:r>
      <w:r w:rsidR="00EA32CC">
        <w:t>Rules</w:t>
      </w:r>
      <w:r w:rsidR="001D3B51">
        <w:t xml:space="preserve"> by failing to timely file a license renewal application for the Station.  Based upon our review of the facts and circumstances before us, we conclude that the Licensee is apparently liable for a monetary forfeiture in the amount </w:t>
      </w:r>
      <w:r w:rsidRPr="00D35133" w:rsidR="001D3B51">
        <w:t xml:space="preserve">of </w:t>
      </w:r>
      <w:r w:rsidRPr="00D35133" w:rsidR="00B2060D">
        <w:t>three thousand dollars</w:t>
      </w:r>
      <w:r w:rsidR="005005A5">
        <w:t xml:space="preserve"> ($</w:t>
      </w:r>
      <w:r w:rsidR="00B2060D">
        <w:t>3,000</w:t>
      </w:r>
      <w:r w:rsidR="005005A5">
        <w:t>).</w:t>
      </w:r>
    </w:p>
    <w:p w:rsidR="005005A5" w:rsidP="00E92BFB" w14:paraId="59E83F9F" w14:textId="77777777">
      <w:pPr>
        <w:pStyle w:val="Heading1"/>
        <w:keepNext w:val="0"/>
        <w:suppressAutoHyphens w:val="0"/>
      </w:pPr>
      <w:r>
        <w:t>BACKGROUND</w:t>
      </w:r>
    </w:p>
    <w:p w:rsidR="005005A5" w:rsidRPr="005005A5" w:rsidP="00EA32CC" w14:paraId="3DDDA009" w14:textId="1108809C">
      <w:pPr>
        <w:pStyle w:val="ParaNum"/>
      </w:pPr>
      <w:r>
        <w:t xml:space="preserve">Section 73.3539(a) of the </w:t>
      </w:r>
      <w:r w:rsidR="00EA32CC">
        <w:t>R</w:t>
      </w:r>
      <w:r>
        <w:t>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6"/>
      </w:r>
      <w:r>
        <w:t xml:space="preserve">  An application for renewal of the Station’s license should have been filed by</w:t>
      </w:r>
      <w:r w:rsidR="004F47FF">
        <w:t xml:space="preserve"> June 1, 2020</w:t>
      </w:r>
      <w:r>
        <w:t xml:space="preserve">, the first day of the fourth full </w:t>
      </w:r>
      <w:r w:rsidR="00AD6D78">
        <w:t xml:space="preserve">calendar month prior to the Station’s </w:t>
      </w:r>
      <w:r w:rsidRPr="004F47FF" w:rsidR="004F47FF">
        <w:t>October 1, 2020</w:t>
      </w:r>
      <w:r w:rsidR="00AD6D78">
        <w:t>, license expiration date.</w:t>
      </w:r>
      <w:r>
        <w:rPr>
          <w:rStyle w:val="FootnoteReference"/>
        </w:rPr>
        <w:footnoteReference w:id="7"/>
      </w:r>
      <w:r w:rsidR="00AD6D78">
        <w:t xml:space="preserve">  The Application was not filed until </w:t>
      </w:r>
      <w:r w:rsidRPr="004F47FF" w:rsidR="004F47FF">
        <w:t>July 13, 2020</w:t>
      </w:r>
      <w:r w:rsidR="00AD6D78">
        <w:t>.  The Licensee</w:t>
      </w:r>
      <w:r w:rsidR="00C10E93">
        <w:t xml:space="preserve"> </w:t>
      </w:r>
      <w:r w:rsidR="00966111">
        <w:t>states that it “</w:t>
      </w:r>
      <w:r w:rsidRPr="00966111" w:rsidR="00966111">
        <w:t>was unaware that the deadline had passed for Virginia LPTV stations</w:t>
      </w:r>
      <w:r w:rsidR="00966111">
        <w:t>.”</w:t>
      </w:r>
      <w:r>
        <w:rPr>
          <w:rStyle w:val="FootnoteReference"/>
        </w:rPr>
        <w:footnoteReference w:id="8"/>
      </w:r>
    </w:p>
    <w:p w:rsidR="00AD6D78" w:rsidP="00E92BFB" w14:paraId="7A515AF9" w14:textId="77777777">
      <w:pPr>
        <w:pStyle w:val="Heading1"/>
        <w:keepNext w:val="0"/>
        <w:suppressAutoHyphens w:val="0"/>
      </w:pPr>
      <w:r>
        <w:t>DISCUSSION</w:t>
      </w:r>
    </w:p>
    <w:p w:rsidR="00AD6D78" w:rsidP="00EA32CC" w14:paraId="1E1BFD44" w14:textId="0E3A9BF2">
      <w:pPr>
        <w:pStyle w:val="ParaNum"/>
      </w:pPr>
      <w:r w:rsidRPr="00AD6D78">
        <w:rPr>
          <w:i/>
        </w:rPr>
        <w:t>Proposed Forfeiture</w:t>
      </w:r>
      <w:r>
        <w:t xml:space="preserve">.  In this case, the Licensee failed to file the Application on or before </w:t>
      </w:r>
      <w:r w:rsidR="004F47FF">
        <w:t>June 1, 2020</w:t>
      </w:r>
      <w:r>
        <w:t xml:space="preserve">, as required by section 73.3539(a) of the </w:t>
      </w:r>
      <w:r w:rsidR="00336449">
        <w:t>R</w:t>
      </w:r>
      <w:r>
        <w:t xml:space="preserve">ules.  The Application was not received until </w:t>
      </w:r>
      <w:r w:rsidRPr="004F47FF" w:rsidR="004F47FF">
        <w:t>July 13, 2020</w:t>
      </w:r>
      <w:r>
        <w:t xml:space="preserve">.  Moreover, </w:t>
      </w:r>
      <w:r w:rsidR="00C10E93">
        <w:t>the explanation by the</w:t>
      </w:r>
      <w:r>
        <w:t xml:space="preserve"> Licensee</w:t>
      </w:r>
      <w:r w:rsidR="00C10E93">
        <w:t>—that they were unaware of the filing deadline—</w:t>
      </w:r>
      <w:r>
        <w:t>d</w:t>
      </w:r>
      <w:r w:rsidR="00C10E93">
        <w:t>oes not</w:t>
      </w:r>
      <w:r>
        <w:t xml:space="preserve"> excuse the late filing.</w:t>
      </w:r>
    </w:p>
    <w:p w:rsidR="00AD6D78" w:rsidP="00E92BFB" w14:paraId="32CFE874" w14:textId="52208935">
      <w:pPr>
        <w:pStyle w:val="ParaNum"/>
        <w:widowControl/>
      </w:pPr>
      <w:r>
        <w:t xml:space="preserve">This </w:t>
      </w:r>
      <w:r w:rsidRPr="00AD6D78">
        <w:rPr>
          <w:i/>
        </w:rPr>
        <w:t>NAL</w:t>
      </w:r>
      <w:r>
        <w:t xml:space="preserve"> is issued pursuant to section 503(b)(1)(B) of the Act.  Under that provision, a person who is found to have willfully or repeatedly failed to comply with any provision of the Act or any rule, regulation, or order issued by the Commission</w:t>
      </w:r>
      <w:r w:rsidR="00075886">
        <w:t>, s</w:t>
      </w:r>
      <w:r>
        <w:t>hall be liable to the United States for a forfeiture penalty.</w:t>
      </w:r>
      <w:r>
        <w:rPr>
          <w:rStyle w:val="FootnoteReference"/>
        </w:rPr>
        <w:footnoteReference w:id="9"/>
      </w:r>
      <w:r w:rsidR="00327E31">
        <w:t xml:space="preserve">  Section 312(f)(1) of the Act defines willful as “the conscious and deliberate commission or omission of [any] act, irrespective of any intent to violate” the law.</w:t>
      </w:r>
      <w:r>
        <w:rPr>
          <w:rStyle w:val="FootnoteReference"/>
        </w:rPr>
        <w:footnoteReference w:id="10"/>
      </w:r>
      <w:r w:rsidR="00327E31">
        <w:t xml:space="preserve">  The legislative history to section 312(f)(1) of the Act clarifies that this definition of willful applies to both sections 312 and 503(b) of the Act,</w:t>
      </w:r>
      <w:r>
        <w:rPr>
          <w:rStyle w:val="FootnoteReference"/>
        </w:rPr>
        <w:footnoteReference w:id="11"/>
      </w:r>
      <w:r w:rsidR="00327E31">
        <w:t xml:space="preserve"> and the Commission has so interpreted the term in the section 503(b) context.</w:t>
      </w:r>
      <w:r>
        <w:rPr>
          <w:rStyle w:val="FootnoteReference"/>
        </w:rPr>
        <w:footnoteReference w:id="12"/>
      </w:r>
    </w:p>
    <w:p w:rsidR="00327E31" w:rsidP="00EA32CC" w14:paraId="6D15804E" w14:textId="797D3A06">
      <w:pPr>
        <w:pStyle w:val="ParaNum"/>
      </w:pPr>
      <w:r>
        <w:t>The Commission’s Forfeiture Policy Statement and section 1.80(b)(</w:t>
      </w:r>
      <w:r w:rsidR="00710173">
        <w:t>9</w:t>
      </w:r>
      <w:r>
        <w:t xml:space="preserve">) of the </w:t>
      </w:r>
      <w:r w:rsidR="00EA32CC">
        <w:t>R</w:t>
      </w:r>
      <w:r>
        <w:t>ules establish a base forfeiture amount of $3,000 for the failure to file a required form.</w:t>
      </w:r>
      <w:r>
        <w:rPr>
          <w:rStyle w:val="FootnoteReference"/>
        </w:rPr>
        <w:footnoteReference w:id="13"/>
      </w:r>
      <w:r w:rsidR="00490A96">
        <w:t xml:space="preserve">  In determining the appropriate forfeiture amount, we may adjust the base amount upward or downward by considering the factor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F13980" w:rsidP="00EA32CC" w14:paraId="6CE82C31" w14:textId="5427F156">
      <w:pPr>
        <w:pStyle w:val="ParaNum"/>
      </w:pPr>
      <w:r>
        <w:t xml:space="preserve">In this case, the Licensee failed to file a timely renewal application for the Station and has not provided </w:t>
      </w:r>
      <w:r w:rsidR="00C10E93">
        <w:t>an explanation that would excuse the late filing</w:t>
      </w:r>
      <w:r>
        <w:t>.  However, the Licensee did file the Application prior to the expiration of the Station’s license.  Taking into consideration all of the fact</w:t>
      </w:r>
      <w:r w:rsidR="00FB4DD6">
        <w:t xml:space="preserve">ors required by section 503(b)(2)(E) of the Act and the Forfeiture Policy Statement, </w:t>
      </w:r>
      <w:r w:rsidRPr="000124C4" w:rsidR="00FB4DD6">
        <w:t xml:space="preserve">we propose for the full </w:t>
      </w:r>
      <w:r w:rsidR="00141821">
        <w:t xml:space="preserve">base forfeiture amount of </w:t>
      </w:r>
      <w:r w:rsidRPr="000124C4" w:rsidR="00FB4DD6">
        <w:t xml:space="preserve">$3,000 for the </w:t>
      </w:r>
      <w:r w:rsidR="00141821">
        <w:t xml:space="preserve">Station’s </w:t>
      </w:r>
      <w:r w:rsidRPr="000124C4" w:rsidR="00FB4DD6">
        <w:t>failure to file a timely renewal.</w:t>
      </w:r>
      <w:r w:rsidR="00FB4DD6">
        <w:t xml:space="preserve"> </w:t>
      </w:r>
    </w:p>
    <w:p w:rsidR="00FB4DD6" w:rsidP="00EA32CC" w14:paraId="21F43762" w14:textId="5DB5D525">
      <w:pPr>
        <w:pStyle w:val="ParaNum"/>
      </w:pPr>
      <w:r w:rsidRPr="00FD339F">
        <w:rPr>
          <w:i/>
        </w:rPr>
        <w:t>License Renewal Application</w:t>
      </w:r>
      <w:r>
        <w:t xml:space="preserve">.  In evaluating an application for license renewal, the Commission’s decision </w:t>
      </w:r>
      <w:r w:rsidR="00FD339F">
        <w:t>is governed by section 309(k) of the Act.</w:t>
      </w:r>
      <w:r>
        <w:rPr>
          <w:rStyle w:val="FootnoteReference"/>
        </w:rPr>
        <w:footnoteReference w:id="15"/>
      </w:r>
      <w:r w:rsidR="00B229D5">
        <w:t xml:space="preserve">  That section provides that if, upon consideration of the application and pleadings, we find that: (1) the station has served the public interest, convenience, and necessity; (2) there have been no serious violations of the Act or the </w:t>
      </w:r>
      <w:r w:rsidR="00D93439">
        <w:t>Commission’s rules</w:t>
      </w:r>
      <w:r w:rsidR="00B229D5">
        <w:t>; and (3) there have been no other violation</w:t>
      </w:r>
      <w:r w:rsidR="00B91813">
        <w:t>s</w:t>
      </w:r>
      <w:r w:rsidR="00B229D5">
        <w:t xml:space="preserve"> </w:t>
      </w:r>
      <w:r w:rsidR="00B91813">
        <w:t xml:space="preserve">that </w:t>
      </w:r>
      <w:r w:rsidR="00B229D5">
        <w:t>taken together, constitute a pattern of abuse, then we are to grant the renewal application.</w:t>
      </w:r>
      <w:r>
        <w:rPr>
          <w:rStyle w:val="FootnoteReference"/>
        </w:rPr>
        <w:footnoteReference w:id="16"/>
      </w:r>
      <w:r w:rsidR="006F77A1">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rPr>
        <w:footnoteReference w:id="17"/>
      </w:r>
    </w:p>
    <w:p w:rsidR="006F77A1" w:rsidRPr="00AD6D78" w:rsidP="00EA32CC" w14:paraId="30FD6D84" w14:textId="1B626582">
      <w:pPr>
        <w:pStyle w:val="ParaNum"/>
      </w:pPr>
      <w:r>
        <w:t xml:space="preserve">We find that the Licensee’s apparent violation of section 73.3539 of the </w:t>
      </w:r>
      <w:r w:rsidR="00141821">
        <w:t>R</w:t>
      </w:r>
      <w:r>
        <w:t>ules does not present “serious violations” warranting designation for evidentiary hearing.  Moreover, we find no evidence of violation that, when considered together, constitute a pattern of abuse.</w:t>
      </w:r>
      <w:r>
        <w:rPr>
          <w:rStyle w:val="FootnoteReference"/>
        </w:rPr>
        <w:footnoteReference w:id="18"/>
      </w:r>
      <w:r w:rsidR="006E568E">
        <w:t xml:space="preserve">  Further, based on </w:t>
      </w:r>
      <w:r w:rsidR="006E568E">
        <w:t>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6E568E" w:rsidP="00E92BFB" w14:paraId="055F1C4D" w14:textId="77777777">
      <w:pPr>
        <w:pStyle w:val="Heading1"/>
        <w:keepNext w:val="0"/>
        <w:suppressAutoHyphens w:val="0"/>
      </w:pPr>
      <w:r>
        <w:t>ORDERING CLAUSES</w:t>
      </w:r>
    </w:p>
    <w:p w:rsidR="006E568E" w:rsidP="00EA32CC" w14:paraId="2CCD640E" w14:textId="1F42103E">
      <w:pPr>
        <w:pStyle w:val="ParaNum"/>
      </w:pPr>
      <w:r>
        <w:t xml:space="preserve">Accordingly, </w:t>
      </w:r>
      <w:r w:rsidRPr="00C10E93">
        <w:rPr>
          <w:b/>
          <w:bCs/>
        </w:rPr>
        <w:t>IT IS ORDERED</w:t>
      </w:r>
      <w:r>
        <w:t>, pursuant to section 503(b) of the Communications Act of 1934, as amended,</w:t>
      </w:r>
      <w:r>
        <w:rPr>
          <w:rStyle w:val="FootnoteReference"/>
        </w:rPr>
        <w:footnoteReference w:id="19"/>
      </w:r>
      <w:r>
        <w:t xml:space="preserve"> and section 1.80 of the Commission’s rules,</w:t>
      </w:r>
      <w:r>
        <w:rPr>
          <w:rStyle w:val="FootnoteReference"/>
        </w:rPr>
        <w:footnoteReference w:id="20"/>
      </w:r>
      <w:r>
        <w:t xml:space="preserve"> that </w:t>
      </w:r>
      <w:r w:rsidRPr="00C10E93" w:rsidR="00C10E93">
        <w:t>Rejoice HD, Inc.</w:t>
      </w:r>
      <w:r>
        <w:t xml:space="preserve">, is hereby </w:t>
      </w:r>
      <w:r w:rsidRPr="00C10E93">
        <w:rPr>
          <w:b/>
          <w:bCs/>
        </w:rPr>
        <w:t>NOTIFIED</w:t>
      </w:r>
      <w:r>
        <w:t xml:space="preserve"> of its </w:t>
      </w:r>
      <w:r w:rsidRPr="00C10E93">
        <w:rPr>
          <w:b/>
          <w:bCs/>
        </w:rPr>
        <w:t>APPARENT LIABILITY FOR FORFEITURE</w:t>
      </w:r>
      <w:r>
        <w:t xml:space="preserve"> in the amount of </w:t>
      </w:r>
      <w:r w:rsidR="00C10E93">
        <w:t>three thousand dollar</w:t>
      </w:r>
      <w:r>
        <w:t xml:space="preserve"> ($</w:t>
      </w:r>
      <w:r w:rsidR="00C10E93">
        <w:t>3,000</w:t>
      </w:r>
      <w:r>
        <w:t>) for its apparent willful violation of section 73.3539</w:t>
      </w:r>
      <w:r w:rsidR="00336449">
        <w:t>(a)</w:t>
      </w:r>
      <w:r>
        <w:t xml:space="preserve"> of the Commission’s rules.</w:t>
      </w:r>
    </w:p>
    <w:p w:rsidR="006E568E" w:rsidP="00EA32CC" w14:paraId="5E843BC2" w14:textId="4B2DDAF1">
      <w:pPr>
        <w:pStyle w:val="ParaNum"/>
      </w:pPr>
      <w:r w:rsidRPr="00C10E93">
        <w:rPr>
          <w:b/>
          <w:bCs/>
        </w:rPr>
        <w:t>IT IS FURTHER ORDERED</w:t>
      </w:r>
      <w:r>
        <w:t>, pursuant to section 1.80</w:t>
      </w:r>
      <w:r w:rsidR="00C468A9">
        <w:t xml:space="preserve"> of the Commission’s rules that, within thirty (30) days of the release date of this </w:t>
      </w:r>
      <w:r w:rsidRPr="00C468A9" w:rsidR="00C468A9">
        <w:rPr>
          <w:i/>
        </w:rPr>
        <w:t>NAL</w:t>
      </w:r>
      <w:r w:rsidR="00C468A9">
        <w:t xml:space="preserve">, </w:t>
      </w:r>
      <w:r w:rsidRPr="00C10E93" w:rsidR="00C10E93">
        <w:t>Rejoice HD, Inc.</w:t>
      </w:r>
      <w:r w:rsidR="00C468A9">
        <w:t xml:space="preserve">, </w:t>
      </w:r>
      <w:r w:rsidRPr="00E92BFB" w:rsidR="00C468A9">
        <w:rPr>
          <w:b/>
          <w:bCs/>
        </w:rPr>
        <w:t>SHALL PAY</w:t>
      </w:r>
      <w:r w:rsidR="00C468A9">
        <w:t xml:space="preserve"> the full amount of the proposed forfeiture or </w:t>
      </w:r>
      <w:r w:rsidRPr="00C10E93" w:rsidR="00C468A9">
        <w:rPr>
          <w:b/>
          <w:bCs/>
        </w:rPr>
        <w:t>SHALL FILE</w:t>
      </w:r>
      <w:r w:rsidR="00C468A9">
        <w:t xml:space="preserve"> a written statement seeking reduction or cancellation of the proposed forfeiture.</w:t>
      </w:r>
    </w:p>
    <w:p w:rsidR="00C468A9" w:rsidP="00EA32CC" w14:paraId="11F5770B" w14:textId="77777777">
      <w:pPr>
        <w:pStyle w:val="ParaNum"/>
      </w:pPr>
      <w:r>
        <w:t>Payment of the forfeiture must be made by credit card, ACH (Automated Clearing House) debit from a bank account using the Commission’s Fee Filer (the Commission’s online payment system),</w:t>
      </w:r>
      <w:r>
        <w:rPr>
          <w:rStyle w:val="FootnoteReference"/>
        </w:rPr>
        <w:footnoteReference w:id="21"/>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22"/>
      </w:r>
    </w:p>
    <w:p w:rsidR="00C468A9" w:rsidP="00EA32CC" w14:paraId="10E49440" w14:textId="77777777">
      <w:pPr>
        <w:pStyle w:val="ParaNum"/>
        <w:numPr>
          <w:ilvl w:val="0"/>
          <w:numId w:val="7"/>
        </w:numPr>
      </w:pPr>
      <w: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7F267C">
          <w:rPr>
            <w:rStyle w:val="Hyperlink"/>
          </w:rPr>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w:t>
      </w:r>
      <w:r w:rsidR="004B3B9B">
        <w:t>), enter the letters “FORF” in block number 24A (payment type code), and enter in block number 11 the FRN(s) captioned above (Payor FRN).</w:t>
      </w:r>
      <w:r>
        <w:rPr>
          <w:rStyle w:val="FootnoteReference"/>
        </w:rPr>
        <w:footnoteReference w:id="23"/>
      </w:r>
      <w:r w:rsidR="004B3B9B">
        <w:t xml:space="preserve">  For additional detail and wire transfer instructions, go to </w:t>
      </w:r>
      <w:hyperlink r:id="rId6" w:history="1">
        <w:r w:rsidRPr="007F267C" w:rsidR="004B3B9B">
          <w:rPr>
            <w:rStyle w:val="Hyperlink"/>
          </w:rPr>
          <w:t>https://www.fcc.gov/licensing-databases/fees/wire-transfer</w:t>
        </w:r>
      </w:hyperlink>
      <w:r w:rsidR="004B3B9B">
        <w:t>.</w:t>
      </w:r>
    </w:p>
    <w:p w:rsidR="004B3B9B" w:rsidP="00EA32CC" w14:paraId="2C181805" w14:textId="3A67C92A">
      <w:pPr>
        <w:pStyle w:val="ParaNum"/>
        <w:numPr>
          <w:ilvl w:val="0"/>
          <w:numId w:val="7"/>
        </w:numPr>
      </w:pPr>
      <w:r>
        <w:t>Payment b</w:t>
      </w:r>
      <w:r w:rsidR="00FC20E6">
        <w:t>y</w:t>
      </w:r>
      <w:r>
        <w:t xml:space="preserve"> credit card must be made by using the Commission’s Fee Filer website at </w:t>
      </w:r>
      <w:hyperlink r:id="rId7" w:history="1">
        <w:r w:rsidRPr="007F267C">
          <w:rPr>
            <w:rStyle w:val="Hyperlink"/>
          </w:rPr>
          <w:t>https://apps.fcc.gov/FeeFiler/login.cfm</w:t>
        </w:r>
      </w:hyperlink>
      <w: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4B3B9B" w:rsidP="00EA32CC" w14:paraId="335E3735" w14:textId="77777777">
      <w:pPr>
        <w:pStyle w:val="ParaNum"/>
        <w:numPr>
          <w:ilvl w:val="0"/>
          <w:numId w:val="7"/>
        </w:numPr>
      </w:pPr>
      <w:r>
        <w:t xml:space="preserve">Payment by ACH must be made by using the Commission’s Fee Filer website at </w:t>
      </w:r>
      <w:hyperlink r:id="rId7" w:history="1">
        <w:r w:rsidRPr="007F267C">
          <w:rPr>
            <w:rStyle w:val="Hyperlink"/>
          </w:rPr>
          <w:t>https://apps.fcc.gov/FeeFiler/login.cfm</w:t>
        </w:r>
      </w:hyperlink>
      <w:r>
        <w:t xml:space="preserve">.  To pay by ACH, log in using the FRN captioned </w:t>
      </w:r>
      <w:r>
        <w:t>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the financial institution that the designated account has authorization to accept ACH transactions.</w:t>
      </w:r>
    </w:p>
    <w:p w:rsidR="004B3B9B" w:rsidP="00EA32CC" w14:paraId="4078B95B" w14:textId="3E089C58">
      <w:pPr>
        <w:pStyle w:val="ParaNum"/>
      </w:pPr>
      <w:r w:rsidRPr="000814DC">
        <w:t xml:space="preserve">Any request for full payment of the forfeiture proposed in this </w:t>
      </w:r>
      <w:r w:rsidRPr="00E92BFB">
        <w:rPr>
          <w:i/>
          <w:iCs/>
        </w:rPr>
        <w:t>NAL</w:t>
      </w:r>
      <w:r w:rsidRPr="000814DC">
        <w:t xml:space="preserve"> under </w:t>
      </w:r>
      <w:r w:rsidR="0001314E">
        <w:t>an</w:t>
      </w:r>
      <w:r w:rsidRPr="000814DC" w:rsidR="0001314E">
        <w:t xml:space="preserve"> </w:t>
      </w:r>
      <w:r w:rsidRPr="000814DC">
        <w:t>installment plan should be sent to: Associate Managing Director-Financial Operations, 45 L Street, N.E., Washington, DC 20554.</w:t>
      </w:r>
      <w:r>
        <w:rPr>
          <w:rStyle w:val="FootnoteReference"/>
        </w:rPr>
        <w:footnoteReference w:id="24"/>
      </w:r>
      <w:r>
        <w:t xml:space="preserve"> </w:t>
      </w:r>
      <w:r w:rsidRPr="000814DC">
        <w:t xml:space="preserve"> Questions regarding payment procedures should be directed to the Financial Operations Group Help Desk by phone, 1-877-480-3201 (option #6), or by e-mail at </w:t>
      </w:r>
      <w:hyperlink r:id="rId8" w:history="1">
        <w:r w:rsidRPr="00FC1773">
          <w:rPr>
            <w:rStyle w:val="Hyperlink"/>
          </w:rPr>
          <w:t>ARINQUIRIES@fcc.gov</w:t>
        </w:r>
      </w:hyperlink>
      <w:r w:rsidR="00CE21AC">
        <w:t xml:space="preserve">. </w:t>
      </w:r>
    </w:p>
    <w:p w:rsidR="00AC32CC" w:rsidP="00EA32CC" w14:paraId="6B1A3A41" w14:textId="24F14EA8">
      <w:pPr>
        <w:pStyle w:val="ParaNum"/>
      </w:pPr>
      <w:r>
        <w:t xml:space="preserve">Any written response seeking reduction or cancellation of the proposed forfeiture, if any, must include a detailed factual statement supported by appropriate documentation and affidavits pursuant to sections 1.16 and 1.80(f)(3) of the </w:t>
      </w:r>
      <w:r w:rsidR="0001314E">
        <w:t>R</w:t>
      </w:r>
      <w:r>
        <w:t>ules.</w:t>
      </w:r>
      <w:r>
        <w:rPr>
          <w:rStyle w:val="FootnoteReference"/>
        </w:rPr>
        <w:footnoteReference w:id="25"/>
      </w:r>
      <w:bookmarkStart w:id="2" w:name="_Hlk56609743"/>
      <w:bookmarkEnd w:id="2"/>
      <w:r>
        <w:t xml:space="preserve">  The written response must be filed with the Office of the Secretary, Federal Communications Commission, 45 L Street NE, Washington, DC 20554, ATTN: Barbara Kreisman, Chief, Video Division, Media Bureau, and </w:t>
      </w:r>
      <w:r w:rsidRPr="00E92BFB">
        <w:rPr>
          <w:b/>
          <w:bCs/>
        </w:rPr>
        <w:t>MUST INCLUDE</w:t>
      </w:r>
      <w:r>
        <w:t xml:space="preserve"> the NAL/Acct. No. referenced above.  Filings can be sent by commercial overnight courier, or by first-class or overnight U.S. Postal Service mail.</w:t>
      </w:r>
      <w:r>
        <w:rPr>
          <w:rStyle w:val="FootnoteReference"/>
        </w:rPr>
        <w:footnoteReference w:id="26"/>
      </w:r>
      <w:r w:rsidR="0001314E">
        <w:t xml:space="preserve"> </w:t>
      </w:r>
      <w:r>
        <w:t xml:space="preserve"> </w:t>
      </w:r>
      <w:r w:rsidR="0001314E">
        <w:t xml:space="preserve"> </w:t>
      </w:r>
      <w:r>
        <w:t>All filings must be addressed to the Commission’s Secretary, Office of the Secretary, Federal Communications Commission.</w:t>
      </w:r>
      <w:r w:rsidR="0001314E">
        <w:t xml:space="preserve">  </w:t>
      </w:r>
      <w:r w:rsidRPr="0001314E" w:rsidR="0001314E">
        <w:t xml:space="preserve">A courtesy copy should also be emailed to </w:t>
      </w:r>
      <w:hyperlink r:id="rId9" w:history="1">
        <w:r w:rsidRPr="003C17A3" w:rsidR="00E92BFB">
          <w:rPr>
            <w:rStyle w:val="Hyperlink"/>
          </w:rPr>
          <w:t>Tyler.Bridegan@fcc.gov</w:t>
        </w:r>
      </w:hyperlink>
      <w:r w:rsidRPr="0001314E" w:rsidR="0001314E">
        <w:t xml:space="preserve"> to assist in processing the response.</w:t>
      </w:r>
    </w:p>
    <w:p w:rsidR="00AC32CC" w:rsidP="00EA32CC" w14:paraId="6839C39A" w14:textId="5CF36902">
      <w:pPr>
        <w:pStyle w:val="ParaNum"/>
        <w:numPr>
          <w:ilvl w:val="0"/>
          <w:numId w:val="9"/>
        </w:numPr>
      </w:pPr>
      <w:r>
        <w:t>Commercial overnight mail (other than U.S. Postal Service Express Mail and Priority Mail) must be sent to 9050 Junction Drive, Annapolis Junction, MD 20701.</w:t>
      </w:r>
    </w:p>
    <w:p w:rsidR="00AC32CC" w:rsidP="00EA32CC" w14:paraId="1E77B4F2" w14:textId="6DD01610">
      <w:pPr>
        <w:pStyle w:val="ParaNum"/>
        <w:numPr>
          <w:ilvl w:val="0"/>
          <w:numId w:val="9"/>
        </w:numPr>
      </w:pPr>
      <w:r>
        <w:t xml:space="preserve">Postal Service first-class, Express, and Priority mail must be addressed to 45 L Street, NE, Washington, DC 20554. </w:t>
      </w:r>
    </w:p>
    <w:p w:rsidR="00CE21AC" w:rsidP="00EA32CC" w14:paraId="280D7C4E" w14:textId="6C902858">
      <w:pPr>
        <w:pStyle w:val="ParaNum"/>
      </w:pPr>
      <w:r>
        <w:t>The Commission will not consider reducing or canceling a forfeiture in response to a claim of inability to pay unless the respondent submits:</w:t>
      </w:r>
      <w:r w:rsidR="00AC32CC">
        <w:t xml:space="preserve"> </w:t>
      </w:r>
      <w:r>
        <w:t xml:space="preserve"> (1) federal tax returns for the most recent three-</w:t>
      </w:r>
      <w:r w:rsidRPr="0001314E">
        <w:rPr>
          <w:szCs w:val="22"/>
        </w:rPr>
        <w:t>year period; (2) financial statements</w:t>
      </w:r>
      <w:r w:rsidRPr="0001314E" w:rsidR="00755427">
        <w:rPr>
          <w:szCs w:val="22"/>
        </w:rPr>
        <w:t xml:space="preserve">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0001314E">
        <w:rPr>
          <w:szCs w:val="22"/>
        </w:rPr>
        <w:t xml:space="preserve">  </w:t>
      </w:r>
      <w:r w:rsidRPr="00E92BFB" w:rsidR="0001314E">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7"/>
      </w:r>
    </w:p>
    <w:p w:rsidR="00755427" w:rsidP="00E92BFB" w14:paraId="02D58B70" w14:textId="58633E00">
      <w:pPr>
        <w:pStyle w:val="ParaNum"/>
        <w:keepNext/>
        <w:keepLines/>
      </w:pPr>
      <w:r w:rsidRPr="003438EF">
        <w:rPr>
          <w:b/>
          <w:bCs/>
        </w:rPr>
        <w:t>IT IS FURTHER ORDERED</w:t>
      </w:r>
      <w:r>
        <w:t xml:space="preserve">, that copies of this </w:t>
      </w:r>
      <w:r w:rsidRPr="003438EF">
        <w:rPr>
          <w:i/>
        </w:rPr>
        <w:t>NAL</w:t>
      </w:r>
      <w:r>
        <w:t xml:space="preserve"> shall be sent by First Class and Certified Mail, Return Receipt Requested, to </w:t>
      </w:r>
      <w:r w:rsidRPr="003438EF" w:rsidR="003438EF">
        <w:t>Rejoice HD, Inc.</w:t>
      </w:r>
      <w:r>
        <w:t xml:space="preserve">, </w:t>
      </w:r>
      <w:r w:rsidR="003438EF">
        <w:t>224 Oak Lake Run Crescent, Unit H, Chesapeake, VA 23320</w:t>
      </w:r>
      <w:r>
        <w:t xml:space="preserve">, and to its counsel, </w:t>
      </w:r>
      <w:r w:rsidRPr="003438EF" w:rsidR="003438EF">
        <w:t>John C. Trent</w:t>
      </w:r>
      <w:r w:rsidRPr="003438EF">
        <w:t>,</w:t>
      </w:r>
      <w:r>
        <w:t xml:space="preserve"> </w:t>
      </w:r>
      <w:r w:rsidR="003438EF">
        <w:t>200 South Church Street, Woodstock, VA 22664</w:t>
      </w:r>
      <w:r>
        <w:t>.</w:t>
      </w:r>
    </w:p>
    <w:p w:rsidR="00755427" w:rsidP="00E92BFB" w14:paraId="5552F505" w14:textId="77777777">
      <w:pPr>
        <w:pStyle w:val="ParaNum"/>
        <w:keepNext/>
        <w:keepLines/>
        <w:numPr>
          <w:ilvl w:val="0"/>
          <w:numId w:val="0"/>
        </w:numPr>
        <w:ind w:left="3600" w:firstLine="720"/>
      </w:pPr>
      <w:r>
        <w:t>FEDERAL COMMUNICATIONS COMMISSION</w:t>
      </w:r>
    </w:p>
    <w:p w:rsidR="00755427" w:rsidP="00755427" w14:paraId="6A8E9689" w14:textId="77777777">
      <w:pPr>
        <w:pStyle w:val="ParaNum"/>
        <w:numPr>
          <w:ilvl w:val="0"/>
          <w:numId w:val="0"/>
        </w:numPr>
        <w:ind w:left="3600" w:firstLine="720"/>
      </w:pPr>
    </w:p>
    <w:p w:rsidR="00755427" w:rsidP="00755427" w14:paraId="7B31EED1" w14:textId="77777777">
      <w:pPr>
        <w:pStyle w:val="ParaNum"/>
        <w:numPr>
          <w:ilvl w:val="0"/>
          <w:numId w:val="0"/>
        </w:numPr>
        <w:spacing w:after="0"/>
        <w:ind w:left="3600" w:firstLine="720"/>
      </w:pPr>
      <w:r>
        <w:t>Barbara A. Kreisman</w:t>
      </w:r>
    </w:p>
    <w:p w:rsidR="00755427" w:rsidP="00755427" w14:paraId="45A3BB17" w14:textId="77777777">
      <w:pPr>
        <w:pStyle w:val="ParaNum"/>
        <w:numPr>
          <w:ilvl w:val="0"/>
          <w:numId w:val="0"/>
        </w:numPr>
        <w:spacing w:after="0"/>
        <w:ind w:left="3600" w:firstLine="720"/>
      </w:pPr>
      <w:r>
        <w:t>Chief, Video Division</w:t>
      </w:r>
    </w:p>
    <w:p w:rsidR="005005A5" w:rsidRPr="004C31FD" w:rsidP="00E92BFB" w14:paraId="5654D2DA" w14:textId="4530EC1F">
      <w:pPr>
        <w:pStyle w:val="ParaNum"/>
        <w:numPr>
          <w:ilvl w:val="0"/>
          <w:numId w:val="0"/>
        </w:numPr>
        <w:spacing w:after="0"/>
        <w:ind w:left="3600" w:firstLine="720"/>
      </w:pPr>
      <w:r>
        <w:t>Media Bureau</w:t>
      </w: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BFB" w14:paraId="764B365E" w14:textId="4D72C85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1FD" w14:paraId="134AAAF0" w14:textId="77777777">
      <w:r>
        <w:separator/>
      </w:r>
    </w:p>
  </w:footnote>
  <w:footnote w:type="continuationSeparator" w:id="1">
    <w:p w:rsidR="004C31FD" w:rsidP="00C721AC" w14:paraId="537321ED" w14:textId="77777777">
      <w:pPr>
        <w:spacing w:before="120"/>
        <w:rPr>
          <w:sz w:val="20"/>
        </w:rPr>
      </w:pPr>
      <w:r>
        <w:rPr>
          <w:sz w:val="20"/>
        </w:rPr>
        <w:t xml:space="preserve">(Continued from previous page)  </w:t>
      </w:r>
      <w:r>
        <w:rPr>
          <w:sz w:val="20"/>
        </w:rPr>
        <w:separator/>
      </w:r>
    </w:p>
  </w:footnote>
  <w:footnote w:type="continuationNotice" w:id="2">
    <w:p w:rsidR="004C31FD" w:rsidP="00C721AC" w14:paraId="4C6105B9" w14:textId="77777777">
      <w:pPr>
        <w:jc w:val="right"/>
        <w:rPr>
          <w:sz w:val="20"/>
        </w:rPr>
      </w:pPr>
      <w:r>
        <w:rPr>
          <w:sz w:val="20"/>
        </w:rPr>
        <w:t>(continued….)</w:t>
      </w:r>
    </w:p>
  </w:footnote>
  <w:footnote w:id="3">
    <w:p w:rsidR="004C31FD" w:rsidP="00E92BFB" w14:paraId="5D6F96DB" w14:textId="622EBA89">
      <w:pPr>
        <w:pStyle w:val="FootnoteText"/>
        <w:widowControl w:val="0"/>
      </w:pPr>
      <w:r>
        <w:rPr>
          <w:rStyle w:val="FootnoteReference"/>
        </w:rPr>
        <w:footnoteRef/>
      </w:r>
      <w:r>
        <w:t xml:space="preserve"> File No. </w:t>
      </w:r>
      <w:r w:rsidRPr="00675C48" w:rsidR="00CC0569">
        <w:rPr>
          <w:spacing w:val="-2"/>
        </w:rPr>
        <w:t>0000117664</w:t>
      </w:r>
      <w:r w:rsidR="00966111">
        <w:rPr>
          <w:spacing w:val="-2"/>
        </w:rPr>
        <w:t xml:space="preserve"> (W18BS Renewal)</w:t>
      </w:r>
      <w:r>
        <w:t>.</w:t>
      </w:r>
    </w:p>
  </w:footnote>
  <w:footnote w:id="4">
    <w:p w:rsidR="004C31FD" w:rsidP="00E92BFB" w14:paraId="1CFB46C6" w14:textId="77777777">
      <w:pPr>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 xml:space="preserve">This </w:t>
      </w:r>
      <w:r>
        <w:rPr>
          <w:rFonts w:ascii="TimesNewRomanPS-ItalicMT" w:hAnsi="TimesNewRomanPS-ItalicMT" w:cs="TimesNewRomanPS-ItalicMT"/>
          <w:i/>
          <w:iCs/>
          <w:snapToGrid/>
          <w:kern w:val="0"/>
          <w:sz w:val="20"/>
        </w:rPr>
        <w:t xml:space="preserve">NAL </w:t>
      </w:r>
      <w:r>
        <w:rPr>
          <w:rFonts w:ascii="TimesNewRomanPSMT" w:hAnsi="TimesNewRomanPSMT" w:cs="TimesNewRomanPSMT"/>
          <w:snapToGrid/>
          <w:kern w:val="0"/>
          <w:sz w:val="20"/>
        </w:rPr>
        <w:t>is issued pursuant to sections 309(k) and 503(b) of the Communications Act of 1934, as amended (Act),</w:t>
      </w:r>
    </w:p>
    <w:p w:rsidR="004C31FD" w:rsidP="00E92BFB" w14:paraId="6ED6E408" w14:textId="42DD6D1E">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 xml:space="preserve">and section 1.80 of the Commission’s rules (Rules). </w:t>
      </w:r>
      <w:r w:rsidR="000A744F">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 xml:space="preserve">See </w:t>
      </w:r>
      <w:r>
        <w:rPr>
          <w:rFonts w:ascii="TimesNewRomanPSMT" w:hAnsi="TimesNewRomanPSMT" w:cs="TimesNewRomanPSMT"/>
          <w:snapToGrid/>
          <w:kern w:val="0"/>
          <w:sz w:val="20"/>
        </w:rPr>
        <w:t>47 U.S.C. §§ 309(k), 503(b); 47 CFR § 1.80.</w:t>
      </w:r>
      <w:r w:rsidR="00BF5DEF">
        <w:rPr>
          <w:rFonts w:ascii="TimesNewRomanPSMT" w:hAnsi="TimesNewRomanPSMT" w:cs="TimesNewRomanPSMT"/>
          <w:snapToGrid/>
          <w:kern w:val="0"/>
          <w:sz w:val="20"/>
        </w:rPr>
        <w:t xml:space="preserve"> </w:t>
      </w:r>
      <w:r>
        <w:rPr>
          <w:rFonts w:ascii="TimesNewRomanPSMT" w:hAnsi="TimesNewRomanPSMT" w:cs="TimesNewRomanPSMT"/>
          <w:snapToGrid/>
          <w:kern w:val="0"/>
          <w:sz w:val="20"/>
        </w:rPr>
        <w:t xml:space="preserve"> The Bureau</w:t>
      </w:r>
    </w:p>
    <w:p w:rsidR="004C31FD" w:rsidP="00E92BFB" w14:paraId="44F6F966" w14:textId="137DCDD7">
      <w:pPr>
        <w:pStyle w:val="FootnoteText"/>
        <w:widowControl w:val="0"/>
      </w:pPr>
      <w:r>
        <w:rPr>
          <w:rFonts w:ascii="TimesNewRomanPSMT" w:hAnsi="TimesNewRomanPSMT" w:cs="TimesNewRomanPSMT"/>
        </w:rPr>
        <w:t>has delegated authority to issue th</w:t>
      </w:r>
      <w:r w:rsidR="00CC0569">
        <w:rPr>
          <w:rFonts w:ascii="TimesNewRomanPSMT" w:hAnsi="TimesNewRomanPSMT" w:cs="TimesNewRomanPSMT"/>
        </w:rPr>
        <w:t>is</w:t>
      </w:r>
      <w:r>
        <w:rPr>
          <w:rFonts w:ascii="TimesNewRomanPSMT" w:hAnsi="TimesNewRomanPSMT" w:cs="TimesNewRomanPSMT"/>
        </w:rPr>
        <w:t xml:space="preserve"> NAL under section 0.283 of the </w:t>
      </w:r>
      <w:r w:rsidR="00EA32CC">
        <w:rPr>
          <w:rFonts w:ascii="TimesNewRomanPSMT" w:hAnsi="TimesNewRomanPSMT" w:cs="TimesNewRomanPSMT"/>
        </w:rPr>
        <w:t>R</w:t>
      </w:r>
      <w:r>
        <w:rPr>
          <w:rFonts w:ascii="TimesNewRomanPSMT" w:hAnsi="TimesNewRomanPSMT" w:cs="TimesNewRomanPSMT"/>
        </w:rPr>
        <w:t xml:space="preserve">ules. </w:t>
      </w:r>
      <w:r w:rsidR="00BF5DEF">
        <w:rPr>
          <w:rFonts w:ascii="TimesNewRomanPSMT" w:hAnsi="TimesNewRomanPSMT" w:cs="TimesNewRomanPSMT"/>
        </w:rPr>
        <w:t xml:space="preserve"> </w:t>
      </w:r>
      <w:r>
        <w:rPr>
          <w:rFonts w:ascii="TimesNewRomanPS-ItalicMT" w:hAnsi="TimesNewRomanPS-ItalicMT" w:cs="TimesNewRomanPS-ItalicMT"/>
          <w:i/>
          <w:iCs/>
        </w:rPr>
        <w:t xml:space="preserve">See </w:t>
      </w:r>
      <w:r>
        <w:rPr>
          <w:rFonts w:ascii="TimesNewRomanPSMT" w:hAnsi="TimesNewRomanPSMT" w:cs="TimesNewRomanPSMT"/>
        </w:rPr>
        <w:t>47 CFR § 0.283.</w:t>
      </w:r>
    </w:p>
  </w:footnote>
  <w:footnote w:id="5">
    <w:p w:rsidR="001D3B51" w:rsidP="00E92BFB" w14:paraId="51CA8682" w14:textId="5C4E7C42">
      <w:pPr>
        <w:pStyle w:val="FootnoteText"/>
        <w:widowControl w:val="0"/>
      </w:pPr>
      <w:r>
        <w:rPr>
          <w:rStyle w:val="FootnoteReference"/>
        </w:rPr>
        <w:footnoteRef/>
      </w:r>
      <w:r>
        <w:t xml:space="preserve"> </w:t>
      </w:r>
      <w:r>
        <w:rPr>
          <w:rFonts w:ascii="TimesNewRomanPSMT" w:hAnsi="TimesNewRomanPSMT" w:cs="TimesNewRomanPSMT"/>
        </w:rPr>
        <w:t>47 CFR § 73.3539</w:t>
      </w:r>
      <w:r w:rsidR="00336449">
        <w:rPr>
          <w:rFonts w:ascii="TimesNewRomanPSMT" w:hAnsi="TimesNewRomanPSMT" w:cs="TimesNewRomanPSMT"/>
        </w:rPr>
        <w:t>(a)</w:t>
      </w:r>
      <w:r>
        <w:rPr>
          <w:rFonts w:ascii="TimesNewRomanPSMT" w:hAnsi="TimesNewRomanPSMT" w:cs="TimesNewRomanPSMT"/>
        </w:rPr>
        <w:t>.</w:t>
      </w:r>
    </w:p>
  </w:footnote>
  <w:footnote w:id="6">
    <w:p w:rsidR="005005A5" w:rsidP="00E92BFB" w14:paraId="61971BDD" w14:textId="574B9A95">
      <w:pPr>
        <w:pStyle w:val="FootnoteText"/>
        <w:widowControl w:val="0"/>
      </w:pPr>
      <w:r>
        <w:rPr>
          <w:rStyle w:val="FootnoteReference"/>
        </w:rPr>
        <w:footnoteRef/>
      </w:r>
      <w:r>
        <w:t xml:space="preserve"> </w:t>
      </w:r>
      <w:r w:rsidRPr="00E92BFB" w:rsidR="00336449">
        <w:rPr>
          <w:rFonts w:ascii="TimesNewRomanPSMT" w:hAnsi="TimesNewRomanPSMT" w:cs="TimesNewRomanPSMT"/>
          <w:i/>
          <w:iCs/>
        </w:rPr>
        <w:t>Id</w:t>
      </w:r>
      <w:r>
        <w:rPr>
          <w:rFonts w:ascii="TimesNewRomanPSMT" w:hAnsi="TimesNewRomanPSMT" w:cs="TimesNewRomanPSMT"/>
        </w:rPr>
        <w:t>.</w:t>
      </w:r>
    </w:p>
  </w:footnote>
  <w:footnote w:id="7">
    <w:p w:rsidR="00AD6D78" w:rsidP="00E92BFB" w14:paraId="7D14EA0A" w14:textId="6474C814">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73.1020, 73.3539(a)</w:t>
      </w:r>
      <w:r w:rsidR="00336449">
        <w:rPr>
          <w:rFonts w:ascii="TimesNewRomanPSMT" w:hAnsi="TimesNewRomanPSMT" w:cs="TimesNewRomanPSMT"/>
        </w:rPr>
        <w:t xml:space="preserve">; </w:t>
      </w:r>
      <w:r w:rsidRPr="003438EF" w:rsidR="0086037B">
        <w:rPr>
          <w:i/>
          <w:iCs/>
        </w:rPr>
        <w:t xml:space="preserve">See </w:t>
      </w:r>
      <w:r w:rsidR="0086037B">
        <w:rPr>
          <w:i/>
          <w:iCs/>
        </w:rPr>
        <w:t xml:space="preserve">Media Bureau Announces Procedures For </w:t>
      </w:r>
      <w:r w:rsidRPr="0086037B" w:rsidR="0086037B">
        <w:rPr>
          <w:i/>
          <w:iCs/>
        </w:rPr>
        <w:t xml:space="preserve">2020-2023 </w:t>
      </w:r>
      <w:r w:rsidR="0086037B">
        <w:rPr>
          <w:i/>
          <w:iCs/>
        </w:rPr>
        <w:t>Television License Renewal Cycle</w:t>
      </w:r>
      <w:r w:rsidR="0086037B">
        <w:t>,</w:t>
      </w:r>
      <w:r w:rsidR="0086037B">
        <w:rPr>
          <w:i/>
          <w:iCs/>
        </w:rPr>
        <w:t xml:space="preserve"> </w:t>
      </w:r>
      <w:r w:rsidR="0086037B">
        <w:t xml:space="preserve">Public Notice, </w:t>
      </w:r>
      <w:r w:rsidRPr="0086037B" w:rsidR="0086037B">
        <w:t xml:space="preserve">35 FCC Rcd 3656 </w:t>
      </w:r>
      <w:r w:rsidR="0086037B">
        <w:t>(2020).</w:t>
      </w:r>
    </w:p>
  </w:footnote>
  <w:footnote w:id="8">
    <w:p w:rsidR="00966111" w:rsidP="00E92BFB" w14:paraId="24429975" w14:textId="38F5F702">
      <w:pPr>
        <w:pStyle w:val="FootnoteText"/>
        <w:widowControl w:val="0"/>
      </w:pPr>
      <w:r>
        <w:rPr>
          <w:rStyle w:val="FootnoteReference"/>
        </w:rPr>
        <w:footnoteRef/>
      </w:r>
      <w:r>
        <w:t xml:space="preserve"> </w:t>
      </w:r>
      <w:r>
        <w:rPr>
          <w:spacing w:val="-2"/>
        </w:rPr>
        <w:t xml:space="preserve">W18BS Renewal, </w:t>
      </w:r>
      <w:r w:rsidRPr="00C10E93" w:rsidR="00C10E93">
        <w:rPr>
          <w:spacing w:val="-2"/>
        </w:rPr>
        <w:t>Request to Accept Late-Filed Renewal Application</w:t>
      </w:r>
      <w:r w:rsidR="00C10E93">
        <w:rPr>
          <w:spacing w:val="-2"/>
        </w:rPr>
        <w:t>.</w:t>
      </w:r>
    </w:p>
  </w:footnote>
  <w:footnote w:id="9">
    <w:p w:rsidR="00AD6D78" w:rsidRPr="00B229D5" w:rsidP="00E92BFB" w14:paraId="26636C08" w14:textId="77777777">
      <w:pPr>
        <w:pStyle w:val="FootnoteText"/>
        <w:widowControl w:val="0"/>
      </w:pPr>
      <w:r w:rsidRPr="00B229D5">
        <w:rPr>
          <w:rStyle w:val="FootnoteReference"/>
        </w:rPr>
        <w:footnoteRef/>
      </w:r>
      <w:r w:rsidRPr="00B229D5">
        <w:t xml:space="preserve"> 47 U.S.C. § 503(b)(1)(B); </w:t>
      </w:r>
      <w:r w:rsidRPr="006B6625">
        <w:rPr>
          <w:i/>
        </w:rPr>
        <w:t>see also</w:t>
      </w:r>
      <w:r w:rsidRPr="00B229D5">
        <w:t xml:space="preserve"> 47 CFR § 1.80(a)(1).</w:t>
      </w:r>
    </w:p>
  </w:footnote>
  <w:footnote w:id="10">
    <w:p w:rsidR="00327E31" w:rsidRPr="00B229D5" w:rsidP="00E92BFB" w14:paraId="4F34460C" w14:textId="77777777">
      <w:pPr>
        <w:pStyle w:val="FootnoteText"/>
        <w:widowControl w:val="0"/>
      </w:pPr>
      <w:r w:rsidRPr="00B229D5">
        <w:rPr>
          <w:rStyle w:val="FootnoteReference"/>
        </w:rPr>
        <w:footnoteRef/>
      </w:r>
      <w:r w:rsidRPr="00B229D5">
        <w:t xml:space="preserve"> 47 U.S.C. § 312(f)(1).</w:t>
      </w:r>
    </w:p>
  </w:footnote>
  <w:footnote w:id="11">
    <w:p w:rsidR="00327E31" w:rsidRPr="00B229D5" w:rsidP="00E92BFB" w14:paraId="23701DB7" w14:textId="77777777">
      <w:pPr>
        <w:pStyle w:val="FootnoteText"/>
        <w:widowControl w:val="0"/>
      </w:pPr>
      <w:r w:rsidRPr="00B229D5">
        <w:rPr>
          <w:rStyle w:val="FootnoteReference"/>
        </w:rPr>
        <w:footnoteRef/>
      </w:r>
      <w:r w:rsidRPr="00B229D5">
        <w:t xml:space="preserve"> </w:t>
      </w:r>
      <w:r w:rsidRPr="00B229D5">
        <w:rPr>
          <w:i/>
          <w:iCs/>
        </w:rPr>
        <w:t xml:space="preserve">See </w:t>
      </w:r>
      <w:r w:rsidRPr="00B229D5">
        <w:t xml:space="preserve">H.R. Rep. No. 97-765, </w:t>
      </w:r>
      <w:r w:rsidRPr="00B229D5" w:rsidR="00FD339F">
        <w:t>97</w:t>
      </w:r>
      <w:r w:rsidRPr="00B229D5" w:rsidR="00FD339F">
        <w:rPr>
          <w:vertAlign w:val="superscript"/>
        </w:rPr>
        <w:t>th</w:t>
      </w:r>
      <w:r w:rsidRPr="00B229D5">
        <w:rPr>
          <w:sz w:val="13"/>
          <w:szCs w:val="13"/>
        </w:rPr>
        <w:t xml:space="preserve"> </w:t>
      </w:r>
      <w:r w:rsidRPr="00B229D5">
        <w:t>Cong. 2d Sess. 51 (1982).</w:t>
      </w:r>
    </w:p>
  </w:footnote>
  <w:footnote w:id="12">
    <w:p w:rsidR="00327E31" w:rsidRPr="00B229D5" w:rsidP="00E92BFB" w14:paraId="1F30C9C7" w14:textId="77777777">
      <w:pPr>
        <w:autoSpaceDE w:val="0"/>
        <w:autoSpaceDN w:val="0"/>
        <w:adjustRightInd w:val="0"/>
        <w:rPr>
          <w:snapToGrid/>
          <w:kern w:val="0"/>
          <w:sz w:val="20"/>
        </w:rPr>
      </w:pPr>
      <w:r w:rsidRPr="00B229D5">
        <w:rPr>
          <w:rStyle w:val="FootnoteReference"/>
        </w:rPr>
        <w:footnoteRef/>
      </w:r>
      <w:r w:rsidRPr="00B229D5">
        <w:t xml:space="preserve"> </w:t>
      </w:r>
      <w:r w:rsidRPr="00B229D5">
        <w:rPr>
          <w:i/>
          <w:iCs/>
          <w:snapToGrid/>
          <w:kern w:val="0"/>
          <w:sz w:val="20"/>
        </w:rPr>
        <w:t>See Southern California Broad. Co.</w:t>
      </w:r>
      <w:r w:rsidRPr="00B229D5">
        <w:rPr>
          <w:snapToGrid/>
          <w:kern w:val="0"/>
          <w:sz w:val="20"/>
        </w:rPr>
        <w:t>, Memorandum Opinion and Order, 6 FCC Rcd 4387, 4388, para. 5 (1991),</w:t>
      </w:r>
    </w:p>
    <w:p w:rsidR="00327E31" w:rsidRPr="00B229D5" w:rsidP="00E92BFB" w14:paraId="2DB99808" w14:textId="77777777">
      <w:pPr>
        <w:pStyle w:val="FootnoteText"/>
        <w:widowControl w:val="0"/>
      </w:pPr>
      <w:r w:rsidRPr="00B229D5">
        <w:rPr>
          <w:i/>
          <w:iCs/>
        </w:rPr>
        <w:t>recon. denied</w:t>
      </w:r>
      <w:r w:rsidRPr="00B229D5">
        <w:t>, 7 FCC Rcd 3454 (1992).</w:t>
      </w:r>
    </w:p>
  </w:footnote>
  <w:footnote w:id="13">
    <w:p w:rsidR="00327E31" w:rsidRPr="00B229D5" w:rsidP="00E92BFB" w14:paraId="440A4259" w14:textId="77777777">
      <w:pPr>
        <w:autoSpaceDE w:val="0"/>
        <w:autoSpaceDN w:val="0"/>
        <w:adjustRightInd w:val="0"/>
        <w:rPr>
          <w:i/>
          <w:iCs/>
          <w:snapToGrid/>
          <w:kern w:val="0"/>
          <w:sz w:val="20"/>
        </w:rPr>
      </w:pPr>
      <w:r w:rsidRPr="00B229D5">
        <w:rPr>
          <w:rStyle w:val="FootnoteReference"/>
        </w:rPr>
        <w:footnoteRef/>
      </w:r>
      <w:r w:rsidRPr="00B229D5">
        <w:t xml:space="preserve"> </w:t>
      </w:r>
      <w:r w:rsidRPr="00B229D5">
        <w:rPr>
          <w:i/>
          <w:iCs/>
          <w:snapToGrid/>
          <w:kern w:val="0"/>
          <w:sz w:val="20"/>
        </w:rPr>
        <w:t>See Forfeiture Policy Statement and Amendment of Section 1.80(b) of the Rules to Incorporate the Forfeiture</w:t>
      </w:r>
    </w:p>
    <w:p w:rsidR="00327E31" w:rsidRPr="00B229D5" w:rsidP="00E92BFB" w14:paraId="58A02932" w14:textId="77777777">
      <w:pPr>
        <w:autoSpaceDE w:val="0"/>
        <w:autoSpaceDN w:val="0"/>
        <w:adjustRightInd w:val="0"/>
        <w:rPr>
          <w:snapToGrid/>
          <w:kern w:val="0"/>
          <w:sz w:val="20"/>
        </w:rPr>
      </w:pPr>
      <w:r w:rsidRPr="00B229D5">
        <w:rPr>
          <w:i/>
          <w:iCs/>
          <w:snapToGrid/>
          <w:kern w:val="0"/>
          <w:sz w:val="20"/>
        </w:rPr>
        <w:t>Guidelines</w:t>
      </w:r>
      <w:r w:rsidRPr="00B229D5">
        <w:rPr>
          <w:snapToGrid/>
          <w:kern w:val="0"/>
          <w:sz w:val="20"/>
        </w:rPr>
        <w:t>, Report and Order, 12 FCC Rcd 17087, 17113-15 (1997) (</w:t>
      </w:r>
      <w:r w:rsidRPr="00B229D5">
        <w:rPr>
          <w:i/>
          <w:iCs/>
          <w:snapToGrid/>
          <w:kern w:val="0"/>
          <w:sz w:val="20"/>
        </w:rPr>
        <w:t>Forfeiture Policy Statement</w:t>
      </w:r>
      <w:r w:rsidRPr="00B229D5">
        <w:rPr>
          <w:snapToGrid/>
          <w:kern w:val="0"/>
          <w:sz w:val="20"/>
        </w:rPr>
        <w:t xml:space="preserve">), </w:t>
      </w:r>
      <w:r w:rsidRPr="00B229D5">
        <w:rPr>
          <w:i/>
          <w:iCs/>
          <w:snapToGrid/>
          <w:kern w:val="0"/>
          <w:sz w:val="20"/>
        </w:rPr>
        <w:t>recon. denied</w:t>
      </w:r>
      <w:r w:rsidRPr="00B229D5">
        <w:rPr>
          <w:snapToGrid/>
          <w:kern w:val="0"/>
          <w:sz w:val="20"/>
        </w:rPr>
        <w:t>, 15</w:t>
      </w:r>
    </w:p>
    <w:p w:rsidR="00327E31" w:rsidRPr="00B229D5" w:rsidP="00E92BFB" w14:paraId="13594D57" w14:textId="3ABFB49B">
      <w:pPr>
        <w:pStyle w:val="FootnoteText"/>
        <w:widowControl w:val="0"/>
      </w:pPr>
      <w:r w:rsidRPr="00B229D5">
        <w:t>FCC Rcd 303 (1999); 47 CFR § 1.80(b)(</w:t>
      </w:r>
      <w:r w:rsidR="00710173">
        <w:t>9</w:t>
      </w:r>
      <w:r w:rsidRPr="00B229D5">
        <w:t>), note to para</w:t>
      </w:r>
      <w:r w:rsidR="000A744F">
        <w:t>.</w:t>
      </w:r>
      <w:r w:rsidRPr="00B229D5">
        <w:t xml:space="preserve"> (b)(</w:t>
      </w:r>
      <w:r w:rsidR="00710173">
        <w:t>9</w:t>
      </w:r>
      <w:r w:rsidRPr="00B229D5">
        <w:t>), Section I.</w:t>
      </w:r>
    </w:p>
  </w:footnote>
  <w:footnote w:id="14">
    <w:p w:rsidR="00490A96" w:rsidRPr="00B229D5" w:rsidP="00E92BFB" w14:paraId="63F8C4D7" w14:textId="4609E16D">
      <w:pPr>
        <w:pStyle w:val="FootnoteText"/>
        <w:widowControl w:val="0"/>
      </w:pPr>
      <w:r w:rsidRPr="00B229D5">
        <w:rPr>
          <w:rStyle w:val="FootnoteReference"/>
        </w:rPr>
        <w:footnoteRef/>
      </w:r>
      <w:r w:rsidRPr="00B229D5">
        <w:t xml:space="preserve"> 47 U.S.C. § 503(b)(2)(E); </w:t>
      </w:r>
      <w:r w:rsidRPr="00B229D5">
        <w:rPr>
          <w:i/>
          <w:iCs/>
        </w:rPr>
        <w:t>see also Forfeiture Policy Statement</w:t>
      </w:r>
      <w:r w:rsidRPr="00B229D5">
        <w:t>, 12 FCC Rcd at 17100; 47 CFR § 1.80(b)(</w:t>
      </w:r>
      <w:r w:rsidR="00710173">
        <w:t>9</w:t>
      </w:r>
      <w:r w:rsidRPr="00B229D5">
        <w:t>).</w:t>
      </w:r>
    </w:p>
  </w:footnote>
  <w:footnote w:id="15">
    <w:p w:rsidR="00FD339F" w:rsidP="00E92BFB" w14:paraId="3151E9F5" w14:textId="77777777">
      <w:pPr>
        <w:pStyle w:val="FootnoteText"/>
        <w:widowControl w:val="0"/>
      </w:pPr>
      <w:r w:rsidRPr="00B229D5">
        <w:rPr>
          <w:rStyle w:val="FootnoteReference"/>
        </w:rPr>
        <w:footnoteRef/>
      </w:r>
      <w:r w:rsidRPr="00B229D5">
        <w:t xml:space="preserve"> 47 U.S.C. § 309(k).</w:t>
      </w:r>
    </w:p>
  </w:footnote>
  <w:footnote w:id="16">
    <w:p w:rsidR="00B229D5" w:rsidP="00E92BFB" w14:paraId="2E892489" w14:textId="77777777">
      <w:pPr>
        <w:pStyle w:val="FootnoteText"/>
        <w:widowControl w:val="0"/>
      </w:pPr>
      <w:r>
        <w:rPr>
          <w:rStyle w:val="FootnoteReference"/>
        </w:rPr>
        <w:footnoteRef/>
      </w:r>
      <w:r>
        <w:t xml:space="preserve"> </w:t>
      </w:r>
      <w:r>
        <w:rPr>
          <w:rFonts w:ascii="TimesNewRomanPSMT" w:hAnsi="TimesNewRomanPSMT" w:cs="TimesNewRomanPSMT"/>
        </w:rPr>
        <w:t>47 U.S.C. § 309(k)(1).</w:t>
      </w:r>
    </w:p>
  </w:footnote>
  <w:footnote w:id="17">
    <w:p w:rsidR="006F77A1" w:rsidP="00E92BFB" w14:paraId="5E4B6F03" w14:textId="77777777">
      <w:pPr>
        <w:pStyle w:val="FootnoteText"/>
        <w:widowControl w:val="0"/>
      </w:pPr>
      <w:r>
        <w:rPr>
          <w:rStyle w:val="FootnoteReference"/>
        </w:rPr>
        <w:footnoteRef/>
      </w:r>
      <w:r>
        <w:t xml:space="preserve"> </w:t>
      </w:r>
      <w:r>
        <w:rPr>
          <w:rFonts w:ascii="TimesNewRomanPSMT" w:hAnsi="TimesNewRomanPSMT" w:cs="TimesNewRomanPSMT"/>
        </w:rPr>
        <w:t>47 U.S.C. §§ 309(k)(2), 309(k)(3).</w:t>
      </w:r>
    </w:p>
  </w:footnote>
  <w:footnote w:id="18">
    <w:p w:rsidR="006F77A1" w:rsidP="00E92BFB" w14:paraId="0EEEBEBA" w14:textId="1C26922A">
      <w:pPr>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For example, we do not find here that the Licensee</w:t>
      </w:r>
      <w:r w:rsidR="00C10E93">
        <w:rPr>
          <w:rFonts w:ascii="TimesNewRomanPSMT" w:hAnsi="TimesNewRomanPSMT" w:cs="TimesNewRomanPSMT"/>
          <w:snapToGrid/>
          <w:kern w:val="0"/>
          <w:sz w:val="20"/>
        </w:rPr>
        <w:t>’</w:t>
      </w:r>
      <w:r>
        <w:rPr>
          <w:rFonts w:ascii="TimesNewRomanPSMT" w:hAnsi="TimesNewRomanPSMT" w:cs="TimesNewRomanPSMT"/>
          <w:snapToGrid/>
          <w:kern w:val="0"/>
          <w:sz w:val="20"/>
        </w:rPr>
        <w:t>s Station operation “was conducted in an exceedingly careless,</w:t>
      </w:r>
    </w:p>
    <w:p w:rsidR="006F77A1" w:rsidP="00E92BFB" w14:paraId="7817A9FA" w14:textId="77777777">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inept and negligent manner and that the licensee is either incapable of correcting or unwilling to correct the</w:t>
      </w:r>
    </w:p>
    <w:p w:rsidR="006F77A1" w:rsidP="00E92BFB" w14:paraId="3EE0D5CE" w14:textId="77777777">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operating deficiencies.”</w:t>
      </w:r>
      <w:r w:rsidR="006E568E">
        <w:rPr>
          <w:rFonts w:ascii="TimesNewRomanPSMT" w:hAnsi="TimesNewRomanPSMT" w:cs="TimesNewRomanPSMT"/>
          <w:snapToGrid/>
          <w:kern w:val="0"/>
          <w:sz w:val="20"/>
        </w:rPr>
        <w:t xml:space="preserve"> </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See Heart of the Black Hills Stations</w:t>
      </w:r>
      <w:r>
        <w:rPr>
          <w:rFonts w:ascii="TimesNewRomanPSMT" w:hAnsi="TimesNewRomanPSMT" w:cs="TimesNewRomanPSMT"/>
          <w:snapToGrid/>
          <w:kern w:val="0"/>
          <w:sz w:val="20"/>
        </w:rPr>
        <w:t xml:space="preserve">, Decision, 32 FCC 2d 196, 198, para. 6 (1971). </w:t>
      </w:r>
      <w:r w:rsidR="006E568E">
        <w:rPr>
          <w:rFonts w:ascii="TimesNewRomanPSMT" w:hAnsi="TimesNewRomanPSMT" w:cs="TimesNewRomanPSMT"/>
          <w:snapToGrid/>
          <w:kern w:val="0"/>
          <w:sz w:val="20"/>
        </w:rPr>
        <w:t xml:space="preserve"> </w:t>
      </w:r>
      <w:r>
        <w:rPr>
          <w:rFonts w:ascii="TimesNewRomanPSMT" w:hAnsi="TimesNewRomanPSMT" w:cs="TimesNewRomanPSMT"/>
          <w:snapToGrid/>
          <w:kern w:val="0"/>
          <w:sz w:val="20"/>
        </w:rPr>
        <w:t>Nor</w:t>
      </w:r>
    </w:p>
    <w:p w:rsidR="006F77A1" w:rsidP="00E92BFB" w14:paraId="52770E96" w14:textId="6BAFFE40">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 xml:space="preserve">do we find on the record here that </w:t>
      </w:r>
      <w:r w:rsidR="0086037B">
        <w:rPr>
          <w:rFonts w:ascii="TimesNewRomanPSMT" w:hAnsi="TimesNewRomanPSMT" w:cs="TimesNewRomanPSMT"/>
          <w:snapToGrid/>
          <w:kern w:val="0"/>
          <w:sz w:val="20"/>
        </w:rPr>
        <w:t>“</w:t>
      </w:r>
      <w:r>
        <w:rPr>
          <w:rFonts w:ascii="TimesNewRomanPSMT" w:hAnsi="TimesNewRomanPSMT" w:cs="TimesNewRomanPSMT"/>
          <w:snapToGrid/>
          <w:kern w:val="0"/>
          <w:sz w:val="20"/>
        </w:rPr>
        <w:t>the number, nature and extent</w:t>
      </w:r>
      <w:r w:rsidR="0086037B">
        <w:rPr>
          <w:rFonts w:ascii="TimesNewRomanPSMT" w:hAnsi="TimesNewRomanPSMT" w:cs="TimesNewRomanPSMT"/>
          <w:snapToGrid/>
          <w:kern w:val="0"/>
          <w:sz w:val="20"/>
        </w:rPr>
        <w:t>”</w:t>
      </w:r>
      <w:r>
        <w:rPr>
          <w:rFonts w:ascii="TimesNewRomanPSMT" w:hAnsi="TimesNewRomanPSMT" w:cs="TimesNewRomanPSMT"/>
          <w:snapToGrid/>
          <w:kern w:val="0"/>
          <w:sz w:val="20"/>
        </w:rPr>
        <w:t xml:space="preserve"> of the violations indicate that </w:t>
      </w:r>
      <w:r w:rsidR="006E568E">
        <w:rPr>
          <w:rFonts w:ascii="TimesNewRomanPSMT" w:hAnsi="TimesNewRomanPSMT" w:cs="TimesNewRomanPSMT"/>
          <w:snapToGrid/>
          <w:kern w:val="0"/>
          <w:sz w:val="20"/>
        </w:rPr>
        <w:t>“</w:t>
      </w:r>
      <w:r>
        <w:rPr>
          <w:rFonts w:ascii="TimesNewRomanPSMT" w:hAnsi="TimesNewRomanPSMT" w:cs="TimesNewRomanPSMT"/>
          <w:snapToGrid/>
          <w:kern w:val="0"/>
          <w:sz w:val="20"/>
        </w:rPr>
        <w:t xml:space="preserve">the licensee </w:t>
      </w:r>
      <w:r>
        <w:rPr>
          <w:rFonts w:ascii="TimesNewRomanPSMT" w:hAnsi="TimesNewRomanPSMT" w:cs="TimesNewRomanPSMT"/>
          <w:snapToGrid/>
          <w:kern w:val="0"/>
          <w:sz w:val="20"/>
        </w:rPr>
        <w:t>cannot</w:t>
      </w:r>
    </w:p>
    <w:p w:rsidR="006F77A1" w:rsidP="00E92BFB" w14:paraId="3C7766A9" w14:textId="77777777">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be relied upon to operate [the station] in the future in accordance with the requirements of its licenses and the</w:t>
      </w:r>
    </w:p>
    <w:p w:rsidR="006F77A1" w:rsidP="00E92BFB" w14:paraId="4BAA36E3" w14:textId="6B1C04CE">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 xml:space="preserve">Commission’s Rules.” </w:t>
      </w:r>
      <w:r w:rsidR="00CB33F1">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 xml:space="preserve">Id. </w:t>
      </w:r>
      <w:r>
        <w:rPr>
          <w:rFonts w:ascii="TimesNewRomanPSMT" w:hAnsi="TimesNewRomanPSMT" w:cs="TimesNewRomanPSMT"/>
          <w:snapToGrid/>
          <w:kern w:val="0"/>
          <w:sz w:val="20"/>
        </w:rPr>
        <w:t xml:space="preserve">at 200, para. 11.  </w:t>
      </w:r>
      <w:r>
        <w:rPr>
          <w:rFonts w:ascii="TimesNewRomanPS-ItalicMT" w:hAnsi="TimesNewRomanPS-ItalicMT" w:cs="TimesNewRomanPS-ItalicMT"/>
          <w:i/>
          <w:iCs/>
          <w:snapToGrid/>
          <w:kern w:val="0"/>
          <w:sz w:val="20"/>
        </w:rPr>
        <w:t>See also Center for Study and Application of Black Econ. Dev.</w:t>
      </w:r>
      <w:r>
        <w:rPr>
          <w:rFonts w:ascii="TimesNewRomanPSMT" w:hAnsi="TimesNewRomanPSMT" w:cs="TimesNewRomanPSMT"/>
          <w:snapToGrid/>
          <w:kern w:val="0"/>
          <w:sz w:val="20"/>
        </w:rPr>
        <w:t>, Hearing</w:t>
      </w:r>
    </w:p>
    <w:p w:rsidR="006F77A1" w:rsidP="00E92BFB" w14:paraId="5C0885F8" w14:textId="77777777">
      <w:pPr>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 xml:space="preserve">Designation Order, 6 FCC Rcd 4622 (1991); </w:t>
      </w:r>
      <w:r>
        <w:rPr>
          <w:rFonts w:ascii="TimesNewRomanPS-ItalicMT" w:hAnsi="TimesNewRomanPS-ItalicMT" w:cs="TimesNewRomanPS-ItalicMT"/>
          <w:i/>
          <w:iCs/>
          <w:snapToGrid/>
          <w:kern w:val="0"/>
          <w:sz w:val="20"/>
        </w:rPr>
        <w:t>Calvary Educ. Broad. Network, Inc</w:t>
      </w:r>
      <w:r>
        <w:rPr>
          <w:rFonts w:ascii="TimesNewRomanPSMT" w:hAnsi="TimesNewRomanPSMT" w:cs="TimesNewRomanPSMT"/>
          <w:snapToGrid/>
          <w:kern w:val="0"/>
          <w:sz w:val="20"/>
        </w:rPr>
        <w:t>., Hearing Designation Order, 7</w:t>
      </w:r>
    </w:p>
    <w:p w:rsidR="006F77A1" w:rsidP="00E92BFB" w14:paraId="4E085D53" w14:textId="77777777">
      <w:pPr>
        <w:pStyle w:val="FootnoteText"/>
        <w:widowControl w:val="0"/>
      </w:pPr>
      <w:r>
        <w:rPr>
          <w:rFonts w:ascii="TimesNewRomanPSMT" w:hAnsi="TimesNewRomanPSMT" w:cs="TimesNewRomanPSMT"/>
        </w:rPr>
        <w:t>FCC Rcd 4037 (1992).</w:t>
      </w:r>
    </w:p>
  </w:footnote>
  <w:footnote w:id="19">
    <w:p w:rsidR="00CB33F1" w14:paraId="1E8E34E3" w14:textId="282B46A6">
      <w:pPr>
        <w:pStyle w:val="FootnoteText"/>
      </w:pPr>
      <w:r>
        <w:rPr>
          <w:rStyle w:val="FootnoteReference"/>
        </w:rPr>
        <w:footnoteRef/>
      </w:r>
      <w:r>
        <w:t xml:space="preserve"> </w:t>
      </w:r>
      <w:r w:rsidR="00A31239">
        <w:rPr>
          <w:rFonts w:ascii="TimesNewRomanPSMT" w:hAnsi="TimesNewRomanPSMT" w:cs="TimesNewRomanPSMT"/>
        </w:rPr>
        <w:t>47 U.S.C. § 503(b).</w:t>
      </w:r>
    </w:p>
  </w:footnote>
  <w:footnote w:id="20">
    <w:p w:rsidR="00A31239" w14:paraId="4475EE5E" w14:textId="4F04B92C">
      <w:pPr>
        <w:pStyle w:val="FootnoteText"/>
      </w:pPr>
      <w:r>
        <w:rPr>
          <w:rStyle w:val="FootnoteReference"/>
        </w:rPr>
        <w:footnoteRef/>
      </w:r>
      <w:r>
        <w:t xml:space="preserve"> </w:t>
      </w:r>
      <w:r>
        <w:rPr>
          <w:rFonts w:ascii="TimesNewRomanPSMT" w:hAnsi="TimesNewRomanPSMT" w:cs="TimesNewRomanPSMT"/>
        </w:rPr>
        <w:t>47 CFR § 1.80.</w:t>
      </w:r>
    </w:p>
  </w:footnote>
  <w:footnote w:id="21">
    <w:p w:rsidR="00C468A9" w:rsidP="00E92BFB" w14:paraId="31F11803" w14:textId="77777777">
      <w:pPr>
        <w:pStyle w:val="FootnoteText"/>
        <w:widowControl w:val="0"/>
      </w:pPr>
      <w:r>
        <w:rPr>
          <w:rStyle w:val="FootnoteReference"/>
        </w:rPr>
        <w:footnoteRef/>
      </w:r>
      <w:r>
        <w:t xml:space="preserve"> </w:t>
      </w:r>
      <w:r>
        <w:rPr>
          <w:rFonts w:ascii="TimesNewRomanPSMT" w:hAnsi="TimesNewRomanPSMT" w:cs="TimesNewRomanPSMT"/>
        </w:rPr>
        <w:t>Payments made using the Commission’s Fee Filer system do not require the submission of an FCC Form 159.</w:t>
      </w:r>
    </w:p>
  </w:footnote>
  <w:footnote w:id="22">
    <w:p w:rsidR="00C468A9" w:rsidP="00E92BFB" w14:paraId="09330349" w14:textId="77777777">
      <w:pPr>
        <w:autoSpaceDE w:val="0"/>
        <w:autoSpaceDN w:val="0"/>
        <w:adjustRightInd w:val="0"/>
        <w:rPr>
          <w:rFonts w:ascii="TimesNewRomanPSMT" w:hAnsi="TimesNewRomanPSMT" w:cs="TimesNewRomanPSMT"/>
          <w:snapToGrid/>
          <w:color w:val="000000"/>
          <w:kern w:val="0"/>
          <w:sz w:val="20"/>
        </w:rPr>
      </w:pPr>
      <w:r>
        <w:rPr>
          <w:rStyle w:val="FootnoteReference"/>
        </w:rPr>
        <w:footnoteRef/>
      </w:r>
      <w:r>
        <w:t xml:space="preserve"> </w:t>
      </w:r>
      <w:r>
        <w:rPr>
          <w:rFonts w:ascii="TimesNewRomanPSMT" w:hAnsi="TimesNewRomanPSMT" w:cs="TimesNewRomanPSMT"/>
          <w:snapToGrid/>
          <w:color w:val="000000"/>
          <w:kern w:val="0"/>
          <w:sz w:val="20"/>
        </w:rPr>
        <w:t>For questions regarding payment procedures, please contact the Financial Operations Group Help Desk by phone</w:t>
      </w:r>
    </w:p>
    <w:p w:rsidR="00C468A9" w:rsidP="00E92BFB" w14:paraId="0511B2FB" w14:textId="77777777">
      <w:pPr>
        <w:pStyle w:val="FootnoteText"/>
        <w:widowControl w:val="0"/>
      </w:pPr>
      <w:r>
        <w:rPr>
          <w:rFonts w:ascii="TimesNewRomanPSMT" w:hAnsi="TimesNewRomanPSMT" w:cs="TimesNewRomanPSMT"/>
          <w:color w:val="000000"/>
        </w:rPr>
        <w:t xml:space="preserve">at 1-877-480-3201 (option #6), or by e-mail at </w:t>
      </w:r>
      <w:r>
        <w:rPr>
          <w:rFonts w:ascii="TimesNewRomanPSMT" w:hAnsi="TimesNewRomanPSMT" w:cs="TimesNewRomanPSMT"/>
          <w:color w:val="0000FF"/>
        </w:rPr>
        <w:t>ARINQUIRIES@fcc.gov</w:t>
      </w:r>
      <w:r>
        <w:rPr>
          <w:rFonts w:ascii="TimesNewRomanPSMT" w:hAnsi="TimesNewRomanPSMT" w:cs="TimesNewRomanPSMT"/>
          <w:color w:val="000000"/>
        </w:rPr>
        <w:t>.</w:t>
      </w:r>
    </w:p>
  </w:footnote>
  <w:footnote w:id="23">
    <w:p w:rsidR="004B3B9B" w:rsidP="00E92BFB" w14:paraId="130C0826" w14:textId="77777777">
      <w:pPr>
        <w:pStyle w:val="FootnoteText"/>
        <w:widowControl w:val="0"/>
      </w:pPr>
      <w:r>
        <w:rPr>
          <w:rStyle w:val="FootnoteReference"/>
        </w:rPr>
        <w:footnoteRef/>
      </w:r>
      <w:r>
        <w:t xml:space="preserve"> </w:t>
      </w:r>
      <w:r>
        <w:rPr>
          <w:rFonts w:ascii="TimesNewRomanPSMT" w:hAnsi="TimesNewRomanPSMT" w:cs="TimesNewRomanPSMT"/>
          <w:color w:val="000000"/>
        </w:rPr>
        <w:t xml:space="preserve">Instructions for completing the form may be obtained at </w:t>
      </w:r>
      <w:r>
        <w:rPr>
          <w:rFonts w:ascii="TimesNewRomanPSMT" w:hAnsi="TimesNewRomanPSMT" w:cs="TimesNewRomanPSMT"/>
          <w:color w:val="0000FF"/>
        </w:rPr>
        <w:t>https://www.fcc.gov/Forms/Form159/159.pdf</w:t>
      </w:r>
      <w:r>
        <w:rPr>
          <w:rFonts w:ascii="TimesNewRomanPSMT" w:hAnsi="TimesNewRomanPSMT" w:cs="TimesNewRomanPSMT"/>
          <w:color w:val="000000"/>
        </w:rPr>
        <w:t>.</w:t>
      </w:r>
    </w:p>
  </w:footnote>
  <w:footnote w:id="24">
    <w:p w:rsidR="000814DC" w:rsidP="00E92BFB" w14:paraId="3A84669C" w14:textId="6650BD0E">
      <w:pPr>
        <w:pStyle w:val="FootnoteText"/>
        <w:widowControl w:val="0"/>
      </w:pPr>
      <w:r>
        <w:rPr>
          <w:rStyle w:val="FootnoteReference"/>
        </w:rPr>
        <w:footnoteRef/>
      </w:r>
      <w:r>
        <w:t xml:space="preserve"> </w:t>
      </w:r>
      <w:r w:rsidRPr="00AC32CC">
        <w:rPr>
          <w:i/>
          <w:iCs/>
        </w:rPr>
        <w:t>See</w:t>
      </w:r>
      <w:r w:rsidRPr="000814DC">
        <w:t xml:space="preserve"> 47 CFR § 1.1914.</w:t>
      </w:r>
    </w:p>
  </w:footnote>
  <w:footnote w:id="25">
    <w:p w:rsidR="00AC32CC" w:rsidP="00E92BFB" w14:paraId="6EF6FCD6" w14:textId="6CDBB98C">
      <w:pPr>
        <w:pStyle w:val="FootnoteText"/>
        <w:widowControl w:val="0"/>
      </w:pPr>
      <w:r>
        <w:rPr>
          <w:rStyle w:val="FootnoteReference"/>
        </w:rPr>
        <w:footnoteRef/>
      </w:r>
      <w:r w:rsidRPr="0001314E" w:rsidR="0001314E">
        <w:t xml:space="preserve"> 47 CFR §§ 1.16 and 1.80(f)(3)</w:t>
      </w:r>
      <w:r>
        <w:t>.</w:t>
      </w:r>
    </w:p>
  </w:footnote>
  <w:footnote w:id="26">
    <w:p w:rsidR="0001314E" w:rsidP="0001314E" w14:paraId="17926179" w14:textId="77777777">
      <w:pPr>
        <w:pStyle w:val="FootnoteText"/>
        <w:widowControl w:val="0"/>
      </w:pPr>
      <w:r>
        <w:rPr>
          <w:rStyle w:val="FootnoteReference"/>
        </w:rPr>
        <w:footnoteRef/>
      </w: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3438EF">
        <w:rPr>
          <w:i/>
          <w:iCs/>
        </w:rPr>
        <w:t>See FCC Announces Closure of FCC Headquarters Open Window and Change in Hand-Delivery Filing</w:t>
      </w:r>
      <w:r>
        <w:t>, Public Notice, 35 FCC Rcd 2788 (2020).</w:t>
      </w:r>
    </w:p>
  </w:footnote>
  <w:footnote w:id="27">
    <w:p w:rsidR="0001314E" w14:paraId="7168AF54" w14:textId="1517E6BD">
      <w:pPr>
        <w:pStyle w:val="FootnoteText"/>
      </w:pPr>
      <w:r>
        <w:rPr>
          <w:rStyle w:val="FootnoteReference"/>
        </w:rPr>
        <w:footnoteRef/>
      </w:r>
      <w:r>
        <w:t xml:space="preserve"> </w:t>
      </w:r>
      <w:r w:rsidRPr="00E92BFB">
        <w:rPr>
          <w:i/>
          <w:iCs/>
        </w:rPr>
        <w:t>See, e.g., Adrian Abramovich</w:t>
      </w:r>
      <w:r w:rsidRPr="0001314E">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44D" w14:paraId="6ACB38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C6072A4">
    <w:pPr>
      <w:pStyle w:val="Header"/>
      <w:rPr>
        <w:b w:val="0"/>
      </w:rPr>
    </w:pPr>
    <w:r>
      <w:tab/>
      <w:t>Federal Communications Commission</w:t>
    </w:r>
    <w:r>
      <w:tab/>
    </w:r>
    <w:r w:rsidR="00F13980">
      <w:t>DA</w:t>
    </w:r>
    <w:r w:rsidR="0047344D">
      <w:t xml:space="preserve"> 20-</w:t>
    </w:r>
    <w:r w:rsidR="00EA32CC">
      <w:t>1440</w:t>
    </w:r>
  </w:p>
  <w:p w:rsidR="00D25FB5" w:rsidRPr="0047344D" w:rsidP="0047344D" w14:paraId="40D9AD52" w14:textId="1B1AF88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477CA2C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w:t>
    </w:r>
    <w:bookmarkStart w:id="3" w:name="_GoBack"/>
    <w:bookmarkEnd w:id="3"/>
    <w:r>
      <w:t>nications Commission</w:t>
    </w:r>
    <w:r>
      <w:tab/>
    </w:r>
    <w:r w:rsidR="004C31FD">
      <w:rPr>
        <w:spacing w:val="-2"/>
      </w:rPr>
      <w:t>DA 20-</w:t>
    </w:r>
    <w:r w:rsidR="00EA32CC">
      <w:rPr>
        <w:spacing w:val="-2"/>
      </w:rPr>
      <w:t>1440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EA79DB"/>
    <w:multiLevelType w:val="hybridMultilevel"/>
    <w:tmpl w:val="18828F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van Morris">
    <w15:presenceInfo w15:providerId="None" w15:userId="Evan 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124C4"/>
    <w:rsid w:val="0001314E"/>
    <w:rsid w:val="00036039"/>
    <w:rsid w:val="00037F90"/>
    <w:rsid w:val="00064B0D"/>
    <w:rsid w:val="00075886"/>
    <w:rsid w:val="000814DC"/>
    <w:rsid w:val="000875BF"/>
    <w:rsid w:val="00096D8C"/>
    <w:rsid w:val="000A744F"/>
    <w:rsid w:val="000B46DC"/>
    <w:rsid w:val="000C0B65"/>
    <w:rsid w:val="000E05FE"/>
    <w:rsid w:val="000E3D42"/>
    <w:rsid w:val="00122BD5"/>
    <w:rsid w:val="0012494C"/>
    <w:rsid w:val="00133F79"/>
    <w:rsid w:val="00141821"/>
    <w:rsid w:val="00194A66"/>
    <w:rsid w:val="001D3B51"/>
    <w:rsid w:val="001D61B0"/>
    <w:rsid w:val="001D6BCF"/>
    <w:rsid w:val="001E01CA"/>
    <w:rsid w:val="0020746E"/>
    <w:rsid w:val="00275CF5"/>
    <w:rsid w:val="0028301F"/>
    <w:rsid w:val="00285017"/>
    <w:rsid w:val="002A2D2E"/>
    <w:rsid w:val="002C00E8"/>
    <w:rsid w:val="00327E31"/>
    <w:rsid w:val="00336449"/>
    <w:rsid w:val="00343749"/>
    <w:rsid w:val="003438EF"/>
    <w:rsid w:val="003660ED"/>
    <w:rsid w:val="003B0550"/>
    <w:rsid w:val="003B694F"/>
    <w:rsid w:val="003C17A3"/>
    <w:rsid w:val="003F171C"/>
    <w:rsid w:val="00412FC5"/>
    <w:rsid w:val="00422276"/>
    <w:rsid w:val="004242F1"/>
    <w:rsid w:val="00445A00"/>
    <w:rsid w:val="00451B0F"/>
    <w:rsid w:val="0047344D"/>
    <w:rsid w:val="00490A96"/>
    <w:rsid w:val="004B3B9B"/>
    <w:rsid w:val="004C2EE3"/>
    <w:rsid w:val="004C31FD"/>
    <w:rsid w:val="004E4A22"/>
    <w:rsid w:val="004F47FF"/>
    <w:rsid w:val="005005A5"/>
    <w:rsid w:val="00511968"/>
    <w:rsid w:val="0055614C"/>
    <w:rsid w:val="00566D06"/>
    <w:rsid w:val="005E14C2"/>
    <w:rsid w:val="00607BA5"/>
    <w:rsid w:val="0061180A"/>
    <w:rsid w:val="00626EB6"/>
    <w:rsid w:val="00655D03"/>
    <w:rsid w:val="00675C48"/>
    <w:rsid w:val="00683388"/>
    <w:rsid w:val="00683F84"/>
    <w:rsid w:val="006A6A81"/>
    <w:rsid w:val="006B6625"/>
    <w:rsid w:val="006E568E"/>
    <w:rsid w:val="006F7393"/>
    <w:rsid w:val="006F77A1"/>
    <w:rsid w:val="0070224F"/>
    <w:rsid w:val="00710173"/>
    <w:rsid w:val="007115F7"/>
    <w:rsid w:val="0074216D"/>
    <w:rsid w:val="00755427"/>
    <w:rsid w:val="00756D63"/>
    <w:rsid w:val="00785689"/>
    <w:rsid w:val="0079754B"/>
    <w:rsid w:val="007A1E6D"/>
    <w:rsid w:val="007B0EB2"/>
    <w:rsid w:val="007D41CD"/>
    <w:rsid w:val="007F267C"/>
    <w:rsid w:val="00810B6F"/>
    <w:rsid w:val="00822CE0"/>
    <w:rsid w:val="00841AB1"/>
    <w:rsid w:val="0086037B"/>
    <w:rsid w:val="008C68F1"/>
    <w:rsid w:val="00921803"/>
    <w:rsid w:val="00926503"/>
    <w:rsid w:val="00966111"/>
    <w:rsid w:val="009726D8"/>
    <w:rsid w:val="009D7308"/>
    <w:rsid w:val="009F76DB"/>
    <w:rsid w:val="00A05585"/>
    <w:rsid w:val="00A31239"/>
    <w:rsid w:val="00A32C3B"/>
    <w:rsid w:val="00A45F4F"/>
    <w:rsid w:val="00A600A9"/>
    <w:rsid w:val="00AA55B7"/>
    <w:rsid w:val="00AA5B9E"/>
    <w:rsid w:val="00AB2407"/>
    <w:rsid w:val="00AB53DF"/>
    <w:rsid w:val="00AC32CC"/>
    <w:rsid w:val="00AD6D78"/>
    <w:rsid w:val="00B07E5C"/>
    <w:rsid w:val="00B2060D"/>
    <w:rsid w:val="00B229D5"/>
    <w:rsid w:val="00B811F7"/>
    <w:rsid w:val="00B91813"/>
    <w:rsid w:val="00BA5DC6"/>
    <w:rsid w:val="00BA6196"/>
    <w:rsid w:val="00BC6D8C"/>
    <w:rsid w:val="00BF5DEF"/>
    <w:rsid w:val="00C10E93"/>
    <w:rsid w:val="00C34006"/>
    <w:rsid w:val="00C36B4C"/>
    <w:rsid w:val="00C426B1"/>
    <w:rsid w:val="00C468A9"/>
    <w:rsid w:val="00C66160"/>
    <w:rsid w:val="00C721AC"/>
    <w:rsid w:val="00C90D6A"/>
    <w:rsid w:val="00CA247E"/>
    <w:rsid w:val="00CA6D21"/>
    <w:rsid w:val="00CB33F1"/>
    <w:rsid w:val="00CC0569"/>
    <w:rsid w:val="00CC72B6"/>
    <w:rsid w:val="00CE21AC"/>
    <w:rsid w:val="00D0218D"/>
    <w:rsid w:val="00D25FB5"/>
    <w:rsid w:val="00D35133"/>
    <w:rsid w:val="00D44223"/>
    <w:rsid w:val="00D93439"/>
    <w:rsid w:val="00D94337"/>
    <w:rsid w:val="00DA2529"/>
    <w:rsid w:val="00DB130A"/>
    <w:rsid w:val="00DB2EBB"/>
    <w:rsid w:val="00DC10A1"/>
    <w:rsid w:val="00DC227D"/>
    <w:rsid w:val="00DC655F"/>
    <w:rsid w:val="00DD0B59"/>
    <w:rsid w:val="00DD7EBD"/>
    <w:rsid w:val="00DF62B6"/>
    <w:rsid w:val="00E07225"/>
    <w:rsid w:val="00E5409F"/>
    <w:rsid w:val="00E92BFB"/>
    <w:rsid w:val="00EA32CC"/>
    <w:rsid w:val="00EE6488"/>
    <w:rsid w:val="00F021FA"/>
    <w:rsid w:val="00F13980"/>
    <w:rsid w:val="00F62E97"/>
    <w:rsid w:val="00F64209"/>
    <w:rsid w:val="00F93BF5"/>
    <w:rsid w:val="00FB4DD6"/>
    <w:rsid w:val="00FC1773"/>
    <w:rsid w:val="00FC20E6"/>
    <w:rsid w:val="00FD33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F2DDE6-0AFF-4CF6-8467-98743C1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4D"/>
    <w:pPr>
      <w:widowControl w:val="0"/>
    </w:pPr>
    <w:rPr>
      <w:snapToGrid w:val="0"/>
      <w:kern w:val="28"/>
      <w:sz w:val="22"/>
    </w:rPr>
  </w:style>
  <w:style w:type="paragraph" w:styleId="Heading1">
    <w:name w:val="heading 1"/>
    <w:basedOn w:val="Normal"/>
    <w:next w:val="ParaNum"/>
    <w:qFormat/>
    <w:rsid w:val="004734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344D"/>
    <w:pPr>
      <w:keepNext/>
      <w:numPr>
        <w:ilvl w:val="1"/>
        <w:numId w:val="3"/>
      </w:numPr>
      <w:spacing w:after="120"/>
      <w:outlineLvl w:val="1"/>
    </w:pPr>
    <w:rPr>
      <w:b/>
    </w:rPr>
  </w:style>
  <w:style w:type="paragraph" w:styleId="Heading3">
    <w:name w:val="heading 3"/>
    <w:basedOn w:val="Normal"/>
    <w:next w:val="ParaNum"/>
    <w:qFormat/>
    <w:rsid w:val="0047344D"/>
    <w:pPr>
      <w:keepNext/>
      <w:numPr>
        <w:ilvl w:val="2"/>
        <w:numId w:val="3"/>
      </w:numPr>
      <w:tabs>
        <w:tab w:val="left" w:pos="2160"/>
      </w:tabs>
      <w:spacing w:after="120"/>
      <w:outlineLvl w:val="2"/>
    </w:pPr>
    <w:rPr>
      <w:b/>
    </w:rPr>
  </w:style>
  <w:style w:type="paragraph" w:styleId="Heading4">
    <w:name w:val="heading 4"/>
    <w:basedOn w:val="Normal"/>
    <w:next w:val="ParaNum"/>
    <w:qFormat/>
    <w:rsid w:val="0047344D"/>
    <w:pPr>
      <w:keepNext/>
      <w:numPr>
        <w:ilvl w:val="3"/>
        <w:numId w:val="3"/>
      </w:numPr>
      <w:tabs>
        <w:tab w:val="left" w:pos="2880"/>
      </w:tabs>
      <w:spacing w:after="120"/>
      <w:outlineLvl w:val="3"/>
    </w:pPr>
    <w:rPr>
      <w:b/>
    </w:rPr>
  </w:style>
  <w:style w:type="paragraph" w:styleId="Heading5">
    <w:name w:val="heading 5"/>
    <w:basedOn w:val="Normal"/>
    <w:next w:val="ParaNum"/>
    <w:qFormat/>
    <w:rsid w:val="004734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344D"/>
    <w:pPr>
      <w:numPr>
        <w:ilvl w:val="5"/>
        <w:numId w:val="3"/>
      </w:numPr>
      <w:tabs>
        <w:tab w:val="left" w:pos="4320"/>
      </w:tabs>
      <w:spacing w:after="120"/>
      <w:outlineLvl w:val="5"/>
    </w:pPr>
    <w:rPr>
      <w:b/>
    </w:rPr>
  </w:style>
  <w:style w:type="paragraph" w:styleId="Heading7">
    <w:name w:val="heading 7"/>
    <w:basedOn w:val="Normal"/>
    <w:next w:val="ParaNum"/>
    <w:qFormat/>
    <w:rsid w:val="004734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34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34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44D"/>
  </w:style>
  <w:style w:type="paragraph" w:customStyle="1" w:styleId="ParaNum">
    <w:name w:val="ParaNum"/>
    <w:basedOn w:val="Normal"/>
    <w:rsid w:val="0047344D"/>
    <w:pPr>
      <w:numPr>
        <w:numId w:val="2"/>
      </w:numPr>
      <w:tabs>
        <w:tab w:val="clear" w:pos="1080"/>
        <w:tab w:val="num" w:pos="1440"/>
      </w:tabs>
      <w:spacing w:after="120"/>
    </w:pPr>
  </w:style>
  <w:style w:type="paragraph" w:styleId="EndnoteText">
    <w:name w:val="endnote text"/>
    <w:basedOn w:val="Normal"/>
    <w:semiHidden/>
    <w:rsid w:val="0047344D"/>
    <w:rPr>
      <w:sz w:val="20"/>
    </w:rPr>
  </w:style>
  <w:style w:type="character" w:styleId="EndnoteReference">
    <w:name w:val="endnote reference"/>
    <w:semiHidden/>
    <w:rsid w:val="0047344D"/>
    <w:rPr>
      <w:vertAlign w:val="superscript"/>
    </w:rPr>
  </w:style>
  <w:style w:type="paragraph" w:styleId="FootnoteText">
    <w:name w:val="footnote text"/>
    <w:rsid w:val="0047344D"/>
    <w:pPr>
      <w:spacing w:after="120"/>
    </w:pPr>
  </w:style>
  <w:style w:type="character" w:styleId="FootnoteReference">
    <w:name w:val="footnote reference"/>
    <w:rsid w:val="0047344D"/>
    <w:rPr>
      <w:rFonts w:ascii="Times New Roman" w:hAnsi="Times New Roman"/>
      <w:dstrike w:val="0"/>
      <w:color w:val="auto"/>
      <w:sz w:val="20"/>
      <w:vertAlign w:val="superscript"/>
    </w:rPr>
  </w:style>
  <w:style w:type="paragraph" w:styleId="TOC1">
    <w:name w:val="toc 1"/>
    <w:basedOn w:val="Normal"/>
    <w:next w:val="Normal"/>
    <w:semiHidden/>
    <w:rsid w:val="004734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344D"/>
    <w:pPr>
      <w:tabs>
        <w:tab w:val="left" w:pos="720"/>
        <w:tab w:val="right" w:leader="dot" w:pos="9360"/>
      </w:tabs>
      <w:suppressAutoHyphens/>
      <w:ind w:left="720" w:right="720" w:hanging="360"/>
    </w:pPr>
    <w:rPr>
      <w:noProof/>
    </w:rPr>
  </w:style>
  <w:style w:type="paragraph" w:styleId="TOC3">
    <w:name w:val="toc 3"/>
    <w:basedOn w:val="Normal"/>
    <w:next w:val="Normal"/>
    <w:semiHidden/>
    <w:rsid w:val="004734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4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4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4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4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4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4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344D"/>
    <w:pPr>
      <w:tabs>
        <w:tab w:val="right" w:pos="9360"/>
      </w:tabs>
      <w:suppressAutoHyphens/>
    </w:pPr>
  </w:style>
  <w:style w:type="character" w:customStyle="1" w:styleId="EquationCaption">
    <w:name w:val="_Equation Caption"/>
    <w:rsid w:val="0047344D"/>
  </w:style>
  <w:style w:type="paragraph" w:styleId="Header">
    <w:name w:val="header"/>
    <w:basedOn w:val="Normal"/>
    <w:autoRedefine/>
    <w:rsid w:val="0047344D"/>
    <w:pPr>
      <w:tabs>
        <w:tab w:val="center" w:pos="4680"/>
        <w:tab w:val="right" w:pos="9360"/>
      </w:tabs>
    </w:pPr>
    <w:rPr>
      <w:b/>
    </w:rPr>
  </w:style>
  <w:style w:type="paragraph" w:styleId="Footer">
    <w:name w:val="footer"/>
    <w:basedOn w:val="Normal"/>
    <w:link w:val="FooterChar"/>
    <w:uiPriority w:val="99"/>
    <w:rsid w:val="0047344D"/>
    <w:pPr>
      <w:tabs>
        <w:tab w:val="center" w:pos="4320"/>
        <w:tab w:val="right" w:pos="8640"/>
      </w:tabs>
    </w:pPr>
  </w:style>
  <w:style w:type="character" w:styleId="PageNumber">
    <w:name w:val="page number"/>
    <w:basedOn w:val="DefaultParagraphFont"/>
    <w:rsid w:val="0047344D"/>
  </w:style>
  <w:style w:type="paragraph" w:styleId="BlockText">
    <w:name w:val="Block Text"/>
    <w:basedOn w:val="Normal"/>
    <w:rsid w:val="0047344D"/>
    <w:pPr>
      <w:spacing w:after="240"/>
      <w:ind w:left="1440" w:right="1440"/>
    </w:pPr>
  </w:style>
  <w:style w:type="paragraph" w:customStyle="1" w:styleId="Paratitle">
    <w:name w:val="Para title"/>
    <w:basedOn w:val="Normal"/>
    <w:rsid w:val="0047344D"/>
    <w:pPr>
      <w:tabs>
        <w:tab w:val="center" w:pos="9270"/>
      </w:tabs>
      <w:spacing w:after="240"/>
    </w:pPr>
    <w:rPr>
      <w:spacing w:val="-2"/>
    </w:rPr>
  </w:style>
  <w:style w:type="paragraph" w:customStyle="1" w:styleId="Bullet">
    <w:name w:val="Bullet"/>
    <w:basedOn w:val="Normal"/>
    <w:rsid w:val="0047344D"/>
    <w:pPr>
      <w:tabs>
        <w:tab w:val="left" w:pos="2160"/>
      </w:tabs>
      <w:spacing w:after="220"/>
      <w:ind w:left="2160" w:hanging="720"/>
    </w:pPr>
  </w:style>
  <w:style w:type="paragraph" w:customStyle="1" w:styleId="TableFormat">
    <w:name w:val="TableFormat"/>
    <w:basedOn w:val="Bullet"/>
    <w:rsid w:val="0047344D"/>
    <w:pPr>
      <w:tabs>
        <w:tab w:val="clear" w:pos="2160"/>
        <w:tab w:val="left" w:pos="5040"/>
      </w:tabs>
      <w:ind w:left="5040" w:hanging="3600"/>
    </w:pPr>
  </w:style>
  <w:style w:type="paragraph" w:customStyle="1" w:styleId="TOCTitle">
    <w:name w:val="TOC Title"/>
    <w:basedOn w:val="Normal"/>
    <w:rsid w:val="004734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44D"/>
    <w:pPr>
      <w:jc w:val="center"/>
    </w:pPr>
    <w:rPr>
      <w:rFonts w:ascii="Times New Roman Bold" w:hAnsi="Times New Roman Bold"/>
      <w:b/>
      <w:bCs/>
      <w:caps/>
      <w:szCs w:val="22"/>
    </w:rPr>
  </w:style>
  <w:style w:type="character" w:styleId="Hyperlink">
    <w:name w:val="Hyperlink"/>
    <w:rsid w:val="0047344D"/>
    <w:rPr>
      <w:color w:val="0000FF"/>
      <w:u w:val="single"/>
    </w:rPr>
  </w:style>
  <w:style w:type="character" w:customStyle="1" w:styleId="FooterChar">
    <w:name w:val="Footer Char"/>
    <w:link w:val="Footer"/>
    <w:uiPriority w:val="99"/>
    <w:rsid w:val="0047344D"/>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paragraph" w:styleId="Revision">
    <w:name w:val="Revision"/>
    <w:hidden/>
    <w:uiPriority w:val="99"/>
    <w:semiHidden/>
    <w:rsid w:val="00EA32C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Tyler.Bridega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