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P="00326DB4" w14:paraId="6CCD1E69" w14:textId="250F42B3">
      <w:pPr>
        <w:pStyle w:val="StyleBoldCentered"/>
      </w:pPr>
      <w:r w:rsidRPr="00326DB4">
        <w:rPr>
          <w:caps w:val="0"/>
        </w:rPr>
        <w:t>Before</w:t>
      </w:r>
      <w:r>
        <w:t xml:space="preserve"> </w:t>
      </w:r>
      <w:r w:rsidRPr="00326DB4">
        <w:rPr>
          <w:caps w:val="0"/>
        </w:rPr>
        <w:t>the</w:t>
      </w:r>
    </w:p>
    <w:p w:rsidR="00921803" w:rsidP="00BD2236" w14:paraId="14149C0E" w14:textId="77777777">
      <w:pPr>
        <w:pStyle w:val="StyleBoldCentered"/>
      </w:pPr>
      <w:r>
        <w:t>F</w:t>
      </w:r>
      <w:r>
        <w:rPr>
          <w:caps w:val="0"/>
        </w:rPr>
        <w:t>ederal Communications Commission</w:t>
      </w:r>
    </w:p>
    <w:p w:rsidR="004C2EE3" w:rsidP="00BD2236" w14:paraId="75B38CF0" w14:textId="77777777">
      <w:pPr>
        <w:pStyle w:val="StyleBoldCentered"/>
      </w:pPr>
      <w:r>
        <w:rPr>
          <w:caps w:val="0"/>
        </w:rPr>
        <w:t>Washington, D.C. 20554</w:t>
      </w:r>
    </w:p>
    <w:p w:rsidR="004C2EE3" w:rsidP="00BD2236" w14:paraId="0432DAD0" w14:textId="77777777"/>
    <w:p w:rsidR="004C2EE3" w:rsidP="00BD2236" w14:paraId="2E010859" w14:textId="77777777"/>
    <w:tbl>
      <w:tblPr>
        <w:tblW w:w="0" w:type="auto"/>
        <w:tblLayout w:type="fixed"/>
        <w:tblLook w:val="0000"/>
      </w:tblPr>
      <w:tblGrid>
        <w:gridCol w:w="4698"/>
        <w:gridCol w:w="630"/>
        <w:gridCol w:w="4248"/>
      </w:tblGrid>
      <w:tr w14:paraId="1B9EE9C8" w14:textId="77777777">
        <w:tblPrEx>
          <w:tblW w:w="0" w:type="auto"/>
          <w:tblLayout w:type="fixed"/>
          <w:tblLook w:val="0000"/>
        </w:tblPrEx>
        <w:tc>
          <w:tcPr>
            <w:tcW w:w="4698" w:type="dxa"/>
          </w:tcPr>
          <w:p w:rsidR="002167FF" w:rsidRPr="002167FF" w:rsidP="00BD2236" w14:paraId="49C26C6D" w14:textId="77777777">
            <w:pPr>
              <w:tabs>
                <w:tab w:val="center" w:pos="4680"/>
              </w:tabs>
              <w:suppressAutoHyphens/>
              <w:rPr>
                <w:spacing w:val="-2"/>
              </w:rPr>
            </w:pPr>
            <w:r w:rsidRPr="002167FF">
              <w:rPr>
                <w:spacing w:val="-2"/>
              </w:rPr>
              <w:t>In the Matter of</w:t>
            </w:r>
          </w:p>
          <w:p w:rsidR="002167FF" w:rsidRPr="002167FF" w:rsidP="00BD2236" w14:paraId="42C65F26" w14:textId="77777777">
            <w:pPr>
              <w:tabs>
                <w:tab w:val="center" w:pos="4680"/>
              </w:tabs>
              <w:suppressAutoHyphens/>
              <w:rPr>
                <w:spacing w:val="-2"/>
              </w:rPr>
            </w:pPr>
          </w:p>
          <w:p w:rsidR="004C2EE3" w:rsidP="00BD2236" w14:paraId="3E439CE3" w14:textId="0E9FBEA1">
            <w:pPr>
              <w:tabs>
                <w:tab w:val="center" w:pos="4680"/>
              </w:tabs>
              <w:suppressAutoHyphens/>
              <w:rPr>
                <w:spacing w:val="-2"/>
              </w:rPr>
            </w:pPr>
            <w:bookmarkStart w:id="0" w:name="_Hlk53474891"/>
            <w:r w:rsidRPr="00351027">
              <w:rPr>
                <w:spacing w:val="-2"/>
              </w:rPr>
              <w:t xml:space="preserve">Application of </w:t>
            </w:r>
            <w:r w:rsidRPr="002167FF" w:rsidR="002167FF">
              <w:rPr>
                <w:spacing w:val="-2"/>
              </w:rPr>
              <w:t xml:space="preserve">T-Mobile License LLC </w:t>
            </w:r>
            <w:r w:rsidRPr="00351027">
              <w:rPr>
                <w:spacing w:val="-2"/>
              </w:rPr>
              <w:t xml:space="preserve">and Channel 51 License Company LLC for </w:t>
            </w:r>
            <w:r w:rsidRPr="002167FF" w:rsidR="002167FF">
              <w:rPr>
                <w:spacing w:val="-2"/>
              </w:rPr>
              <w:t xml:space="preserve">Spectrum Manager Lease </w:t>
            </w:r>
            <w:r w:rsidR="006B45FF">
              <w:rPr>
                <w:spacing w:val="-2"/>
              </w:rPr>
              <w:t>Arrangement</w:t>
            </w:r>
            <w:bookmarkEnd w:id="0"/>
          </w:p>
          <w:p w:rsidR="00351027" w:rsidP="00BD2236" w14:paraId="1F99F7ED" w14:textId="77777777">
            <w:pPr>
              <w:tabs>
                <w:tab w:val="center" w:pos="4680"/>
              </w:tabs>
              <w:suppressAutoHyphens/>
              <w:rPr>
                <w:spacing w:val="-2"/>
              </w:rPr>
            </w:pPr>
          </w:p>
          <w:p w:rsidR="00351027" w:rsidRPr="007115F7" w:rsidP="00BD2236" w14:paraId="162C095A" w14:textId="0326CFD5">
            <w:pPr>
              <w:tabs>
                <w:tab w:val="center" w:pos="4680"/>
              </w:tabs>
              <w:suppressAutoHyphens/>
              <w:rPr>
                <w:spacing w:val="-2"/>
              </w:rPr>
            </w:pPr>
            <w:r w:rsidRPr="00351027">
              <w:rPr>
                <w:spacing w:val="-2"/>
              </w:rPr>
              <w:t xml:space="preserve">Application of </w:t>
            </w:r>
            <w:r w:rsidRPr="002167FF">
              <w:rPr>
                <w:spacing w:val="-2"/>
              </w:rPr>
              <w:t xml:space="preserve">T-Mobile License LLC </w:t>
            </w:r>
            <w:r w:rsidRPr="00351027">
              <w:rPr>
                <w:spacing w:val="-2"/>
              </w:rPr>
              <w:t xml:space="preserve">and </w:t>
            </w:r>
            <w:r>
              <w:rPr>
                <w:spacing w:val="-2"/>
              </w:rPr>
              <w:t>LB License Co,</w:t>
            </w:r>
            <w:r w:rsidRPr="00351027">
              <w:rPr>
                <w:spacing w:val="-2"/>
              </w:rPr>
              <w:t xml:space="preserve"> LLC for </w:t>
            </w:r>
            <w:r w:rsidRPr="002167FF">
              <w:rPr>
                <w:spacing w:val="-2"/>
              </w:rPr>
              <w:t>Spectrum Manager Lease</w:t>
            </w:r>
            <w:r w:rsidR="006B45FF">
              <w:rPr>
                <w:spacing w:val="-2"/>
              </w:rPr>
              <w:t xml:space="preserve"> Arrangement</w:t>
            </w:r>
          </w:p>
        </w:tc>
        <w:tc>
          <w:tcPr>
            <w:tcW w:w="630" w:type="dxa"/>
          </w:tcPr>
          <w:p w:rsidR="004C2EE3" w:rsidP="00BD2236" w14:paraId="326F86EE" w14:textId="77777777">
            <w:pPr>
              <w:tabs>
                <w:tab w:val="center" w:pos="4680"/>
              </w:tabs>
              <w:suppressAutoHyphens/>
              <w:rPr>
                <w:b/>
                <w:spacing w:val="-2"/>
              </w:rPr>
            </w:pPr>
            <w:r>
              <w:rPr>
                <w:b/>
                <w:spacing w:val="-2"/>
              </w:rPr>
              <w:t>)</w:t>
            </w:r>
          </w:p>
          <w:p w:rsidR="004C2EE3" w:rsidP="00BD2236" w14:paraId="7B982C01" w14:textId="77777777">
            <w:pPr>
              <w:tabs>
                <w:tab w:val="center" w:pos="4680"/>
              </w:tabs>
              <w:suppressAutoHyphens/>
              <w:rPr>
                <w:b/>
                <w:spacing w:val="-2"/>
              </w:rPr>
            </w:pPr>
            <w:r>
              <w:rPr>
                <w:b/>
                <w:spacing w:val="-2"/>
              </w:rPr>
              <w:t>)</w:t>
            </w:r>
          </w:p>
          <w:p w:rsidR="004C2EE3" w:rsidP="00BD2236" w14:paraId="17DD1083" w14:textId="77777777">
            <w:pPr>
              <w:tabs>
                <w:tab w:val="center" w:pos="4680"/>
              </w:tabs>
              <w:suppressAutoHyphens/>
              <w:rPr>
                <w:b/>
                <w:spacing w:val="-2"/>
              </w:rPr>
            </w:pPr>
            <w:r>
              <w:rPr>
                <w:b/>
                <w:spacing w:val="-2"/>
              </w:rPr>
              <w:t>)</w:t>
            </w:r>
          </w:p>
          <w:p w:rsidR="004C2EE3" w:rsidP="00BD2236" w14:paraId="25D1F088" w14:textId="77777777">
            <w:pPr>
              <w:tabs>
                <w:tab w:val="center" w:pos="4680"/>
              </w:tabs>
              <w:suppressAutoHyphens/>
              <w:rPr>
                <w:b/>
                <w:spacing w:val="-2"/>
              </w:rPr>
            </w:pPr>
            <w:r>
              <w:rPr>
                <w:b/>
                <w:spacing w:val="-2"/>
              </w:rPr>
              <w:t>)</w:t>
            </w:r>
          </w:p>
          <w:p w:rsidR="00351027" w:rsidRPr="00351027" w:rsidP="00351027" w14:paraId="00E62545" w14:textId="77777777">
            <w:pPr>
              <w:tabs>
                <w:tab w:val="center" w:pos="4680"/>
              </w:tabs>
              <w:suppressAutoHyphens/>
              <w:rPr>
                <w:b/>
                <w:spacing w:val="-2"/>
              </w:rPr>
            </w:pPr>
            <w:r w:rsidRPr="00351027">
              <w:rPr>
                <w:b/>
                <w:spacing w:val="-2"/>
              </w:rPr>
              <w:t>)</w:t>
            </w:r>
          </w:p>
          <w:p w:rsidR="00351027" w:rsidRPr="00351027" w:rsidP="00351027" w14:paraId="1DE08874" w14:textId="77777777">
            <w:pPr>
              <w:tabs>
                <w:tab w:val="center" w:pos="4680"/>
              </w:tabs>
              <w:suppressAutoHyphens/>
              <w:rPr>
                <w:b/>
                <w:spacing w:val="-2"/>
              </w:rPr>
            </w:pPr>
            <w:r w:rsidRPr="00351027">
              <w:rPr>
                <w:b/>
                <w:spacing w:val="-2"/>
              </w:rPr>
              <w:t>)</w:t>
            </w:r>
          </w:p>
          <w:p w:rsidR="00351027" w:rsidP="00351027" w14:paraId="36DFD63B" w14:textId="4E3E3A5F">
            <w:pPr>
              <w:tabs>
                <w:tab w:val="center" w:pos="4680"/>
              </w:tabs>
              <w:suppressAutoHyphens/>
              <w:rPr>
                <w:b/>
                <w:spacing w:val="-2"/>
              </w:rPr>
            </w:pPr>
            <w:r w:rsidRPr="00351027">
              <w:rPr>
                <w:b/>
                <w:spacing w:val="-2"/>
              </w:rPr>
              <w:t>)</w:t>
            </w:r>
          </w:p>
          <w:p w:rsidR="006B45FF" w:rsidRPr="00351027" w:rsidP="006B45FF" w14:paraId="1E759B49" w14:textId="77777777">
            <w:pPr>
              <w:tabs>
                <w:tab w:val="center" w:pos="4680"/>
              </w:tabs>
              <w:suppressAutoHyphens/>
              <w:rPr>
                <w:b/>
                <w:spacing w:val="-2"/>
              </w:rPr>
            </w:pPr>
            <w:r w:rsidRPr="00351027">
              <w:rPr>
                <w:b/>
                <w:spacing w:val="-2"/>
              </w:rPr>
              <w:t>)</w:t>
            </w:r>
          </w:p>
          <w:p w:rsidR="00C1605D" w:rsidRPr="00351027" w:rsidP="00C1605D" w14:paraId="639D0D17" w14:textId="77777777">
            <w:pPr>
              <w:tabs>
                <w:tab w:val="center" w:pos="4680"/>
              </w:tabs>
              <w:suppressAutoHyphens/>
              <w:rPr>
                <w:b/>
                <w:spacing w:val="-2"/>
              </w:rPr>
            </w:pPr>
            <w:r w:rsidRPr="00351027">
              <w:rPr>
                <w:b/>
                <w:spacing w:val="-2"/>
              </w:rPr>
              <w:t>)</w:t>
            </w:r>
          </w:p>
          <w:p w:rsidR="006B45FF" w:rsidRPr="00351027" w:rsidP="00351027" w14:paraId="44522581" w14:textId="77777777">
            <w:pPr>
              <w:tabs>
                <w:tab w:val="center" w:pos="4680"/>
              </w:tabs>
              <w:suppressAutoHyphens/>
              <w:rPr>
                <w:b/>
                <w:spacing w:val="-2"/>
              </w:rPr>
            </w:pPr>
          </w:p>
          <w:p w:rsidR="00351027" w:rsidP="00BD2236" w14:paraId="6019D8FE" w14:textId="7625DE66">
            <w:pPr>
              <w:tabs>
                <w:tab w:val="center" w:pos="4680"/>
              </w:tabs>
              <w:suppressAutoHyphens/>
              <w:rPr>
                <w:spacing w:val="-2"/>
              </w:rPr>
            </w:pPr>
          </w:p>
        </w:tc>
        <w:tc>
          <w:tcPr>
            <w:tcW w:w="4248" w:type="dxa"/>
          </w:tcPr>
          <w:p w:rsidR="004C2EE3" w:rsidP="00BD2236" w14:paraId="5AA67824" w14:textId="77777777">
            <w:pPr>
              <w:tabs>
                <w:tab w:val="center" w:pos="4680"/>
              </w:tabs>
              <w:suppressAutoHyphens/>
              <w:rPr>
                <w:spacing w:val="-2"/>
              </w:rPr>
            </w:pPr>
          </w:p>
          <w:p w:rsidR="004C2EE3" w:rsidP="00BD2236" w14:paraId="3F5BDE30" w14:textId="77777777">
            <w:pPr>
              <w:pStyle w:val="TOAHeading"/>
              <w:tabs>
                <w:tab w:val="center" w:pos="4680"/>
                <w:tab w:val="clear" w:pos="9360"/>
              </w:tabs>
              <w:rPr>
                <w:spacing w:val="-2"/>
              </w:rPr>
            </w:pPr>
          </w:p>
          <w:p w:rsidR="004C2EE3" w:rsidP="00BD2236" w14:paraId="4427B96B" w14:textId="06D5E1E5">
            <w:pPr>
              <w:tabs>
                <w:tab w:val="center" w:pos="4680"/>
              </w:tabs>
              <w:suppressAutoHyphens/>
              <w:rPr>
                <w:spacing w:val="-2"/>
              </w:rPr>
            </w:pPr>
            <w:r>
              <w:rPr>
                <w:spacing w:val="-2"/>
              </w:rPr>
              <w:t xml:space="preserve">ULS </w:t>
            </w:r>
            <w:r w:rsidRPr="00CC3AD7" w:rsidR="00CC3AD7">
              <w:rPr>
                <w:spacing w:val="-2"/>
              </w:rPr>
              <w:t xml:space="preserve">File No. 0009021213 </w:t>
            </w:r>
          </w:p>
          <w:p w:rsidR="006B45FF" w:rsidP="00BD2236" w14:paraId="1A9022F5" w14:textId="77777777">
            <w:pPr>
              <w:tabs>
                <w:tab w:val="center" w:pos="4680"/>
              </w:tabs>
              <w:suppressAutoHyphens/>
              <w:rPr>
                <w:spacing w:val="-2"/>
              </w:rPr>
            </w:pPr>
          </w:p>
          <w:p w:rsidR="006B45FF" w:rsidP="00BD2236" w14:paraId="7677B8CE" w14:textId="77777777">
            <w:pPr>
              <w:tabs>
                <w:tab w:val="center" w:pos="4680"/>
              </w:tabs>
              <w:suppressAutoHyphens/>
              <w:rPr>
                <w:spacing w:val="-2"/>
              </w:rPr>
            </w:pPr>
          </w:p>
          <w:p w:rsidR="006B45FF" w:rsidP="00BD2236" w14:paraId="2C8DE558" w14:textId="77777777">
            <w:pPr>
              <w:tabs>
                <w:tab w:val="center" w:pos="4680"/>
              </w:tabs>
              <w:suppressAutoHyphens/>
              <w:rPr>
                <w:spacing w:val="-2"/>
              </w:rPr>
            </w:pPr>
          </w:p>
          <w:p w:rsidR="006B45FF" w:rsidP="00BD2236" w14:paraId="42679A80" w14:textId="6728EC98">
            <w:pPr>
              <w:tabs>
                <w:tab w:val="center" w:pos="4680"/>
              </w:tabs>
              <w:suppressAutoHyphens/>
              <w:rPr>
                <w:spacing w:val="-2"/>
              </w:rPr>
            </w:pPr>
            <w:r>
              <w:rPr>
                <w:spacing w:val="-2"/>
              </w:rPr>
              <w:t xml:space="preserve">ULS </w:t>
            </w:r>
            <w:r>
              <w:rPr>
                <w:spacing w:val="-2"/>
              </w:rPr>
              <w:t>File No.</w:t>
            </w:r>
            <w:r w:rsidRPr="00CC3AD7">
              <w:rPr>
                <w:spacing w:val="-2"/>
              </w:rPr>
              <w:t xml:space="preserve"> 0009021220</w:t>
            </w:r>
          </w:p>
        </w:tc>
      </w:tr>
    </w:tbl>
    <w:p w:rsidR="004C2EE3" w:rsidP="00BD2236" w14:paraId="3A7B69DC" w14:textId="77777777"/>
    <w:p w:rsidR="00841AB1" w:rsidP="00BD2236" w14:paraId="2B98EC59" w14:textId="5CAFF902">
      <w:pPr>
        <w:pStyle w:val="StyleBoldCentered"/>
      </w:pPr>
      <w:r w:rsidRPr="009F4C18">
        <w:t>ORDER ON RECONSIDERATION</w:t>
      </w:r>
    </w:p>
    <w:p w:rsidR="004C2EE3" w:rsidP="00BD2236" w14:paraId="24AFDA7D" w14:textId="77777777">
      <w:pPr>
        <w:tabs>
          <w:tab w:val="left" w:pos="-720"/>
        </w:tabs>
        <w:suppressAutoHyphens/>
        <w:rPr>
          <w:spacing w:val="-2"/>
        </w:rPr>
      </w:pPr>
    </w:p>
    <w:p w:rsidR="004C2EE3" w:rsidP="00BD2236" w14:paraId="095DC42E" w14:textId="18BDAF7C">
      <w:pPr>
        <w:tabs>
          <w:tab w:val="left" w:pos="720"/>
          <w:tab w:val="right" w:pos="9360"/>
        </w:tabs>
        <w:suppressAutoHyphens/>
        <w:rPr>
          <w:spacing w:val="-2"/>
        </w:rPr>
      </w:pPr>
      <w:r>
        <w:rPr>
          <w:b/>
          <w:spacing w:val="-2"/>
        </w:rPr>
        <w:t xml:space="preserve">Adopted:  </w:t>
      </w:r>
      <w:r w:rsidR="001B7C4A">
        <w:rPr>
          <w:b/>
          <w:spacing w:val="-2"/>
        </w:rPr>
        <w:t>December 3,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B7C4A">
        <w:rPr>
          <w:b/>
          <w:spacing w:val="-2"/>
        </w:rPr>
        <w:t>December 3, 2020</w:t>
      </w:r>
    </w:p>
    <w:p w:rsidR="00822CE0" w:rsidP="00BD2236" w14:paraId="6D3BD939" w14:textId="77777777"/>
    <w:p w:rsidR="004C2EE3" w:rsidP="00BD2236" w14:paraId="2C09489C" w14:textId="7EE3AE54">
      <w:pPr>
        <w:rPr>
          <w:spacing w:val="-2"/>
        </w:rPr>
      </w:pPr>
      <w:r>
        <w:t xml:space="preserve">By </w:t>
      </w:r>
      <w:r w:rsidR="004E4A22">
        <w:t>the</w:t>
      </w:r>
      <w:r w:rsidR="002A2D2E">
        <w:t xml:space="preserve"> </w:t>
      </w:r>
      <w:r w:rsidRPr="00C46206" w:rsidR="00C46206">
        <w:rPr>
          <w:spacing w:val="-2"/>
        </w:rPr>
        <w:t>Chief, Wireless Telecommunications Bureau</w:t>
      </w:r>
      <w:r>
        <w:rPr>
          <w:spacing w:val="-2"/>
        </w:rPr>
        <w:t>:</w:t>
      </w:r>
    </w:p>
    <w:p w:rsidR="00822CE0" w:rsidP="00BD2236" w14:paraId="7B334789" w14:textId="77777777">
      <w:pPr>
        <w:rPr>
          <w:spacing w:val="-2"/>
        </w:rPr>
      </w:pPr>
    </w:p>
    <w:p w:rsidR="0068000F" w:rsidRPr="008D772B" w:rsidP="00C4649E" w14:paraId="02B311D3" w14:textId="02C4602C">
      <w:pPr>
        <w:pStyle w:val="Heading1"/>
        <w:keepNext w:val="0"/>
        <w:numPr>
          <w:ilvl w:val="0"/>
          <w:numId w:val="14"/>
        </w:numPr>
        <w:tabs>
          <w:tab w:val="left" w:pos="863"/>
          <w:tab w:val="left" w:pos="864"/>
        </w:tabs>
        <w:suppressAutoHyphens w:val="0"/>
      </w:pPr>
      <w:r w:rsidRPr="00B55F29">
        <w:rPr>
          <w:rFonts w:ascii="Times New Roman" w:hAnsi="Times New Roman"/>
          <w:bCs/>
          <w:caps w:val="0"/>
          <w:color w:val="020100"/>
        </w:rPr>
        <w:t>INTRODUCTION</w:t>
      </w:r>
    </w:p>
    <w:p w:rsidR="008726CE" w:rsidRPr="008726CE" w:rsidP="00B55F29" w14:paraId="42AA3640" w14:textId="5A4E1319">
      <w:pPr>
        <w:pStyle w:val="ParaNum"/>
        <w:widowControl/>
        <w:tabs>
          <w:tab w:val="clear" w:pos="1080"/>
        </w:tabs>
      </w:pPr>
      <w:r>
        <w:t xml:space="preserve">In this Order on Reconsideration, we </w:t>
      </w:r>
      <w:r w:rsidR="0076727D">
        <w:t xml:space="preserve">deny </w:t>
      </w:r>
      <w:bookmarkStart w:id="1" w:name="_Hlk54337415"/>
      <w:r w:rsidRPr="003A4A13" w:rsidR="003A4A13">
        <w:t>Verizon’s</w:t>
      </w:r>
      <w:r w:rsidR="00040D49">
        <w:t xml:space="preserve"> </w:t>
      </w:r>
      <w:r>
        <w:t>petition</w:t>
      </w:r>
      <w:r w:rsidR="00040D49">
        <w:t xml:space="preserve"> </w:t>
      </w:r>
      <w:r w:rsidRPr="003A4A13" w:rsidR="003A4A13">
        <w:t>for reconsideration</w:t>
      </w:r>
      <w:bookmarkEnd w:id="1"/>
      <w:r>
        <w:rPr>
          <w:rStyle w:val="FootnoteReference"/>
        </w:rPr>
        <w:footnoteReference w:id="3"/>
      </w:r>
      <w:r>
        <w:t xml:space="preserve"> of the </w:t>
      </w:r>
      <w:r w:rsidRPr="00D44954" w:rsidR="00D44954">
        <w:t>Wireless Telecommunications Bureau’s (Bureau) acceptance of T-Mobile License LLC’s Spectrum Manager Lease Arrangements with Channel 51 License Company LLC and LB License Co, LLC</w:t>
      </w:r>
      <w:r>
        <w:t>.</w:t>
      </w:r>
      <w:r>
        <w:rPr>
          <w:rStyle w:val="FootnoteReference"/>
        </w:rPr>
        <w:footnoteReference w:id="4"/>
      </w:r>
      <w:r w:rsidR="00E95F95">
        <w:t xml:space="preserve"> </w:t>
      </w:r>
      <w:r w:rsidR="00DA64A0">
        <w:t xml:space="preserve"> </w:t>
      </w:r>
      <w:r w:rsidRPr="00C44672" w:rsidR="00C44672">
        <w:t xml:space="preserve">We also dismiss </w:t>
      </w:r>
      <w:r w:rsidRPr="00BF7D0B" w:rsidR="00BF7D0B">
        <w:t>requests</w:t>
      </w:r>
      <w:r w:rsidRPr="00C44672" w:rsidR="00C44672">
        <w:t xml:space="preserve"> </w:t>
      </w:r>
      <w:r w:rsidR="00272DD7">
        <w:t>by AT&amp;T and T-Mobile</w:t>
      </w:r>
      <w:r w:rsidRPr="00C44672" w:rsidR="00C44672">
        <w:t xml:space="preserve"> to revise the Commission’s spectrum screen </w:t>
      </w:r>
      <w:r w:rsidRPr="00A11000" w:rsidR="00A11000">
        <w:t>here.</w:t>
      </w:r>
      <w:r>
        <w:rPr>
          <w:vertAlign w:val="superscript"/>
        </w:rPr>
        <w:footnoteReference w:id="5"/>
      </w:r>
      <w:r w:rsidRPr="00A11000" w:rsidR="00A11000">
        <w:t xml:space="preserve">  While wholesale changes to our mobile spectrum holdings policies </w:t>
      </w:r>
      <w:r w:rsidR="00015BA0">
        <w:t>are</w:t>
      </w:r>
      <w:r w:rsidR="00C052F1">
        <w:t xml:space="preserve"> </w:t>
      </w:r>
      <w:r w:rsidRPr="00A11000" w:rsidR="00A11000">
        <w:t xml:space="preserve">outside the scope of the instant proceeding, we nonetheless take this opportunity to acknowledge the substantial amount of spectrum that the Commission has made available for </w:t>
      </w:r>
      <w:r w:rsidR="00D45C8C">
        <w:t>mobile wireless</w:t>
      </w:r>
      <w:r w:rsidRPr="00A11000" w:rsidR="00A11000">
        <w:t xml:space="preserve"> services </w:t>
      </w:r>
      <w:r w:rsidRPr="00A11000" w:rsidR="005670FF">
        <w:t xml:space="preserve">since </w:t>
      </w:r>
      <w:r w:rsidR="005670FF">
        <w:t>the Commission</w:t>
      </w:r>
      <w:r w:rsidRPr="00A11000" w:rsidR="005670FF">
        <w:t xml:space="preserve"> adopted these policies in 2014</w:t>
      </w:r>
      <w:r w:rsidR="000F14C2">
        <w:t>.</w:t>
      </w:r>
      <w:r>
        <w:rPr>
          <w:rStyle w:val="FootnoteReference"/>
        </w:rPr>
        <w:footnoteReference w:id="6"/>
      </w:r>
      <w:r w:rsidR="000F14C2">
        <w:t xml:space="preserve">  W</w:t>
      </w:r>
      <w:r w:rsidR="005670FF">
        <w:t xml:space="preserve">e also </w:t>
      </w:r>
      <w:r w:rsidR="00C052F1">
        <w:t xml:space="preserve">emphasize </w:t>
      </w:r>
      <w:r w:rsidR="00716751">
        <w:t xml:space="preserve">that the </w:t>
      </w:r>
      <w:r w:rsidR="00B600FA">
        <w:t xml:space="preserve">Commission’s screen is </w:t>
      </w:r>
      <w:r w:rsidR="00717BCF">
        <w:t xml:space="preserve">not a hard cap on a company’s </w:t>
      </w:r>
      <w:r w:rsidR="00717BCF">
        <w:t xml:space="preserve">holding but </w:t>
      </w:r>
      <w:r w:rsidR="003C5BF0">
        <w:t>simply</w:t>
      </w:r>
      <w:r w:rsidR="00B600FA">
        <w:t xml:space="preserve"> </w:t>
      </w:r>
      <w:r w:rsidR="0058387A">
        <w:t xml:space="preserve">a trigger for further </w:t>
      </w:r>
      <w:r w:rsidR="00ED0144">
        <w:t xml:space="preserve">competitive </w:t>
      </w:r>
      <w:r w:rsidR="0058387A">
        <w:t>analysis</w:t>
      </w:r>
      <w:r w:rsidR="00717BCF">
        <w:t xml:space="preserve"> regarding the impact of a transaction on the competitive market for wireless services</w:t>
      </w:r>
      <w:r w:rsidRPr="00A11000" w:rsidR="00A11000">
        <w:t xml:space="preserve">. </w:t>
      </w:r>
      <w:r w:rsidRPr="00C44672" w:rsidR="00C44672">
        <w:t xml:space="preserve">  </w:t>
      </w:r>
    </w:p>
    <w:p w:rsidR="0068000F" w:rsidP="008F0B2A" w14:paraId="4305F2AF" w14:textId="7A244F5E">
      <w:pPr>
        <w:pStyle w:val="Heading1"/>
        <w:numPr>
          <w:ilvl w:val="0"/>
          <w:numId w:val="14"/>
        </w:numPr>
        <w:tabs>
          <w:tab w:val="left" w:pos="863"/>
          <w:tab w:val="left" w:pos="864"/>
        </w:tabs>
        <w:suppressAutoHyphens w:val="0"/>
      </w:pPr>
      <w:r w:rsidRPr="006119E4">
        <w:t>BACKGROUND</w:t>
      </w:r>
    </w:p>
    <w:p w:rsidR="0048249D" w:rsidRPr="00F57D87" w:rsidP="000F51C1" w14:paraId="480B2459" w14:textId="578A6AA5">
      <w:pPr>
        <w:pStyle w:val="ParaNum"/>
        <w:widowControl/>
        <w:tabs>
          <w:tab w:val="clear" w:pos="1080"/>
          <w:tab w:val="num" w:pos="1440"/>
        </w:tabs>
      </w:pPr>
      <w:r w:rsidRPr="0093106E">
        <w:rPr>
          <w:iCs/>
        </w:rPr>
        <w:t>On</w:t>
      </w:r>
      <w:r w:rsidRPr="00B066CA">
        <w:rPr>
          <w:bCs/>
        </w:rPr>
        <w:t xml:space="preserve"> </w:t>
      </w:r>
      <w:r w:rsidRPr="0094357D">
        <w:t>March</w:t>
      </w:r>
      <w:r w:rsidRPr="00B066CA">
        <w:rPr>
          <w:bCs/>
        </w:rPr>
        <w:t xml:space="preserve"> 24, 2020, </w:t>
      </w:r>
      <w:r w:rsidRPr="000C23B7" w:rsidR="000C23B7">
        <w:t>LB License Co, LLC (LB License) and Channel 51 License Company LLC</w:t>
      </w:r>
      <w:r w:rsidRPr="000C23B7" w:rsidR="000C23B7">
        <w:t xml:space="preserve"> </w:t>
      </w:r>
      <w:r w:rsidRPr="000C23B7" w:rsidR="000C23B7">
        <w:t xml:space="preserve">(Channel 51) each filed an application notifying the Commission that </w:t>
      </w:r>
      <w:r w:rsidR="001B7480">
        <w:t xml:space="preserve">it had </w:t>
      </w:r>
      <w:r w:rsidRPr="000C23B7" w:rsidR="000C23B7">
        <w:t>entered into a long-term spectrum manager lease agreement with T-Mobile License LLC (T-Mobile</w:t>
      </w:r>
      <w:r w:rsidR="000D6F12">
        <w:t>)</w:t>
      </w:r>
      <w:r w:rsidRPr="000C23B7" w:rsidR="000C23B7">
        <w:t xml:space="preserve"> </w:t>
      </w:r>
      <w:r w:rsidR="000D6F12">
        <w:t>(</w:t>
      </w:r>
      <w:r w:rsidRPr="000C23B7" w:rsidR="000C23B7">
        <w:t>together with LB License and Channel 51, collectively, the Applicants)</w:t>
      </w:r>
      <w:r w:rsidRPr="00F2354D" w:rsidR="00F2354D">
        <w:t>,</w:t>
      </w:r>
      <w:r>
        <w:rPr>
          <w:rStyle w:val="FootnoteReference"/>
        </w:rPr>
        <w:footnoteReference w:id="7"/>
      </w:r>
      <w:r w:rsidRPr="000C23B7" w:rsidR="000C23B7">
        <w:t xml:space="preserve"> </w:t>
      </w:r>
      <w:r w:rsidRPr="0040315A" w:rsidR="0040315A">
        <w:t xml:space="preserve">pursuant to </w:t>
      </w:r>
      <w:r w:rsidR="004539F3">
        <w:t>s</w:t>
      </w:r>
      <w:r w:rsidRPr="0040315A" w:rsidR="0040315A">
        <w:t>ection 1.9020 of the Commission’s rules.</w:t>
      </w:r>
      <w:r>
        <w:rPr>
          <w:vertAlign w:val="superscript"/>
        </w:rPr>
        <w:footnoteReference w:id="8"/>
      </w:r>
      <w:r w:rsidRPr="0040315A" w:rsidR="0040315A">
        <w:t xml:space="preserve">  </w:t>
      </w:r>
      <w:r w:rsidR="002A2D22">
        <w:t>The spectrum manager leases expire on February 28, 2023.</w:t>
      </w:r>
      <w:r w:rsidR="00E407D8">
        <w:t xml:space="preserve">  </w:t>
      </w:r>
      <w:r w:rsidR="005D1617">
        <w:t xml:space="preserve">The Applicants indicated that </w:t>
      </w:r>
      <w:r w:rsidR="00514E29">
        <w:t>T</w:t>
      </w:r>
      <w:r w:rsidR="00F8685B">
        <w:noBreakHyphen/>
      </w:r>
      <w:r w:rsidR="00514E29">
        <w:t>Mobile</w:t>
      </w:r>
      <w:r w:rsidR="00514E29">
        <w:t xml:space="preserve"> </w:t>
      </w:r>
      <w:r w:rsidR="005D1617">
        <w:t>w</w:t>
      </w:r>
      <w:r w:rsidR="00C53217">
        <w:t>ill</w:t>
      </w:r>
      <w:r w:rsidR="005D1617">
        <w:t xml:space="preserve"> </w:t>
      </w:r>
      <w:r w:rsidR="00514E29">
        <w:t xml:space="preserve">operate a wireless communications system using LB License’s </w:t>
      </w:r>
      <w:r w:rsidR="00017DDD">
        <w:t xml:space="preserve">600 MHz licenses </w:t>
      </w:r>
      <w:r w:rsidR="00514E29">
        <w:t>and Channel 51’s 600 MHz licenses specified in the applications</w:t>
      </w:r>
      <w:r w:rsidRPr="00D55A24" w:rsidR="00514E29">
        <w:t>.</w:t>
      </w:r>
      <w:r>
        <w:rPr>
          <w:rStyle w:val="FootnoteReference"/>
        </w:rPr>
        <w:footnoteReference w:id="9"/>
      </w:r>
      <w:r w:rsidRPr="00D55A24" w:rsidR="00514E29">
        <w:t xml:space="preserve">  The Applicants amended the applications on March 25, 2020</w:t>
      </w:r>
      <w:r w:rsidR="00514E29">
        <w:t>,</w:t>
      </w:r>
      <w:r w:rsidRPr="00D55A24" w:rsidR="00514E29">
        <w:t xml:space="preserve"> and June 23, 2020.</w:t>
      </w:r>
      <w:r w:rsidR="00E407D8">
        <w:t xml:space="preserve">  </w:t>
      </w:r>
      <w:r w:rsidR="00C51F4E">
        <w:t>The Bureau undertook a thorough review of the spectrum leasing applications</w:t>
      </w:r>
      <w:r w:rsidR="0044599A">
        <w:t xml:space="preserve"> pursuant to</w:t>
      </w:r>
      <w:r w:rsidR="009F0CAD">
        <w:t xml:space="preserve"> </w:t>
      </w:r>
      <w:r w:rsidRPr="00E57D37" w:rsidR="00E57D37">
        <w:t xml:space="preserve">the Commission’s </w:t>
      </w:r>
      <w:r w:rsidR="009F0CAD">
        <w:t>rules</w:t>
      </w:r>
      <w:r>
        <w:rPr>
          <w:vertAlign w:val="superscript"/>
        </w:rPr>
        <w:footnoteReference w:id="10"/>
      </w:r>
      <w:r w:rsidR="009F0CAD">
        <w:t xml:space="preserve"> </w:t>
      </w:r>
      <w:r w:rsidR="00262A2A">
        <w:t>and performed</w:t>
      </w:r>
      <w:r w:rsidR="009C2622">
        <w:t xml:space="preserve"> </w:t>
      </w:r>
      <w:r w:rsidR="00C51F4E">
        <w:t>a competitive analysis</w:t>
      </w:r>
      <w:r w:rsidR="002E49AA">
        <w:t>—</w:t>
      </w:r>
      <w:r w:rsidR="00262A2A">
        <w:t>including</w:t>
      </w:r>
      <w:r w:rsidR="00D92514">
        <w:t xml:space="preserve"> </w:t>
      </w:r>
      <w:r w:rsidR="00C51F4E">
        <w:t>enhanced factor review</w:t>
      </w:r>
      <w:r w:rsidR="002E49AA">
        <w:t>—</w:t>
      </w:r>
      <w:r w:rsidR="00C51F4E">
        <w:t>of the leased spectrum.</w:t>
      </w:r>
      <w:r>
        <w:rPr>
          <w:rStyle w:val="FootnoteReference"/>
        </w:rPr>
        <w:footnoteReference w:id="11"/>
      </w:r>
      <w:r w:rsidR="00C51F4E">
        <w:t xml:space="preserve">  The </w:t>
      </w:r>
      <w:r w:rsidRPr="00D55A24" w:rsidR="00BE4A51">
        <w:t>spectrum manager lease</w:t>
      </w:r>
      <w:r w:rsidR="00E45150">
        <w:t xml:space="preserve"> notification</w:t>
      </w:r>
      <w:r w:rsidRPr="00D55A24" w:rsidR="00BE4A51">
        <w:t>s were accepted on July 9, 2020.</w:t>
      </w:r>
      <w:r>
        <w:rPr>
          <w:rStyle w:val="FootnoteReference"/>
        </w:rPr>
        <w:footnoteReference w:id="12"/>
      </w:r>
      <w:r w:rsidR="00BE4A51">
        <w:t xml:space="preserve"> </w:t>
      </w:r>
      <w:r w:rsidR="001B7480">
        <w:t xml:space="preserve"> </w:t>
      </w:r>
    </w:p>
    <w:p w:rsidR="004D4050" w:rsidP="00F74FB3" w14:paraId="7072A2D0" w14:textId="441DDE51">
      <w:pPr>
        <w:pStyle w:val="ParaNum"/>
        <w:widowControl/>
        <w:tabs>
          <w:tab w:val="clear" w:pos="1080"/>
          <w:tab w:val="num" w:pos="1440"/>
        </w:tabs>
      </w:pPr>
      <w:r w:rsidRPr="7B0BBB10">
        <w:t>O</w:t>
      </w:r>
      <w:r w:rsidRPr="7B0BBB10" w:rsidR="00EB48A8">
        <w:t>n</w:t>
      </w:r>
      <w:r w:rsidR="00EB48A8">
        <w:t xml:space="preserve"> August </w:t>
      </w:r>
      <w:r>
        <w:t xml:space="preserve">7, </w:t>
      </w:r>
      <w:r w:rsidR="00EB48A8">
        <w:t xml:space="preserve">2020, </w:t>
      </w:r>
      <w:r w:rsidR="00B305A5">
        <w:t>Verizon</w:t>
      </w:r>
      <w:r w:rsidR="00EB48A8">
        <w:t xml:space="preserve"> file</w:t>
      </w:r>
      <w:r w:rsidR="00E92D0E">
        <w:t>d</w:t>
      </w:r>
      <w:r w:rsidR="00EB48A8">
        <w:t xml:space="preserve"> </w:t>
      </w:r>
      <w:r w:rsidR="000D6F12">
        <w:t xml:space="preserve">a </w:t>
      </w:r>
      <w:r w:rsidR="004B4F71">
        <w:t xml:space="preserve">single </w:t>
      </w:r>
      <w:r w:rsidR="000D6F12">
        <w:t>p</w:t>
      </w:r>
      <w:r w:rsidR="00661B49">
        <w:t>etition</w:t>
      </w:r>
      <w:r w:rsidR="00B305A5">
        <w:t xml:space="preserve"> </w:t>
      </w:r>
      <w:r w:rsidR="00DA4648">
        <w:t xml:space="preserve">requesting reconsideration of the </w:t>
      </w:r>
      <w:r w:rsidR="00537D22">
        <w:t>Bureau’s</w:t>
      </w:r>
      <w:r w:rsidR="00297E09">
        <w:t xml:space="preserve"> </w:t>
      </w:r>
      <w:r w:rsidR="003D7BB5">
        <w:t>acceptance of the spectrum manager lease applications</w:t>
      </w:r>
      <w:r w:rsidR="00F9137D">
        <w:t xml:space="preserve"> and </w:t>
      </w:r>
      <w:r w:rsidR="00B1025B">
        <w:t xml:space="preserve">asserting </w:t>
      </w:r>
      <w:r w:rsidR="00B305A5">
        <w:t xml:space="preserve">that the </w:t>
      </w:r>
      <w:r w:rsidRPr="00B37936" w:rsidR="00B37936">
        <w:t>Commission</w:t>
      </w:r>
      <w:r w:rsidR="00B305A5">
        <w:t xml:space="preserve"> should conduct </w:t>
      </w:r>
      <w:r w:rsidR="00CD5F87">
        <w:t>a</w:t>
      </w:r>
      <w:r w:rsidR="00B305A5">
        <w:t xml:space="preserve"> competitive analysis </w:t>
      </w:r>
      <w:r w:rsidR="00CD5F87">
        <w:t>of</w:t>
      </w:r>
      <w:r w:rsidR="00B305A5">
        <w:t xml:space="preserve"> the spectrum le</w:t>
      </w:r>
      <w:bookmarkStart w:id="2" w:name="_GoBack"/>
      <w:bookmarkEnd w:id="2"/>
      <w:r w:rsidR="00B305A5">
        <w:t>asing arrangements</w:t>
      </w:r>
      <w:r w:rsidR="799CF998">
        <w:t xml:space="preserve"> of a type</w:t>
      </w:r>
      <w:r w:rsidR="00B305A5">
        <w:t xml:space="preserve"> </w:t>
      </w:r>
      <w:r w:rsidR="00B95615">
        <w:t>that</w:t>
      </w:r>
      <w:r w:rsidR="00B305A5">
        <w:t xml:space="preserve"> normally </w:t>
      </w:r>
      <w:r w:rsidR="001D35AA">
        <w:t xml:space="preserve">is </w:t>
      </w:r>
      <w:r w:rsidR="00B305A5">
        <w:t>applie</w:t>
      </w:r>
      <w:r w:rsidR="00CD5F87">
        <w:t>d</w:t>
      </w:r>
      <w:r w:rsidR="00B305A5">
        <w:t xml:space="preserve"> to transactions that exceed the spectrum screen.</w:t>
      </w:r>
      <w:r>
        <w:rPr>
          <w:rStyle w:val="FootnoteReference"/>
        </w:rPr>
        <w:footnoteReference w:id="13"/>
      </w:r>
      <w:r w:rsidR="00B305A5">
        <w:t xml:space="preserve">  </w:t>
      </w:r>
      <w:r w:rsidR="00B95615">
        <w:t xml:space="preserve">Verizon requests that the </w:t>
      </w:r>
      <w:r w:rsidRPr="00DE66D7" w:rsidR="00DE66D7">
        <w:t xml:space="preserve">Commission </w:t>
      </w:r>
      <w:r w:rsidR="00B95615">
        <w:t xml:space="preserve">conduct a “searching inquiry” into the competitive consequences </w:t>
      </w:r>
      <w:r w:rsidR="00D91A7A">
        <w:t xml:space="preserve">of the lease </w:t>
      </w:r>
      <w:r w:rsidR="004A1DE3">
        <w:t xml:space="preserve">arrangements </w:t>
      </w:r>
      <w:r w:rsidRPr="00B95615" w:rsidR="00B95615">
        <w:t>and</w:t>
      </w:r>
      <w:r w:rsidR="00043685">
        <w:t>,</w:t>
      </w:r>
      <w:r w:rsidRPr="00B95615" w:rsidR="00B95615">
        <w:t xml:space="preserve"> </w:t>
      </w:r>
      <w:r w:rsidR="00B95615">
        <w:t xml:space="preserve">if there </w:t>
      </w:r>
      <w:r w:rsidR="00663E74">
        <w:t>are</w:t>
      </w:r>
      <w:r w:rsidR="00B95615">
        <w:t xml:space="preserve"> </w:t>
      </w:r>
      <w:r w:rsidRPr="00B95615" w:rsidR="00B95615">
        <w:t>competitive harms</w:t>
      </w:r>
      <w:r w:rsidR="00043685">
        <w:t>,</w:t>
      </w:r>
      <w:r w:rsidRPr="00B95615" w:rsidR="00B95615">
        <w:t xml:space="preserve"> </w:t>
      </w:r>
      <w:r w:rsidR="001B7480">
        <w:t xml:space="preserve">reject </w:t>
      </w:r>
      <w:r w:rsidR="00043685">
        <w:t xml:space="preserve">the applications </w:t>
      </w:r>
      <w:r w:rsidRPr="00B95615" w:rsidR="00B95615">
        <w:t>or</w:t>
      </w:r>
      <w:r w:rsidR="00A71121">
        <w:t>,</w:t>
      </w:r>
      <w:r w:rsidRPr="00B95615" w:rsidR="00B95615">
        <w:t xml:space="preserve"> </w:t>
      </w:r>
      <w:r w:rsidR="00040822">
        <w:t xml:space="preserve">as an </w:t>
      </w:r>
      <w:r w:rsidR="00FC157B">
        <w:t xml:space="preserve">alternative, </w:t>
      </w:r>
      <w:r w:rsidRPr="00B95615" w:rsidR="00B95615">
        <w:t>require spectrum divestitures</w:t>
      </w:r>
      <w:r w:rsidR="00B95615">
        <w:t>.</w:t>
      </w:r>
      <w:r>
        <w:rPr>
          <w:rStyle w:val="FootnoteReference"/>
        </w:rPr>
        <w:footnoteReference w:id="14"/>
      </w:r>
      <w:r w:rsidR="00B95615">
        <w:t xml:space="preserve"> </w:t>
      </w:r>
      <w:r w:rsidR="00663E74">
        <w:t xml:space="preserve"> </w:t>
      </w:r>
      <w:r w:rsidR="006A0BBF">
        <w:t>Verizon argues that the leasing arrangements exacerbate the extent to which T</w:t>
      </w:r>
      <w:r w:rsidR="186C914A">
        <w:t>-</w:t>
      </w:r>
      <w:r w:rsidR="006A0BBF">
        <w:t xml:space="preserve">Mobile exceeds the spectrum </w:t>
      </w:r>
      <w:r w:rsidR="00BD2DBC">
        <w:t>screen</w:t>
      </w:r>
      <w:r w:rsidR="006A0BBF">
        <w:t>.</w:t>
      </w:r>
      <w:r>
        <w:rPr>
          <w:rStyle w:val="FootnoteReference"/>
        </w:rPr>
        <w:footnoteReference w:id="15"/>
      </w:r>
      <w:r w:rsidR="006A0BBF">
        <w:t xml:space="preserve"> </w:t>
      </w:r>
      <w:bookmarkStart w:id="3" w:name="_Hlk54337548"/>
    </w:p>
    <w:p w:rsidR="00C209E3" w:rsidRPr="00C51F4E" w:rsidP="000A782E" w14:paraId="216544FB" w14:textId="6F60A5B1">
      <w:pPr>
        <w:pStyle w:val="Heading1"/>
        <w:keepNext w:val="0"/>
        <w:numPr>
          <w:ilvl w:val="0"/>
          <w:numId w:val="14"/>
        </w:numPr>
        <w:tabs>
          <w:tab w:val="left" w:pos="863"/>
          <w:tab w:val="left" w:pos="864"/>
        </w:tabs>
        <w:suppressAutoHyphens w:val="0"/>
        <w:rPr>
          <w:rFonts w:ascii="Times New Roman" w:hAnsi="Times New Roman"/>
          <w:bCs/>
          <w:caps w:val="0"/>
          <w:color w:val="020100"/>
        </w:rPr>
      </w:pPr>
      <w:r w:rsidRPr="00666BB3">
        <w:t>Discussion</w:t>
      </w:r>
    </w:p>
    <w:p w:rsidR="00BB3C2D" w:rsidRPr="008F0B2A" w:rsidP="007C70A2" w14:paraId="345A36D5" w14:textId="5F5982DF">
      <w:pPr>
        <w:pStyle w:val="ParaNum"/>
        <w:tabs>
          <w:tab w:val="clear" w:pos="1080"/>
          <w:tab w:val="num" w:pos="1440"/>
        </w:tabs>
      </w:pPr>
      <w:r>
        <w:t>W</w:t>
      </w:r>
      <w:r w:rsidR="002C2829">
        <w:t xml:space="preserve">e deny </w:t>
      </w:r>
      <w:r w:rsidR="000C6D43">
        <w:t xml:space="preserve">Verizon’s </w:t>
      </w:r>
      <w:r w:rsidR="0004373C">
        <w:t xml:space="preserve">petition </w:t>
      </w:r>
      <w:r w:rsidR="000F51C1">
        <w:t xml:space="preserve">and find that </w:t>
      </w:r>
      <w:r w:rsidR="00F610DA">
        <w:t>accepting the spectrum manager leasing notifications</w:t>
      </w:r>
      <w:r w:rsidR="000F51C1">
        <w:t xml:space="preserve"> would</w:t>
      </w:r>
      <w:r w:rsidR="006E7578">
        <w:t xml:space="preserve"> </w:t>
      </w:r>
      <w:r w:rsidR="000F51C1">
        <w:t>serve the public interest</w:t>
      </w:r>
      <w:r w:rsidR="00FC055D">
        <w:t>.</w:t>
      </w:r>
      <w:bookmarkStart w:id="4" w:name="_Hlk57196437"/>
      <w:r w:rsidRPr="008F0B2A" w:rsidR="0029446A">
        <w:t xml:space="preserve"> </w:t>
      </w:r>
      <w:bookmarkEnd w:id="4"/>
      <w:r w:rsidR="00FC055D">
        <w:t xml:space="preserve"> </w:t>
      </w:r>
      <w:r w:rsidRPr="00C209E3" w:rsidR="006F49BC">
        <w:t>We also d</w:t>
      </w:r>
      <w:r w:rsidR="0044113A">
        <w:t>ismiss</w:t>
      </w:r>
      <w:r w:rsidRPr="00C209E3" w:rsidR="006F49BC">
        <w:t xml:space="preserve"> requests </w:t>
      </w:r>
      <w:r w:rsidRPr="002856A4" w:rsidR="002856A4">
        <w:t xml:space="preserve">by various other parties </w:t>
      </w:r>
      <w:r w:rsidRPr="00C209E3" w:rsidR="006F49BC">
        <w:t xml:space="preserve">to revisit the Commission’s spectrum holdings policies, including its previous decisions regarding the </w:t>
      </w:r>
      <w:r w:rsidRPr="00C209E3" w:rsidR="006F49BC">
        <w:t>T</w:t>
      </w:r>
      <w:r w:rsidR="00087A3E">
        <w:noBreakHyphen/>
      </w:r>
      <w:r w:rsidRPr="00C209E3" w:rsidR="006F49BC">
        <w:t>Mobile/Sprint transaction</w:t>
      </w:r>
      <w:r>
        <w:rPr>
          <w:rStyle w:val="FootnoteReference"/>
        </w:rPr>
        <w:footnoteReference w:id="16"/>
      </w:r>
      <w:r w:rsidRPr="00C209E3" w:rsidR="006F49BC">
        <w:t xml:space="preserve"> and the Commission’s approach to spectrum holdings for the 3.7-4.2 GHz band in the </w:t>
      </w:r>
      <w:r w:rsidRPr="00C209E3" w:rsidR="006F49BC">
        <w:rPr>
          <w:i/>
          <w:iCs/>
        </w:rPr>
        <w:t>3.7 GHz Report and Order</w:t>
      </w:r>
      <w:r w:rsidRPr="00C209E3" w:rsidR="006F49BC">
        <w:t>.</w:t>
      </w:r>
      <w:r>
        <w:rPr>
          <w:rStyle w:val="FootnoteReference"/>
        </w:rPr>
        <w:footnoteReference w:id="17"/>
      </w:r>
      <w:r w:rsidR="000A782E">
        <w:t xml:space="preserve">  </w:t>
      </w:r>
      <w:r w:rsidR="00717BCF">
        <w:t>We nonetheless</w:t>
      </w:r>
      <w:r w:rsidR="00492C87">
        <w:t xml:space="preserve"> </w:t>
      </w:r>
      <w:r w:rsidR="00FB40AB">
        <w:t>note</w:t>
      </w:r>
      <w:r w:rsidR="000A5400">
        <w:t xml:space="preserve"> the substantial increase in available spectrum</w:t>
      </w:r>
      <w:r w:rsidR="00C1137B">
        <w:t xml:space="preserve"> for facilities-based mobile</w:t>
      </w:r>
      <w:r w:rsidR="00BC6D42">
        <w:t xml:space="preserve"> wireless</w:t>
      </w:r>
      <w:r w:rsidR="00C1137B">
        <w:t xml:space="preserve"> services </w:t>
      </w:r>
      <w:r w:rsidR="008E60DC">
        <w:t>that ha</w:t>
      </w:r>
      <w:r w:rsidR="6697650A">
        <w:t>s</w:t>
      </w:r>
      <w:r w:rsidR="008E60DC">
        <w:t xml:space="preserve"> occurred </w:t>
      </w:r>
      <w:r w:rsidR="00C1137B">
        <w:t xml:space="preserve">since </w:t>
      </w:r>
      <w:r w:rsidR="00A767C6">
        <w:t>the Commis</w:t>
      </w:r>
      <w:r w:rsidR="009B5F6B">
        <w:t xml:space="preserve">sion </w:t>
      </w:r>
      <w:r w:rsidR="00C1137B">
        <w:t>adopt</w:t>
      </w:r>
      <w:r w:rsidR="009B5F6B">
        <w:t>ed</w:t>
      </w:r>
      <w:r w:rsidR="00C1137B">
        <w:t xml:space="preserve"> </w:t>
      </w:r>
      <w:r w:rsidR="00C6018A">
        <w:t>those</w:t>
      </w:r>
      <w:r w:rsidR="003947E7">
        <w:t xml:space="preserve"> policies</w:t>
      </w:r>
      <w:r w:rsidR="0092567B">
        <w:t xml:space="preserve"> in 2014</w:t>
      </w:r>
      <w:r w:rsidR="00FB40AB">
        <w:t xml:space="preserve">, and we emphasize that the Commission’s spectrum screen </w:t>
      </w:r>
      <w:r w:rsidR="00717BCF">
        <w:t xml:space="preserve">is not a hard cap on a company’s holdings but instead </w:t>
      </w:r>
      <w:r w:rsidR="00FB40AB">
        <w:t xml:space="preserve">is </w:t>
      </w:r>
      <w:r w:rsidR="00BC6D42">
        <w:t>simply</w:t>
      </w:r>
      <w:r w:rsidR="00FB40AB">
        <w:t xml:space="preserve"> a </w:t>
      </w:r>
      <w:r w:rsidR="000E6C5B">
        <w:t xml:space="preserve">threshold for </w:t>
      </w:r>
      <w:r w:rsidR="00A62DC2">
        <w:t xml:space="preserve">further </w:t>
      </w:r>
      <w:r w:rsidR="000E6C5B">
        <w:t>competitive analysis</w:t>
      </w:r>
      <w:r w:rsidR="003947E7">
        <w:t xml:space="preserve">.  </w:t>
      </w:r>
      <w:r w:rsidR="00FC3A6D">
        <w:t xml:space="preserve"> </w:t>
      </w:r>
    </w:p>
    <w:p w:rsidR="002D2604" w:rsidRPr="003B219E" w:rsidP="009234C0" w14:paraId="46C5E94D" w14:textId="521E26D3">
      <w:pPr>
        <w:pStyle w:val="Heading2"/>
        <w:rPr>
          <w:snapToGrid w:val="0"/>
          <w:kern w:val="28"/>
          <w:szCs w:val="20"/>
        </w:rPr>
      </w:pPr>
      <w:r>
        <w:t>Spectrum Leases</w:t>
      </w:r>
      <w:r w:rsidR="00A17B46">
        <w:t xml:space="preserve">  </w:t>
      </w:r>
    </w:p>
    <w:p w:rsidR="00714FA7" w:rsidRPr="007C70A2" w:rsidP="007C70A2" w14:paraId="76151426" w14:textId="578DC5E5">
      <w:pPr>
        <w:pStyle w:val="ParaNum"/>
        <w:tabs>
          <w:tab w:val="clear" w:pos="1080"/>
          <w:tab w:val="num" w:pos="1440"/>
        </w:tabs>
      </w:pPr>
      <w:r>
        <w:rPr>
          <w:snapToGrid w:val="0"/>
        </w:rPr>
        <w:t>We reaffirm our finding</w:t>
      </w:r>
      <w:r w:rsidRPr="007C70A2">
        <w:rPr>
          <w:snapToGrid w:val="0"/>
        </w:rPr>
        <w:t xml:space="preserve"> that the likelihood of competitive harm </w:t>
      </w:r>
      <w:r w:rsidR="00043685">
        <w:t xml:space="preserve">resulting from the leasing arrangements </w:t>
      </w:r>
      <w:r w:rsidRPr="007C70A2">
        <w:rPr>
          <w:snapToGrid w:val="0"/>
        </w:rPr>
        <w:t>is low.</w:t>
      </w:r>
      <w:r>
        <w:rPr>
          <w:rStyle w:val="FootnoteReference"/>
          <w:snapToGrid w:val="0"/>
        </w:rPr>
        <w:footnoteReference w:id="18"/>
      </w:r>
      <w:r w:rsidRPr="007C70A2">
        <w:rPr>
          <w:snapToGrid w:val="0"/>
        </w:rPr>
        <w:t xml:space="preserve"> </w:t>
      </w:r>
      <w:r w:rsidR="001051A4">
        <w:rPr>
          <w:snapToGrid w:val="0"/>
        </w:rPr>
        <w:t xml:space="preserve"> </w:t>
      </w:r>
      <w:r w:rsidRPr="007C70A2">
        <w:rPr>
          <w:snapToGrid w:val="0"/>
        </w:rPr>
        <w:t xml:space="preserve">Further, we </w:t>
      </w:r>
      <w:r w:rsidR="000F51C1">
        <w:t xml:space="preserve">find </w:t>
      </w:r>
      <w:r w:rsidRPr="007C70A2">
        <w:rPr>
          <w:snapToGrid w:val="0"/>
        </w:rPr>
        <w:t>that the transaction</w:t>
      </w:r>
      <w:r w:rsidR="004B4F71">
        <w:rPr>
          <w:snapToGrid w:val="0"/>
        </w:rPr>
        <w:t>s</w:t>
      </w:r>
      <w:r w:rsidRPr="007C70A2">
        <w:rPr>
          <w:snapToGrid w:val="0"/>
        </w:rPr>
        <w:t xml:space="preserve"> </w:t>
      </w:r>
      <w:r w:rsidR="004B4F71">
        <w:t xml:space="preserve">are </w:t>
      </w:r>
      <w:r w:rsidRPr="007C70A2">
        <w:rPr>
          <w:snapToGrid w:val="0"/>
        </w:rPr>
        <w:t xml:space="preserve">likely to lead to public interest benefits, such as the use of this spectrum for the deployment of 5G products and services to the benefit of American consumers. </w:t>
      </w:r>
      <w:r w:rsidR="00B03D5F">
        <w:rPr>
          <w:snapToGrid w:val="0"/>
        </w:rPr>
        <w:t xml:space="preserve"> </w:t>
      </w:r>
      <w:r w:rsidRPr="007C70A2">
        <w:rPr>
          <w:snapToGrid w:val="0"/>
        </w:rPr>
        <w:t xml:space="preserve">Overall, </w:t>
      </w:r>
      <w:r w:rsidR="000F51C1">
        <w:t xml:space="preserve">we conclude </w:t>
      </w:r>
      <w:r w:rsidRPr="007C70A2">
        <w:rPr>
          <w:snapToGrid w:val="0"/>
        </w:rPr>
        <w:t>that the leasing arrangements</w:t>
      </w:r>
      <w:r w:rsidR="00CA0C63">
        <w:rPr>
          <w:snapToGrid w:val="0"/>
        </w:rPr>
        <w:t>’</w:t>
      </w:r>
      <w:r w:rsidRPr="007C70A2">
        <w:rPr>
          <w:snapToGrid w:val="0"/>
        </w:rPr>
        <w:t xml:space="preserve"> potential public interest benefits outweigh any potential public interest harms.</w:t>
      </w:r>
    </w:p>
    <w:bookmarkEnd w:id="3"/>
    <w:p w:rsidR="00646114" w:rsidP="001165A9" w14:paraId="777FB870" w14:textId="6FE3A287">
      <w:pPr>
        <w:pStyle w:val="ParaNum"/>
        <w:widowControl/>
        <w:tabs>
          <w:tab w:val="clear" w:pos="1080"/>
          <w:tab w:val="num" w:pos="1440"/>
        </w:tabs>
        <w:autoSpaceDE/>
        <w:autoSpaceDN/>
      </w:pPr>
      <w:r w:rsidRPr="009F335A">
        <w:rPr>
          <w:i/>
          <w:iCs/>
          <w:snapToGrid w:val="0"/>
        </w:rPr>
        <w:t>Standard for Analysis</w:t>
      </w:r>
      <w:r w:rsidR="00453E65">
        <w:rPr>
          <w:snapToGrid w:val="0"/>
        </w:rPr>
        <w:t xml:space="preserve">. </w:t>
      </w:r>
      <w:r w:rsidR="00C77CAF">
        <w:rPr>
          <w:snapToGrid w:val="0"/>
        </w:rPr>
        <w:t xml:space="preserve"> </w:t>
      </w:r>
      <w:r w:rsidRPr="00422354" w:rsidR="0041541D">
        <w:rPr>
          <w:snapToGrid w:val="0"/>
        </w:rPr>
        <w:t>In reviewing applications involving a proposed transaction, the Commission evaluates the potential public interest harms, including potential competitive harms that may result from the transaction.</w:t>
      </w:r>
      <w:r>
        <w:rPr>
          <w:rStyle w:val="FootnoteReference"/>
        </w:rPr>
        <w:footnoteReference w:id="19"/>
      </w:r>
      <w:r w:rsidRPr="00422354" w:rsidR="0041541D">
        <w:rPr>
          <w:snapToGrid w:val="0"/>
        </w:rPr>
        <w:t xml:space="preserve">  </w:t>
      </w:r>
      <w:r w:rsidRPr="00B17BFC" w:rsidR="00A54FA1">
        <w:t xml:space="preserve">We </w:t>
      </w:r>
      <w:r w:rsidR="00A54FA1">
        <w:t xml:space="preserve">also </w:t>
      </w:r>
      <w:r w:rsidRPr="00B17BFC" w:rsidR="00A54FA1">
        <w:t xml:space="preserve">consider whether the proposed transaction </w:t>
      </w:r>
      <w:r w:rsidR="00A54FA1">
        <w:t xml:space="preserve">is </w:t>
      </w:r>
      <w:r w:rsidRPr="00CB1872" w:rsidR="00A54FA1">
        <w:t>likely to generate verifiable, transaction-specific public interest benefits</w:t>
      </w:r>
      <w:r w:rsidRPr="00B17BFC" w:rsidR="00A54FA1">
        <w:t>.</w:t>
      </w:r>
      <w:r>
        <w:rPr>
          <w:rStyle w:val="FootnoteReference"/>
        </w:rPr>
        <w:footnoteReference w:id="20"/>
      </w:r>
      <w:r w:rsidRPr="00B17BFC" w:rsidR="00A54FA1">
        <w:t xml:space="preserve">  </w:t>
      </w:r>
      <w:r w:rsidRPr="005211DB" w:rsidR="00A54FA1">
        <w:t xml:space="preserve">Under Commission precedent, the Applicants bear the burden of demonstrating </w:t>
      </w:r>
      <w:r w:rsidR="00A54FA1">
        <w:t xml:space="preserve">the </w:t>
      </w:r>
      <w:r w:rsidRPr="005211DB" w:rsidR="00A54FA1">
        <w:t xml:space="preserve">potential public interest benefits of </w:t>
      </w:r>
      <w:r w:rsidR="00A54FA1">
        <w:t>a</w:t>
      </w:r>
      <w:r w:rsidRPr="005211DB" w:rsidR="00A54FA1">
        <w:t xml:space="preserve"> proposed transaction.</w:t>
      </w:r>
      <w:r>
        <w:rPr>
          <w:sz w:val="20"/>
          <w:szCs w:val="20"/>
          <w:vertAlign w:val="superscript"/>
        </w:rPr>
        <w:footnoteReference w:id="21"/>
      </w:r>
      <w:r w:rsidR="00A54FA1">
        <w:t xml:space="preserve">  The Commission</w:t>
      </w:r>
      <w:r w:rsidRPr="00B17BFC" w:rsidR="00A54FA1">
        <w:t xml:space="preserve"> applies a “sliding scale approach” to evaluating benefit claims.</w:t>
      </w:r>
      <w:r>
        <w:rPr>
          <w:sz w:val="20"/>
          <w:szCs w:val="20"/>
          <w:vertAlign w:val="superscript"/>
        </w:rPr>
        <w:footnoteReference w:id="22"/>
      </w:r>
      <w:r w:rsidRPr="00B17BFC" w:rsidR="00A54FA1">
        <w:t xml:space="preserve">  Under this approach, where potential harms appear “both substantial and likely, a demonstration of claimed benefits also must reveal a higher degree of magnitude and likelihood than we would otherwise demand.”</w:t>
      </w:r>
      <w:r>
        <w:rPr>
          <w:sz w:val="20"/>
          <w:szCs w:val="20"/>
          <w:vertAlign w:val="superscript"/>
        </w:rPr>
        <w:footnoteReference w:id="23"/>
      </w:r>
      <w:r w:rsidRPr="00B17BFC" w:rsidR="00A54FA1">
        <w:t xml:space="preserve">  </w:t>
      </w:r>
      <w:r w:rsidR="00A54FA1">
        <w:t xml:space="preserve">Conversely, </w:t>
      </w:r>
      <w:r w:rsidR="00A54FA1">
        <w:t>where potential harms appear less likely and less substantial, as is the case here, we will accept a lesser showing to approve the proposed transaction.</w:t>
      </w:r>
      <w:r>
        <w:rPr>
          <w:rStyle w:val="FootnoteReference"/>
        </w:rPr>
        <w:footnoteReference w:id="24"/>
      </w:r>
    </w:p>
    <w:p w:rsidR="0041541D" w:rsidRPr="00FC7927" w:rsidP="001165A9" w14:paraId="2325B801" w14:textId="11D66888">
      <w:pPr>
        <w:pStyle w:val="ParaNum"/>
        <w:widowControl/>
        <w:tabs>
          <w:tab w:val="clear" w:pos="1080"/>
          <w:tab w:val="num" w:pos="1440"/>
        </w:tabs>
        <w:autoSpaceDE/>
        <w:autoSpaceDN/>
      </w:pPr>
      <w:r>
        <w:t xml:space="preserve">As </w:t>
      </w:r>
      <w:r w:rsidRPr="001165A9">
        <w:rPr>
          <w:color w:val="010101"/>
        </w:rPr>
        <w:t>part</w:t>
      </w:r>
      <w:r>
        <w:t xml:space="preserve"> of its competitive analysis, the Commission employs an </w:t>
      </w:r>
      <w:r w:rsidRPr="00E61C16">
        <w:t>initial spectrum screen and case-by-case review to evaluate the likely</w:t>
      </w:r>
      <w:r w:rsidRPr="00A54FA1">
        <w:rPr>
          <w:spacing w:val="-11"/>
        </w:rPr>
        <w:t xml:space="preserve"> </w:t>
      </w:r>
      <w:r w:rsidRPr="00E61C16">
        <w:t>competitive</w:t>
      </w:r>
      <w:r w:rsidRPr="00A54FA1">
        <w:rPr>
          <w:spacing w:val="-10"/>
        </w:rPr>
        <w:t xml:space="preserve"> </w:t>
      </w:r>
      <w:r w:rsidRPr="00E61C16">
        <w:t>effects</w:t>
      </w:r>
      <w:r w:rsidRPr="00A54FA1">
        <w:rPr>
          <w:spacing w:val="-10"/>
        </w:rPr>
        <w:t xml:space="preserve"> </w:t>
      </w:r>
      <w:r>
        <w:rPr>
          <w:spacing w:val="-10"/>
        </w:rPr>
        <w:t xml:space="preserve">resulting from </w:t>
      </w:r>
      <w:r w:rsidRPr="00E61C16">
        <w:t>increased</w:t>
      </w:r>
      <w:r w:rsidRPr="00A54FA1">
        <w:rPr>
          <w:spacing w:val="-10"/>
        </w:rPr>
        <w:t xml:space="preserve"> </w:t>
      </w:r>
      <w:r w:rsidRPr="00E61C16">
        <w:t>spectrum</w:t>
      </w:r>
      <w:r w:rsidRPr="00A54FA1">
        <w:rPr>
          <w:spacing w:val="-10"/>
        </w:rPr>
        <w:t xml:space="preserve"> </w:t>
      </w:r>
      <w:r w:rsidRPr="00E61C16">
        <w:t>aggregation</w:t>
      </w:r>
      <w:r w:rsidRPr="00A54FA1">
        <w:rPr>
          <w:spacing w:val="-10"/>
        </w:rPr>
        <w:t xml:space="preserve"> </w:t>
      </w:r>
      <w:r w:rsidRPr="00E61C16">
        <w:t>through</w:t>
      </w:r>
      <w:r w:rsidRPr="00A54FA1">
        <w:rPr>
          <w:spacing w:val="-10"/>
        </w:rPr>
        <w:t xml:space="preserve"> </w:t>
      </w:r>
      <w:r w:rsidRPr="00E61C16">
        <w:t>secondary</w:t>
      </w:r>
      <w:r w:rsidRPr="00A54FA1">
        <w:rPr>
          <w:spacing w:val="-10"/>
        </w:rPr>
        <w:t xml:space="preserve"> </w:t>
      </w:r>
      <w:r w:rsidRPr="00E61C16">
        <w:t>market</w:t>
      </w:r>
      <w:r w:rsidRPr="00A54FA1">
        <w:rPr>
          <w:spacing w:val="-10"/>
        </w:rPr>
        <w:t xml:space="preserve"> </w:t>
      </w:r>
      <w:r w:rsidRPr="00E61C16">
        <w:t>transactions</w:t>
      </w:r>
      <w:r w:rsidRPr="00A54FA1">
        <w:rPr>
          <w:sz w:val="20"/>
        </w:rPr>
        <w:t>.</w:t>
      </w:r>
      <w:r>
        <w:rPr>
          <w:rStyle w:val="FootnoteReference"/>
        </w:rPr>
        <w:footnoteReference w:id="25"/>
      </w:r>
      <w:r w:rsidRPr="00A54FA1" w:rsidR="00765A47">
        <w:rPr>
          <w:snapToGrid w:val="0"/>
        </w:rPr>
        <w:t xml:space="preserve"> </w:t>
      </w:r>
      <w:r w:rsidRPr="00A54FA1" w:rsidR="001D6243">
        <w:rPr>
          <w:snapToGrid w:val="0"/>
        </w:rPr>
        <w:t xml:space="preserve"> </w:t>
      </w:r>
      <w:r w:rsidR="00F90D98">
        <w:t>In t</w:t>
      </w:r>
      <w:r w:rsidRPr="00E61C16" w:rsidR="00F90D98">
        <w:t>he</w:t>
      </w:r>
      <w:r w:rsidRPr="00A54FA1" w:rsidR="00F90D98">
        <w:rPr>
          <w:spacing w:val="-13"/>
        </w:rPr>
        <w:t xml:space="preserve"> </w:t>
      </w:r>
      <w:r w:rsidRPr="00A54FA1">
        <w:rPr>
          <w:i/>
        </w:rPr>
        <w:t>Mobile</w:t>
      </w:r>
      <w:r w:rsidRPr="00185E82">
        <w:rPr>
          <w:i/>
          <w:spacing w:val="-9"/>
        </w:rPr>
        <w:t xml:space="preserve"> </w:t>
      </w:r>
      <w:r w:rsidRPr="00A54FA1">
        <w:rPr>
          <w:i/>
        </w:rPr>
        <w:t>Spectrum</w:t>
      </w:r>
      <w:r w:rsidRPr="00A54FA1">
        <w:rPr>
          <w:i/>
          <w:spacing w:val="-9"/>
        </w:rPr>
        <w:t xml:space="preserve"> </w:t>
      </w:r>
      <w:r w:rsidRPr="00A54FA1">
        <w:rPr>
          <w:i/>
        </w:rPr>
        <w:t>Holdings</w:t>
      </w:r>
      <w:r w:rsidRPr="00A54FA1">
        <w:rPr>
          <w:i/>
          <w:spacing w:val="-9"/>
        </w:rPr>
        <w:t xml:space="preserve"> </w:t>
      </w:r>
      <w:r w:rsidRPr="00A54FA1">
        <w:rPr>
          <w:i/>
        </w:rPr>
        <w:t>Report</w:t>
      </w:r>
      <w:r w:rsidRPr="00A54FA1">
        <w:rPr>
          <w:i/>
          <w:spacing w:val="-9"/>
        </w:rPr>
        <w:t xml:space="preserve"> </w:t>
      </w:r>
      <w:r w:rsidRPr="00A54FA1">
        <w:rPr>
          <w:i/>
        </w:rPr>
        <w:t>and Order</w:t>
      </w:r>
      <w:r w:rsidRPr="00A54FA1" w:rsidR="00F90D98">
        <w:rPr>
          <w:iCs/>
        </w:rPr>
        <w:t xml:space="preserve">, the Commission </w:t>
      </w:r>
      <w:r w:rsidRPr="00A54FA1" w:rsidR="00C87735">
        <w:rPr>
          <w:iCs/>
        </w:rPr>
        <w:t xml:space="preserve">additionally </w:t>
      </w:r>
      <w:r w:rsidRPr="00A54FA1" w:rsidR="00F90D98">
        <w:rPr>
          <w:iCs/>
        </w:rPr>
        <w:t>determined</w:t>
      </w:r>
      <w:r w:rsidRPr="00A54FA1">
        <w:rPr>
          <w:spacing w:val="-7"/>
        </w:rPr>
        <w:t xml:space="preserve"> </w:t>
      </w:r>
      <w:r w:rsidRPr="00E61C16">
        <w:t>that</w:t>
      </w:r>
      <w:r w:rsidRPr="00A54FA1">
        <w:rPr>
          <w:spacing w:val="-7"/>
        </w:rPr>
        <w:t xml:space="preserve"> </w:t>
      </w:r>
      <w:r w:rsidRPr="00E61C16">
        <w:t>any</w:t>
      </w:r>
      <w:r w:rsidRPr="00A54FA1">
        <w:rPr>
          <w:spacing w:val="-8"/>
        </w:rPr>
        <w:t xml:space="preserve"> </w:t>
      </w:r>
      <w:r w:rsidRPr="00E61C16">
        <w:t>increase</w:t>
      </w:r>
      <w:r w:rsidRPr="00A54FA1">
        <w:rPr>
          <w:spacing w:val="-9"/>
        </w:rPr>
        <w:t xml:space="preserve"> </w:t>
      </w:r>
      <w:r w:rsidRPr="00E61C16">
        <w:t>in</w:t>
      </w:r>
      <w:r w:rsidRPr="00A54FA1">
        <w:rPr>
          <w:spacing w:val="-7"/>
        </w:rPr>
        <w:t xml:space="preserve"> </w:t>
      </w:r>
      <w:r w:rsidRPr="00E61C16">
        <w:t>spectrum</w:t>
      </w:r>
      <w:r w:rsidRPr="00A54FA1">
        <w:rPr>
          <w:spacing w:val="-7"/>
        </w:rPr>
        <w:t xml:space="preserve"> </w:t>
      </w:r>
      <w:r w:rsidRPr="00E61C16">
        <w:t>holdings</w:t>
      </w:r>
      <w:r w:rsidRPr="00A54FA1">
        <w:rPr>
          <w:spacing w:val="-7"/>
        </w:rPr>
        <w:t xml:space="preserve"> </w:t>
      </w:r>
      <w:r w:rsidRPr="00E61C16">
        <w:t>below</w:t>
      </w:r>
      <w:r w:rsidRPr="00A54FA1">
        <w:rPr>
          <w:spacing w:val="-7"/>
        </w:rPr>
        <w:t xml:space="preserve"> </w:t>
      </w:r>
      <w:r w:rsidRPr="00E61C16">
        <w:t>1</w:t>
      </w:r>
      <w:r w:rsidRPr="00A54FA1">
        <w:rPr>
          <w:spacing w:val="-7"/>
        </w:rPr>
        <w:t xml:space="preserve"> </w:t>
      </w:r>
      <w:r w:rsidRPr="00E61C16">
        <w:t>GHz</w:t>
      </w:r>
      <w:r w:rsidRPr="00A54FA1">
        <w:rPr>
          <w:spacing w:val="-7"/>
        </w:rPr>
        <w:t xml:space="preserve"> </w:t>
      </w:r>
      <w:r w:rsidRPr="00A54FA1" w:rsidR="00F90D98">
        <w:rPr>
          <w:spacing w:val="-7"/>
        </w:rPr>
        <w:t xml:space="preserve">would </w:t>
      </w:r>
      <w:r w:rsidRPr="00E61C16">
        <w:t>be</w:t>
      </w:r>
      <w:r w:rsidRPr="00A54FA1">
        <w:rPr>
          <w:spacing w:val="-8"/>
        </w:rPr>
        <w:t xml:space="preserve"> </w:t>
      </w:r>
      <w:r w:rsidRPr="00E61C16">
        <w:t>treated</w:t>
      </w:r>
      <w:r w:rsidRPr="00A54FA1">
        <w:rPr>
          <w:spacing w:val="-7"/>
        </w:rPr>
        <w:t xml:space="preserve"> </w:t>
      </w:r>
      <w:r w:rsidRPr="00E61C16">
        <w:t>as</w:t>
      </w:r>
      <w:r w:rsidRPr="00A54FA1">
        <w:rPr>
          <w:spacing w:val="-7"/>
        </w:rPr>
        <w:t xml:space="preserve"> </w:t>
      </w:r>
      <w:r w:rsidRPr="00E61C16">
        <w:t>an</w:t>
      </w:r>
      <w:r w:rsidRPr="00A54FA1">
        <w:rPr>
          <w:spacing w:val="-7"/>
        </w:rPr>
        <w:t xml:space="preserve"> </w:t>
      </w:r>
      <w:r w:rsidRPr="005D0624" w:rsidR="005D0624">
        <w:t xml:space="preserve">“enhanced factor” </w:t>
      </w:r>
      <w:r w:rsidRPr="00E61C16">
        <w:t>for case-by-case review if post-transaction the acquiring entity would hold approximately one-third or more of the suitable and available spectrum below 1</w:t>
      </w:r>
      <w:r w:rsidRPr="00A54FA1">
        <w:rPr>
          <w:spacing w:val="-16"/>
        </w:rPr>
        <w:t xml:space="preserve"> </w:t>
      </w:r>
      <w:r w:rsidRPr="00E61C16">
        <w:t>GHz</w:t>
      </w:r>
      <w:r w:rsidRPr="00A54FA1">
        <w:rPr>
          <w:sz w:val="20"/>
        </w:rPr>
        <w:t>.</w:t>
      </w:r>
      <w:r>
        <w:rPr>
          <w:rStyle w:val="FootnoteReference"/>
        </w:rPr>
        <w:footnoteReference w:id="26"/>
      </w:r>
    </w:p>
    <w:p w:rsidR="00FC1D74" w:rsidRPr="00934ABF" w:rsidP="00934ABF" w14:paraId="185A2CFE" w14:textId="58F8C3B5">
      <w:pPr>
        <w:pStyle w:val="ParaNum"/>
        <w:widowControl/>
        <w:tabs>
          <w:tab w:val="clear" w:pos="1080"/>
          <w:tab w:val="num" w:pos="1440"/>
        </w:tabs>
        <w:autoSpaceDE/>
        <w:autoSpaceDN/>
        <w:rPr>
          <w:color w:val="010101"/>
        </w:rPr>
      </w:pPr>
      <w:r w:rsidRPr="00934ABF">
        <w:rPr>
          <w:i/>
          <w:iCs/>
          <w:color w:val="010101"/>
        </w:rPr>
        <w:t>Market Definitions</w:t>
      </w:r>
      <w:r w:rsidR="002076B5">
        <w:rPr>
          <w:i/>
          <w:iCs/>
          <w:color w:val="010101"/>
        </w:rPr>
        <w:t xml:space="preserve">, </w:t>
      </w:r>
      <w:r w:rsidR="000C4ECC">
        <w:rPr>
          <w:i/>
          <w:iCs/>
          <w:color w:val="010101"/>
        </w:rPr>
        <w:t>Input Market</w:t>
      </w:r>
      <w:r w:rsidR="002076B5">
        <w:rPr>
          <w:i/>
          <w:iCs/>
          <w:color w:val="010101"/>
        </w:rPr>
        <w:t xml:space="preserve"> for Spectrum</w:t>
      </w:r>
      <w:r w:rsidR="00903F0A">
        <w:rPr>
          <w:i/>
          <w:iCs/>
          <w:color w:val="010101"/>
        </w:rPr>
        <w:t>,</w:t>
      </w:r>
      <w:r w:rsidR="002076B5">
        <w:rPr>
          <w:i/>
          <w:iCs/>
          <w:color w:val="010101"/>
        </w:rPr>
        <w:t xml:space="preserve"> and Market </w:t>
      </w:r>
      <w:r w:rsidR="009A0B4E">
        <w:rPr>
          <w:i/>
          <w:iCs/>
          <w:color w:val="010101"/>
        </w:rPr>
        <w:t>Participants</w:t>
      </w:r>
      <w:r>
        <w:rPr>
          <w:color w:val="010101"/>
        </w:rPr>
        <w:t xml:space="preserve">. </w:t>
      </w:r>
      <w:r w:rsidR="002C0EC1">
        <w:rPr>
          <w:color w:val="010101"/>
        </w:rPr>
        <w:t xml:space="preserve"> </w:t>
      </w:r>
      <w:r w:rsidRPr="00935160">
        <w:rPr>
          <w:color w:val="010101"/>
        </w:rPr>
        <w:t xml:space="preserve">We </w:t>
      </w:r>
      <w:r w:rsidR="000F51C1">
        <w:rPr>
          <w:color w:val="010101"/>
        </w:rPr>
        <w:t xml:space="preserve">begin the </w:t>
      </w:r>
      <w:r w:rsidRPr="00935160">
        <w:rPr>
          <w:color w:val="010101"/>
        </w:rPr>
        <w:t>competitive analysis by determining the appropriate market definitions for the transaction,</w:t>
      </w:r>
      <w:r>
        <w:rPr>
          <w:rStyle w:val="FootnoteReference"/>
        </w:rPr>
        <w:footnoteReference w:id="27"/>
      </w:r>
      <w:r w:rsidRPr="00935160">
        <w:rPr>
          <w:color w:val="010101"/>
        </w:rPr>
        <w:t xml:space="preserve"> including a determination of the product market, the geographic market, the input market for spectrum suitable and available for the provision of mobile wireless services, and the market participants.</w:t>
      </w:r>
      <w:r>
        <w:rPr>
          <w:color w:val="010101"/>
        </w:rPr>
        <w:t xml:space="preserve"> </w:t>
      </w:r>
      <w:r w:rsidR="007713CA">
        <w:rPr>
          <w:color w:val="010101"/>
        </w:rPr>
        <w:t xml:space="preserve"> </w:t>
      </w:r>
      <w:r>
        <w:t>Consistent with recent transaction orders</w:t>
      </w:r>
      <w:r w:rsidR="00B17C67">
        <w:t xml:space="preserve"> and the Bureau</w:t>
      </w:r>
      <w:r w:rsidR="005C2BA5">
        <w:t>’s initial analysis</w:t>
      </w:r>
      <w:r>
        <w:t xml:space="preserve">, </w:t>
      </w:r>
      <w:r w:rsidR="00B23011">
        <w:t xml:space="preserve">we find that </w:t>
      </w:r>
      <w:r>
        <w:t xml:space="preserve">the relevant product market </w:t>
      </w:r>
      <w:r w:rsidR="00942145">
        <w:t xml:space="preserve">for the proposed leases </w:t>
      </w:r>
      <w:r w:rsidR="00B23011">
        <w:t xml:space="preserve">is </w:t>
      </w:r>
      <w:r>
        <w:t>a combined “mobile telephony/broadband services” product market that comprises mobile voice and data services, including mobile voice and data services provided over advanced broadband wireless networks (mobile broadband services).</w:t>
      </w:r>
      <w:r>
        <w:rPr>
          <w:rStyle w:val="FootnoteReference"/>
        </w:rPr>
        <w:footnoteReference w:id="28"/>
      </w:r>
      <w:r>
        <w:t xml:space="preserve">  </w:t>
      </w:r>
      <w:bookmarkStart w:id="5" w:name="_Hlk56504970"/>
      <w:r w:rsidR="00EB4CC6">
        <w:t>In addition, we analyze</w:t>
      </w:r>
      <w:r w:rsidRPr="008F0B2A" w:rsidR="00EB4CC6">
        <w:t xml:space="preserve"> the </w:t>
      </w:r>
      <w:r w:rsidR="00EB4CC6">
        <w:t>transaction at the</w:t>
      </w:r>
      <w:r w:rsidRPr="008F0B2A" w:rsidR="00EB4CC6">
        <w:t xml:space="preserve"> local</w:t>
      </w:r>
      <w:r w:rsidR="00EB4CC6">
        <w:t xml:space="preserve"> level</w:t>
      </w:r>
      <w:r w:rsidRPr="00934ABF">
        <w:rPr>
          <w:color w:val="010101"/>
        </w:rPr>
        <w:t>.</w:t>
      </w:r>
      <w:r>
        <w:rPr>
          <w:rStyle w:val="FootnoteReference"/>
        </w:rPr>
        <w:footnoteReference w:id="29"/>
      </w:r>
      <w:bookmarkEnd w:id="5"/>
      <w:r w:rsidRPr="00B01AFD">
        <w:t xml:space="preserve">  </w:t>
      </w:r>
      <w:r w:rsidR="00C911B9">
        <w:t>At the time of filing</w:t>
      </w:r>
      <w:r w:rsidR="001D35AA">
        <w:t xml:space="preserve"> </w:t>
      </w:r>
      <w:r w:rsidRPr="001D35AA" w:rsidR="001D35AA">
        <w:t>of the spectrum manager leasing notifications</w:t>
      </w:r>
      <w:r w:rsidR="00C911B9">
        <w:t xml:space="preserve">, </w:t>
      </w:r>
      <w:r w:rsidRPr="00FB04CB" w:rsidR="00D17D59">
        <w:t>t</w:t>
      </w:r>
      <w:r w:rsidRPr="00FB04CB">
        <w:t xml:space="preserve">he total amount of spectrum suitable and available for the provision of mobile telephony/broadband services </w:t>
      </w:r>
      <w:r w:rsidRPr="00FB04CB" w:rsidR="00A44389">
        <w:t>was 715.5</w:t>
      </w:r>
      <w:r w:rsidRPr="00FB04CB">
        <w:t xml:space="preserve"> megahertz, </w:t>
      </w:r>
      <w:r w:rsidRPr="00FB04CB" w:rsidR="00D17D59">
        <w:t>with an associated</w:t>
      </w:r>
      <w:r w:rsidR="000D6F12">
        <w:t xml:space="preserve"> spectrum screen </w:t>
      </w:r>
      <w:r w:rsidRPr="00FB04CB" w:rsidR="00D17D59">
        <w:t xml:space="preserve">trigger of </w:t>
      </w:r>
      <w:r w:rsidRPr="00FB04CB" w:rsidR="00325C69">
        <w:t>240</w:t>
      </w:r>
      <w:r w:rsidRPr="00FB04CB">
        <w:t xml:space="preserve"> megahertz.</w:t>
      </w:r>
      <w:r>
        <w:rPr>
          <w:rStyle w:val="FootnoteReference"/>
        </w:rPr>
        <w:footnoteReference w:id="30"/>
      </w:r>
      <w:r>
        <w:t xml:space="preserve">  </w:t>
      </w:r>
      <w:r w:rsidR="00A104F8">
        <w:t>Finally, w</w:t>
      </w:r>
      <w:r w:rsidRPr="00053890">
        <w:t>e consider facilities-</w:t>
      </w:r>
      <w:r w:rsidRPr="00053890">
        <w:t>based entities providing mobile telephony/broadband services using</w:t>
      </w:r>
      <w:r>
        <w:t xml:space="preserve"> these spectrum bands </w:t>
      </w:r>
      <w:r w:rsidRPr="00053890">
        <w:t>to be market participants.</w:t>
      </w:r>
      <w:r>
        <w:rPr>
          <w:sz w:val="20"/>
          <w:szCs w:val="20"/>
          <w:vertAlign w:val="superscript"/>
        </w:rPr>
        <w:footnoteReference w:id="31"/>
      </w:r>
    </w:p>
    <w:p w:rsidR="001B3EF4" w:rsidP="005E0823" w14:paraId="59AF464E" w14:textId="75C931EE">
      <w:pPr>
        <w:pStyle w:val="ParaNum"/>
        <w:widowControl/>
        <w:tabs>
          <w:tab w:val="clear" w:pos="1080"/>
          <w:tab w:val="num" w:pos="1440"/>
          <w:tab w:val="num" w:pos="1620"/>
        </w:tabs>
        <w:autoSpaceDE/>
        <w:autoSpaceDN/>
      </w:pPr>
      <w:r>
        <w:rPr>
          <w:i/>
          <w:iCs/>
        </w:rPr>
        <w:t>Competitive Analysis</w:t>
      </w:r>
      <w:r w:rsidR="001F7EBC">
        <w:t xml:space="preserve">. </w:t>
      </w:r>
      <w:r w:rsidR="00AE0203">
        <w:t xml:space="preserve"> </w:t>
      </w:r>
      <w:r w:rsidRPr="004728C5" w:rsidR="004F7339">
        <w:t xml:space="preserve">T-Mobile would lease 10 to 30 megahertz of 600 MHz spectrum in 204 counties in all or parts of 64 </w:t>
      </w:r>
      <w:r w:rsidRPr="004728C5" w:rsidR="00646114">
        <w:t>cellular market areas (CMAs)</w:t>
      </w:r>
      <w:r w:rsidR="00A17F25">
        <w:t xml:space="preserve"> through these </w:t>
      </w:r>
      <w:r w:rsidR="001A2D2E">
        <w:t xml:space="preserve">two </w:t>
      </w:r>
      <w:r w:rsidR="00A17F25">
        <w:t>leasing arrangements</w:t>
      </w:r>
      <w:r w:rsidRPr="004728C5" w:rsidR="004F7339">
        <w:t xml:space="preserve">, </w:t>
      </w:r>
      <w:r w:rsidR="00553A84">
        <w:t xml:space="preserve">which together </w:t>
      </w:r>
      <w:r w:rsidRPr="004728C5" w:rsidR="004F7339">
        <w:t>cover approximately 32% of the population of the United States</w:t>
      </w:r>
      <w:r w:rsidRPr="00252C40" w:rsidR="004F7339">
        <w:t>.</w:t>
      </w:r>
      <w:r>
        <w:rPr>
          <w:rStyle w:val="FootnoteReference"/>
        </w:rPr>
        <w:footnoteReference w:id="32"/>
      </w:r>
      <w:r w:rsidRPr="00252C40" w:rsidR="004F7339">
        <w:t xml:space="preserve">  </w:t>
      </w:r>
      <w:r w:rsidR="00A17F25">
        <w:t>After the transactions</w:t>
      </w:r>
      <w:r w:rsidRPr="00252C40" w:rsidR="004F7339">
        <w:t xml:space="preserve">, T-Mobile would </w:t>
      </w:r>
      <w:r w:rsidR="005D7F6B">
        <w:t xml:space="preserve">be attributed with </w:t>
      </w:r>
      <w:r w:rsidR="004F7339">
        <w:t xml:space="preserve">a maximum of </w:t>
      </w:r>
      <w:r w:rsidRPr="00252C40" w:rsidR="004F7339">
        <w:t xml:space="preserve">362.5 megahertz of spectrum in the CMAs, including </w:t>
      </w:r>
      <w:r w:rsidR="004F7339">
        <w:t xml:space="preserve">a maximum of </w:t>
      </w:r>
      <w:r w:rsidRPr="00252C40" w:rsidR="004F7339">
        <w:t>76 megahertz of below-1-GHz spectrum.</w:t>
      </w:r>
      <w:r>
        <w:rPr>
          <w:rStyle w:val="FootnoteReference"/>
        </w:rPr>
        <w:footnoteReference w:id="33"/>
      </w:r>
      <w:r w:rsidR="00646114">
        <w:t xml:space="preserve"> </w:t>
      </w:r>
      <w:r w:rsidR="00EE6906">
        <w:t xml:space="preserve"> </w:t>
      </w:r>
      <w:r w:rsidR="000D074D">
        <w:t>We therefore</w:t>
      </w:r>
      <w:r w:rsidR="003474F1">
        <w:t xml:space="preserve"> evaluated both its total spectrum holdings, as well as </w:t>
      </w:r>
      <w:r w:rsidR="00AC2B39">
        <w:t xml:space="preserve">undertook </w:t>
      </w:r>
      <w:r w:rsidR="003474F1">
        <w:t>enhanced factor review.</w:t>
      </w:r>
    </w:p>
    <w:p w:rsidR="00655CCC" w:rsidP="00462D38" w14:paraId="3FCDD3B8" w14:textId="428D6EE6">
      <w:pPr>
        <w:pStyle w:val="ParaNum"/>
        <w:widowControl/>
        <w:tabs>
          <w:tab w:val="clear" w:pos="1080"/>
          <w:tab w:val="num" w:pos="1440"/>
          <w:tab w:val="num" w:pos="1620"/>
        </w:tabs>
        <w:autoSpaceDE/>
        <w:autoSpaceDN/>
      </w:pPr>
      <w:r>
        <w:t xml:space="preserve">As an initial matter, </w:t>
      </w:r>
      <w:r w:rsidR="006255F7">
        <w:t>we note that</w:t>
      </w:r>
      <w:r>
        <w:t xml:space="preserve"> </w:t>
      </w:r>
      <w:r w:rsidRPr="00444FFC">
        <w:t xml:space="preserve">neither </w:t>
      </w:r>
      <w:r>
        <w:t>l</w:t>
      </w:r>
      <w:r w:rsidRPr="00444FFC">
        <w:t xml:space="preserve">essor currently provides services to end-user customers on the </w:t>
      </w:r>
      <w:r>
        <w:t>l</w:t>
      </w:r>
      <w:r w:rsidRPr="00444FFC">
        <w:t xml:space="preserve">eased </w:t>
      </w:r>
      <w:r>
        <w:t>s</w:t>
      </w:r>
      <w:r w:rsidRPr="00444FFC">
        <w:t>pectrum</w:t>
      </w:r>
      <w:r>
        <w:t>; thus</w:t>
      </w:r>
      <w:r w:rsidRPr="00444FFC">
        <w:t xml:space="preserve">, </w:t>
      </w:r>
      <w:r w:rsidR="00A5240D">
        <w:t xml:space="preserve">as </w:t>
      </w:r>
      <w:r>
        <w:t xml:space="preserve">Applicants explain, </w:t>
      </w:r>
      <w:r w:rsidRPr="00444FFC">
        <w:t xml:space="preserve">there </w:t>
      </w:r>
      <w:r>
        <w:t>would</w:t>
      </w:r>
      <w:r w:rsidRPr="00444FFC">
        <w:t xml:space="preserve"> be no discontinuance, reduction, loss</w:t>
      </w:r>
      <w:r>
        <w:t>,</w:t>
      </w:r>
      <w:r w:rsidRPr="00444FFC">
        <w:t xml:space="preserve"> or impairment of service to end-user customers and </w:t>
      </w:r>
      <w:r w:rsidRPr="00882119" w:rsidR="00882119">
        <w:t xml:space="preserve">no loss of an existing service provider </w:t>
      </w:r>
      <w:r w:rsidRPr="00444FFC">
        <w:t xml:space="preserve">in any </w:t>
      </w:r>
      <w:r>
        <w:t>market</w:t>
      </w:r>
      <w:r w:rsidR="00A5240D">
        <w:t xml:space="preserve"> as a result of the leases</w:t>
      </w:r>
      <w:r w:rsidRPr="00444FFC">
        <w:t>.</w:t>
      </w:r>
      <w:r>
        <w:rPr>
          <w:rStyle w:val="FootnoteReference"/>
        </w:rPr>
        <w:footnoteReference w:id="34"/>
      </w:r>
      <w:r>
        <w:t xml:space="preserve">  </w:t>
      </w:r>
      <w:r w:rsidR="008E458F">
        <w:t xml:space="preserve">The </w:t>
      </w:r>
      <w:r w:rsidR="00D62996">
        <w:t xml:space="preserve">Applicants </w:t>
      </w:r>
      <w:r w:rsidR="00A5240D">
        <w:t xml:space="preserve">additionally </w:t>
      </w:r>
      <w:r>
        <w:t xml:space="preserve">note that </w:t>
      </w:r>
      <w:r w:rsidR="00D62996">
        <w:t xml:space="preserve">T-Mobile </w:t>
      </w:r>
      <w:r>
        <w:t>will remain below the applicable limit for low-band spectrum holdings in 88% of the counties covered by the leasing arrangements, even when taking into account overlapping Sprint spectrum.</w:t>
      </w:r>
      <w:r>
        <w:rPr>
          <w:rStyle w:val="FootnoteReference"/>
        </w:rPr>
        <w:footnoteReference w:id="35"/>
      </w:r>
      <w:r>
        <w:t xml:space="preserve">  </w:t>
      </w:r>
    </w:p>
    <w:p w:rsidR="00F33151" w:rsidP="00A5240D" w14:paraId="6C2C4D86" w14:textId="0149D31F">
      <w:pPr>
        <w:pStyle w:val="ParaNum"/>
        <w:widowControl/>
        <w:tabs>
          <w:tab w:val="clear" w:pos="1080"/>
          <w:tab w:val="num" w:pos="1440"/>
          <w:tab w:val="num" w:pos="1620"/>
        </w:tabs>
        <w:autoSpaceDE/>
        <w:autoSpaceDN/>
      </w:pPr>
      <w:r>
        <w:t>Moreover,</w:t>
      </w:r>
      <w:r w:rsidR="00655CCC">
        <w:t xml:space="preserve"> </w:t>
      </w:r>
      <w:r>
        <w:t>d</w:t>
      </w:r>
      <w:r w:rsidRPr="00595F3F">
        <w:t xml:space="preserve">uring the </w:t>
      </w:r>
      <w:r w:rsidRPr="00A8407A">
        <w:t xml:space="preserve">past </w:t>
      </w:r>
      <w:r w:rsidRPr="00A8407A" w:rsidR="00F11D6E">
        <w:t>four</w:t>
      </w:r>
      <w:r w:rsidRPr="00A8407A">
        <w:t xml:space="preserve"> years, </w:t>
      </w:r>
      <w:r w:rsidRPr="00DC1B15">
        <w:t xml:space="preserve">the Commission has made available—or is </w:t>
      </w:r>
      <w:r w:rsidRPr="00C06D10">
        <w:t xml:space="preserve">in the process of </w:t>
      </w:r>
      <w:r w:rsidRPr="00DB64FD">
        <w:t>making available</w:t>
      </w:r>
      <w:r w:rsidR="00C7777A">
        <w:t>—</w:t>
      </w:r>
      <w:r w:rsidRPr="00915B91">
        <w:t xml:space="preserve">over 5 gigahertz </w:t>
      </w:r>
      <w:r w:rsidRPr="00595F3F">
        <w:t xml:space="preserve">of </w:t>
      </w:r>
      <w:r w:rsidRPr="00DC1B15" w:rsidR="00F11D6E">
        <w:t xml:space="preserve">additional </w:t>
      </w:r>
      <w:r w:rsidRPr="00C06D10">
        <w:t xml:space="preserve">spectrum for </w:t>
      </w:r>
      <w:r w:rsidRPr="00C06D10" w:rsidR="00F11D6E">
        <w:t>flexible</w:t>
      </w:r>
      <w:r w:rsidRPr="00DB64FD">
        <w:t xml:space="preserve"> use in the low-, mid-, and high-bands.  </w:t>
      </w:r>
      <w:r w:rsidR="008604AD">
        <w:t>For example</w:t>
      </w:r>
      <w:r w:rsidRPr="00DB64FD">
        <w:t xml:space="preserve">, the Commission has made 70 megahertz available for licensed </w:t>
      </w:r>
      <w:r w:rsidRPr="00827215" w:rsidR="00947765">
        <w:t>f</w:t>
      </w:r>
      <w:r w:rsidRPr="000E4906" w:rsidR="00947765">
        <w:t xml:space="preserve">lexible </w:t>
      </w:r>
      <w:r w:rsidRPr="000E4906">
        <w:t xml:space="preserve">use in the 600 MHz band </w:t>
      </w:r>
      <w:r w:rsidRPr="000E4906" w:rsidR="002308BB">
        <w:t>through</w:t>
      </w:r>
      <w:r w:rsidRPr="000E4906">
        <w:t xml:space="preserve"> the broadcast incentive auction.</w:t>
      </w:r>
      <w:r>
        <w:rPr>
          <w:rStyle w:val="FootnoteReference"/>
        </w:rPr>
        <w:footnoteReference w:id="36"/>
      </w:r>
      <w:r>
        <w:t xml:space="preserve">  </w:t>
      </w:r>
      <w:r w:rsidR="008604AD">
        <w:t>T</w:t>
      </w:r>
      <w:r>
        <w:t xml:space="preserve">he Commission </w:t>
      </w:r>
      <w:r w:rsidR="00A5240D">
        <w:rPr>
          <w:snapToGrid w:val="0"/>
          <w:kern w:val="28"/>
          <w:szCs w:val="20"/>
        </w:rPr>
        <w:t xml:space="preserve">recently </w:t>
      </w:r>
      <w:r w:rsidRPr="005D4EC8" w:rsidR="00A5240D">
        <w:rPr>
          <w:snapToGrid w:val="0"/>
          <w:kern w:val="28"/>
          <w:szCs w:val="20"/>
        </w:rPr>
        <w:t>auction</w:t>
      </w:r>
      <w:r w:rsidR="00A5240D">
        <w:rPr>
          <w:snapToGrid w:val="0"/>
          <w:kern w:val="28"/>
          <w:szCs w:val="20"/>
        </w:rPr>
        <w:t>ed</w:t>
      </w:r>
      <w:r w:rsidRPr="005D4EC8" w:rsidR="00A5240D">
        <w:rPr>
          <w:snapToGrid w:val="0"/>
          <w:kern w:val="28"/>
          <w:szCs w:val="20"/>
        </w:rPr>
        <w:t xml:space="preserve"> </w:t>
      </w:r>
      <w:r w:rsidR="00A5240D">
        <w:rPr>
          <w:snapToGrid w:val="0"/>
          <w:kern w:val="28"/>
          <w:szCs w:val="20"/>
        </w:rPr>
        <w:t>70</w:t>
      </w:r>
      <w:r w:rsidRPr="005D4EC8" w:rsidR="00A5240D">
        <w:rPr>
          <w:snapToGrid w:val="0"/>
          <w:kern w:val="28"/>
          <w:szCs w:val="20"/>
        </w:rPr>
        <w:t xml:space="preserve"> megahertz of spectrum </w:t>
      </w:r>
      <w:r w:rsidR="00A5240D">
        <w:rPr>
          <w:snapToGrid w:val="0"/>
          <w:kern w:val="28"/>
          <w:szCs w:val="20"/>
        </w:rPr>
        <w:t>in the 3.5 GHz band through</w:t>
      </w:r>
      <w:r w:rsidRPr="005D4EC8" w:rsidR="00A5240D">
        <w:rPr>
          <w:snapToGrid w:val="0"/>
          <w:kern w:val="28"/>
          <w:szCs w:val="20"/>
        </w:rPr>
        <w:t xml:space="preserve"> Priority Access Licenses.</w:t>
      </w:r>
      <w:r>
        <w:rPr>
          <w:snapToGrid w:val="0"/>
          <w:kern w:val="28"/>
          <w:sz w:val="20"/>
          <w:szCs w:val="20"/>
          <w:vertAlign w:val="superscript"/>
        </w:rPr>
        <w:footnoteReference w:id="37"/>
      </w:r>
      <w:r w:rsidR="00A5240D">
        <w:rPr>
          <w:snapToGrid w:val="0"/>
          <w:kern w:val="28"/>
          <w:szCs w:val="20"/>
        </w:rPr>
        <w:t xml:space="preserve">  The 70 megahertz of </w:t>
      </w:r>
      <w:r w:rsidR="00A5240D">
        <w:rPr>
          <w:snapToGrid w:val="0"/>
          <w:kern w:val="28"/>
          <w:szCs w:val="20"/>
        </w:rPr>
        <w:t xml:space="preserve">Priority Access Licenses spectrum is part of the larger 150 megahertz of spectrum in the 3.5 GHz band available for use through an innovative, three-tiered licensing framework.  The Commission </w:t>
      </w:r>
      <w:r w:rsidR="00A5240D">
        <w:t>has also freed-up additional rural 2.5 GHz spectrum for mobile wireless use—the largest swath of contiguous spectrum in the country below 3 GHz.</w:t>
      </w:r>
      <w:r>
        <w:rPr>
          <w:rStyle w:val="FootnoteReference"/>
        </w:rPr>
        <w:footnoteReference w:id="38"/>
      </w:r>
      <w:r w:rsidR="00A5240D">
        <w:t xml:space="preserve">  In February 2020, the Commission adopted an order to make 280 megahertz of the 3.7-4.2 GHz band (C-band) available</w:t>
      </w:r>
      <w:r w:rsidRPr="003D7EE2" w:rsidR="00A5240D">
        <w:t xml:space="preserve"> </w:t>
      </w:r>
      <w:r w:rsidR="00A5240D">
        <w:t>via competitive bidding, which will begin in December 2020.</w:t>
      </w:r>
      <w:r>
        <w:rPr>
          <w:rFonts w:eastAsia="Calibri"/>
          <w:snapToGrid w:val="0"/>
          <w:kern w:val="28"/>
          <w:sz w:val="20"/>
          <w:szCs w:val="20"/>
          <w:vertAlign w:val="superscript"/>
        </w:rPr>
        <w:footnoteReference w:id="39"/>
      </w:r>
      <w:r w:rsidR="00A5240D">
        <w:rPr>
          <w:snapToGrid w:val="0"/>
          <w:kern w:val="28"/>
          <w:szCs w:val="20"/>
        </w:rPr>
        <w:t xml:space="preserve">  </w:t>
      </w:r>
      <w:r>
        <w:t>Following the C-Band auction, the amount of “suitable and available” spectrum will increase to 1</w:t>
      </w:r>
      <w:r w:rsidR="00A5240D">
        <w:t>,</w:t>
      </w:r>
      <w:r>
        <w:t>023 megahertz.</w:t>
      </w:r>
      <w:r>
        <w:rPr>
          <w:rStyle w:val="FootnoteReference"/>
        </w:rPr>
        <w:footnoteReference w:id="40"/>
      </w:r>
      <w:r>
        <w:t xml:space="preserve">  </w:t>
      </w:r>
      <w:r w:rsidR="00A5240D">
        <w:t>In addition</w:t>
      </w:r>
      <w:r>
        <w:t>, the Commission has proposed</w:t>
      </w:r>
      <w:r w:rsidRPr="00A5240D">
        <w:rPr>
          <w:rFonts w:eastAsia="Calibri"/>
        </w:rPr>
        <w:t xml:space="preserve"> to make 100 megahertz of spectrum in the 3.45-3.55 GHz band available for flexible use</w:t>
      </w:r>
      <w:r w:rsidR="000632E5">
        <w:rPr>
          <w:rFonts w:eastAsia="Calibri"/>
        </w:rPr>
        <w:t>,</w:t>
      </w:r>
      <w:r>
        <w:rPr>
          <w:rStyle w:val="FootnoteReference"/>
          <w:rFonts w:eastAsia="Calibri"/>
        </w:rPr>
        <w:footnoteReference w:id="41"/>
      </w:r>
      <w:r w:rsidR="000632E5">
        <w:rPr>
          <w:rFonts w:eastAsia="Calibri"/>
        </w:rPr>
        <w:t xml:space="preserve"> and it has adopted rules permitting expanded us</w:t>
      </w:r>
      <w:r w:rsidRPr="00714A7F" w:rsidR="00714A7F">
        <w:rPr>
          <w:rFonts w:eastAsia="Calibri"/>
        </w:rPr>
        <w:t>e</w:t>
      </w:r>
      <w:r w:rsidR="000632E5">
        <w:rPr>
          <w:rFonts w:eastAsia="Calibri"/>
        </w:rPr>
        <w:t xml:space="preserve"> of 50 megahertz of previously underutilized spectrum in the 4.9 GHz band.</w:t>
      </w:r>
      <w:r>
        <w:rPr>
          <w:rStyle w:val="FootnoteReference"/>
          <w:rFonts w:eastAsia="Calibri"/>
        </w:rPr>
        <w:footnoteReference w:id="42"/>
      </w:r>
      <w:r w:rsidRPr="00A5240D">
        <w:rPr>
          <w:rFonts w:eastAsia="Calibri"/>
        </w:rPr>
        <w:t xml:space="preserve">  </w:t>
      </w:r>
      <w:r w:rsidR="008604AD">
        <w:t>T</w:t>
      </w:r>
      <w:r w:rsidRPr="00096C14">
        <w:t xml:space="preserve">he Commission has </w:t>
      </w:r>
      <w:r w:rsidR="00E7120A">
        <w:t xml:space="preserve">also </w:t>
      </w:r>
      <w:r w:rsidRPr="00096C14">
        <w:t xml:space="preserve">conducted three auctions to make </w:t>
      </w:r>
      <w:r w:rsidR="00AA0FB3">
        <w:t>4</w:t>
      </w:r>
      <w:r w:rsidR="00E83E52">
        <w:t>,</w:t>
      </w:r>
      <w:r w:rsidR="00AA0FB3">
        <w:t>950 megahertz</w:t>
      </w:r>
      <w:r w:rsidRPr="00096C14" w:rsidR="00AA0FB3">
        <w:t xml:space="preserve"> of </w:t>
      </w:r>
      <w:r w:rsidRPr="00096C14">
        <w:t>millimeter-wave spectrum available to mobile providers for licensed use.</w:t>
      </w:r>
      <w:r>
        <w:rPr>
          <w:vertAlign w:val="superscript"/>
        </w:rPr>
        <w:footnoteReference w:id="43"/>
      </w:r>
      <w:r w:rsidR="00655CCC">
        <w:t xml:space="preserve">  I</w:t>
      </w:r>
      <w:r w:rsidRPr="0089408F" w:rsidR="00655CCC">
        <w:t xml:space="preserve">n light of the Commission’s ongoing efforts </w:t>
      </w:r>
      <w:r w:rsidR="00655CCC">
        <w:t>to increase the total supply of spectrum that it allocates and licenses for mobile broadband use,</w:t>
      </w:r>
      <w:r>
        <w:rPr>
          <w:rStyle w:val="FootnoteReference"/>
        </w:rPr>
        <w:footnoteReference w:id="44"/>
      </w:r>
      <w:r w:rsidR="00655CCC">
        <w:t xml:space="preserve"> we find it </w:t>
      </w:r>
      <w:r w:rsidR="00717BCF">
        <w:t xml:space="preserve">highly </w:t>
      </w:r>
      <w:r w:rsidR="00655CCC">
        <w:t xml:space="preserve">unlikely that T-Mobile’s </w:t>
      </w:r>
      <w:r w:rsidR="00234873">
        <w:t xml:space="preserve">additional </w:t>
      </w:r>
      <w:r w:rsidR="00655CCC">
        <w:t xml:space="preserve">aggregation of 10 to 30 megahertz of spectrum will foreclose entry into the market or </w:t>
      </w:r>
      <w:r w:rsidR="00504CF0">
        <w:t>raise</w:t>
      </w:r>
      <w:r w:rsidR="00655CCC">
        <w:t xml:space="preserve"> rivals’ costs.  </w:t>
      </w:r>
    </w:p>
    <w:p w:rsidR="004F0997" w:rsidP="006179F1" w14:paraId="4F8A476B" w14:textId="31475D13">
      <w:pPr>
        <w:pStyle w:val="ParaNum"/>
        <w:widowControl/>
        <w:tabs>
          <w:tab w:val="clear" w:pos="1080"/>
          <w:tab w:val="num" w:pos="1440"/>
          <w:tab w:val="num" w:pos="1620"/>
        </w:tabs>
        <w:autoSpaceDE/>
        <w:autoSpaceDN/>
      </w:pPr>
      <w:r>
        <w:t>In any event, the Applicants note that t</w:t>
      </w:r>
      <w:r w:rsidRPr="00E03DC8">
        <w:t xml:space="preserve">here are numerous other </w:t>
      </w:r>
      <w:r w:rsidR="00046635">
        <w:t>service providers</w:t>
      </w:r>
      <w:r w:rsidRPr="00E03DC8">
        <w:t xml:space="preserve"> serving </w:t>
      </w:r>
      <w:r>
        <w:t>these markets,</w:t>
      </w:r>
      <w:r w:rsidRPr="00E03DC8">
        <w:t xml:space="preserve"> which </w:t>
      </w:r>
      <w:r>
        <w:t>would</w:t>
      </w:r>
      <w:r w:rsidRPr="00E03DC8">
        <w:t xml:space="preserve"> ensure that a high degree of competition continues to exist.</w:t>
      </w:r>
      <w:r>
        <w:rPr>
          <w:rStyle w:val="FootnoteReference"/>
        </w:rPr>
        <w:footnoteReference w:id="45"/>
      </w:r>
      <w:r>
        <w:t xml:space="preserve">  The Applicants argue further that rival service providers have competitive coverage and access to spectrum in these markets.</w:t>
      </w:r>
      <w:r>
        <w:rPr>
          <w:rStyle w:val="FootnoteReference"/>
        </w:rPr>
        <w:footnoteReference w:id="46"/>
      </w:r>
      <w:r>
        <w:t xml:space="preserve">  </w:t>
      </w:r>
      <w:r w:rsidR="00F46733">
        <w:t xml:space="preserve">Specifically, both AT&amp;T and Verizon have robust coverage in areas where T-Mobile will exceed the screen.  AT&amp;T, Verizon, and DISH, as well as other entities, hold spectrum licenses in some or all of the markets covered by the </w:t>
      </w:r>
      <w:r w:rsidR="000E6EDD">
        <w:t xml:space="preserve">proposed </w:t>
      </w:r>
      <w:r w:rsidR="00F46733">
        <w:t xml:space="preserve">leases.  </w:t>
      </w:r>
      <w:r w:rsidR="00655CCC">
        <w:t xml:space="preserve"> </w:t>
      </w:r>
    </w:p>
    <w:p w:rsidR="00646114" w:rsidP="006179F1" w14:paraId="00C0A476" w14:textId="1AF0DB05">
      <w:pPr>
        <w:pStyle w:val="ParaNum"/>
        <w:widowControl/>
        <w:tabs>
          <w:tab w:val="clear" w:pos="1080"/>
          <w:tab w:val="num" w:pos="1440"/>
          <w:tab w:val="num" w:pos="1620"/>
        </w:tabs>
        <w:autoSpaceDE/>
        <w:autoSpaceDN/>
      </w:pPr>
      <w:r>
        <w:t xml:space="preserve">Accordingly, even though the leasing arrangements </w:t>
      </w:r>
      <w:r w:rsidR="00F52993">
        <w:t>increase</w:t>
      </w:r>
      <w:r>
        <w:t xml:space="preserve"> T</w:t>
      </w:r>
      <w:r w:rsidR="005262B4">
        <w:noBreakHyphen/>
      </w:r>
      <w:r>
        <w:t xml:space="preserve">Mobile’s spectrum holdings above the screen </w:t>
      </w:r>
      <w:r w:rsidR="00F52993">
        <w:t xml:space="preserve">(or newly trigger the screen) </w:t>
      </w:r>
      <w:r>
        <w:t xml:space="preserve">in </w:t>
      </w:r>
      <w:r w:rsidR="00F52993">
        <w:t>the relevant</w:t>
      </w:r>
      <w:r>
        <w:t xml:space="preserve"> markets, we agree with the Applicants </w:t>
      </w:r>
      <w:r w:rsidRPr="00CA24DC">
        <w:t>that the proposed leasing arrangement</w:t>
      </w:r>
      <w:r>
        <w:t>s</w:t>
      </w:r>
      <w:r w:rsidRPr="00CA24DC">
        <w:t xml:space="preserve"> </w:t>
      </w:r>
      <w:r>
        <w:t xml:space="preserve">do </w:t>
      </w:r>
      <w:r w:rsidRPr="00CA24DC">
        <w:t xml:space="preserve">not raise any </w:t>
      </w:r>
      <w:r>
        <w:t xml:space="preserve">particular </w:t>
      </w:r>
      <w:r w:rsidRPr="00CA24DC">
        <w:t>competitive or other public interest concerns</w:t>
      </w:r>
      <w:r>
        <w:t>.</w:t>
      </w:r>
      <w:r>
        <w:rPr>
          <w:rStyle w:val="FootnoteReference"/>
        </w:rPr>
        <w:footnoteReference w:id="47"/>
      </w:r>
      <w:r>
        <w:t xml:space="preserve">  </w:t>
      </w:r>
      <w:r w:rsidR="00860C4E">
        <w:t xml:space="preserve">Overall, given current spectrum holdings of rival service providers, including their holdings of </w:t>
      </w:r>
      <w:r w:rsidRPr="001D35AA" w:rsidR="001D35AA">
        <w:t xml:space="preserve">millimeter-wave </w:t>
      </w:r>
      <w:r w:rsidR="00860C4E">
        <w:t>spectrum, as well as the spectrum coming online in the near future</w:t>
      </w:r>
      <w:r w:rsidR="00717BCF">
        <w:t xml:space="preserve"> (not to mention the 1,245 megahertz of additional unlicensed mid-band spectrum the Commission has recently made available)</w:t>
      </w:r>
      <w:r w:rsidR="00860C4E">
        <w:t xml:space="preserve">, we find it unlikely that rival service providers or potential entrants </w:t>
      </w:r>
      <w:r w:rsidRPr="009D514C" w:rsidR="00860C4E">
        <w:t xml:space="preserve">will </w:t>
      </w:r>
      <w:r w:rsidR="00860C4E">
        <w:t>be foreclosed from expanding capacity, deploying mobile broadband technologies, or entering the market, notwithstanding T</w:t>
      </w:r>
      <w:r w:rsidR="0040322B">
        <w:noBreakHyphen/>
      </w:r>
      <w:r w:rsidR="00860C4E">
        <w:t xml:space="preserve">Mobile’s </w:t>
      </w:r>
      <w:r w:rsidR="007865D0">
        <w:t xml:space="preserve">post-transaction attributable </w:t>
      </w:r>
      <w:r w:rsidR="00860C4E">
        <w:t>spectrum holdings</w:t>
      </w:r>
      <w:r w:rsidRPr="009550E5" w:rsidR="00860C4E">
        <w:t xml:space="preserve"> under these leasing arrangements</w:t>
      </w:r>
      <w:r w:rsidR="00860C4E">
        <w:t>.</w:t>
      </w:r>
      <w:r>
        <w:rPr>
          <w:rStyle w:val="FootnoteReference"/>
        </w:rPr>
        <w:footnoteReference w:id="48"/>
      </w:r>
    </w:p>
    <w:p w:rsidR="00E934C9" w:rsidP="00392DBD" w14:paraId="5AB3AB90" w14:textId="571371FE">
      <w:pPr>
        <w:pStyle w:val="ParaNum"/>
        <w:widowControl/>
        <w:tabs>
          <w:tab w:val="clear" w:pos="1080"/>
          <w:tab w:val="num" w:pos="1440"/>
          <w:tab w:val="num" w:pos="1620"/>
        </w:tabs>
        <w:autoSpaceDE/>
        <w:autoSpaceDN/>
      </w:pPr>
      <w:r>
        <w:t xml:space="preserve">We find that the leasing arrangements will provide substantial public interest benefits.  </w:t>
      </w:r>
      <w:r w:rsidR="004F7339">
        <w:t>We agree with t</w:t>
      </w:r>
      <w:r w:rsidRPr="00252C40" w:rsidR="00147FD6">
        <w:t xml:space="preserve">he Applicants that </w:t>
      </w:r>
      <w:r w:rsidR="00147FD6">
        <w:t xml:space="preserve">approval of the spectrum manager leases </w:t>
      </w:r>
      <w:r w:rsidR="006002B6">
        <w:t>would</w:t>
      </w:r>
      <w:r w:rsidR="00147FD6">
        <w:t xml:space="preserve"> provide </w:t>
      </w:r>
      <w:r w:rsidRPr="00252C40" w:rsidR="00147FD6">
        <w:t xml:space="preserve">immediate access to between 10 and 30 megahertz of additional 600 MHz spectrum for up to three years </w:t>
      </w:r>
      <w:r w:rsidR="00147FD6">
        <w:t>to</w:t>
      </w:r>
      <w:r w:rsidRPr="00252C40" w:rsidR="00147FD6">
        <w:t xml:space="preserve"> promote T-Mobile’s rapid buildout of its 5G network</w:t>
      </w:r>
      <w:r w:rsidR="00147FD6">
        <w:t>.</w:t>
      </w:r>
      <w:r>
        <w:rPr>
          <w:rStyle w:val="FootnoteReference"/>
        </w:rPr>
        <w:footnoteReference w:id="49"/>
      </w:r>
      <w:r w:rsidR="00147FD6">
        <w:t xml:space="preserve">  </w:t>
      </w:r>
      <w:r>
        <w:t xml:space="preserve">We find that the spectrum </w:t>
      </w:r>
      <w:r w:rsidRPr="00251FF3">
        <w:t xml:space="preserve">leasing arrangements </w:t>
      </w:r>
      <w:r>
        <w:t>would</w:t>
      </w:r>
      <w:r w:rsidRPr="00251FF3">
        <w:t xml:space="preserve"> serve the </w:t>
      </w:r>
      <w:r>
        <w:t xml:space="preserve">public interest by </w:t>
      </w:r>
      <w:r w:rsidRPr="00251FF3">
        <w:t xml:space="preserve">allowing T-Mobile to </w:t>
      </w:r>
      <w:r>
        <w:t>put into use spectrum that previously lay fallow.</w:t>
      </w:r>
      <w:r>
        <w:rPr>
          <w:rStyle w:val="FootnoteReference"/>
        </w:rPr>
        <w:footnoteReference w:id="50"/>
      </w:r>
      <w:r>
        <w:t xml:space="preserve">  </w:t>
      </w:r>
    </w:p>
    <w:p w:rsidR="00537262" w:rsidP="00392DBD" w14:paraId="0BF1E2FC" w14:textId="1F4FB3D2">
      <w:pPr>
        <w:pStyle w:val="ParaNum"/>
        <w:widowControl/>
        <w:tabs>
          <w:tab w:val="clear" w:pos="1080"/>
          <w:tab w:val="num" w:pos="1440"/>
          <w:tab w:val="num" w:pos="1620"/>
        </w:tabs>
        <w:autoSpaceDE/>
        <w:autoSpaceDN/>
      </w:pPr>
      <w:r>
        <w:t>We agree with t</w:t>
      </w:r>
      <w:r w:rsidR="007A49C1">
        <w:t xml:space="preserve">he Applicants that the added spectrum </w:t>
      </w:r>
      <w:r w:rsidR="00B23011">
        <w:t>would</w:t>
      </w:r>
      <w:r w:rsidR="007A49C1">
        <w:t xml:space="preserve"> result in enhanced competition and consumer benefits.</w:t>
      </w:r>
      <w:r>
        <w:rPr>
          <w:rStyle w:val="FootnoteReference"/>
        </w:rPr>
        <w:footnoteReference w:id="51"/>
      </w:r>
      <w:r w:rsidR="00F24CB4">
        <w:t xml:space="preserve"> </w:t>
      </w:r>
      <w:r w:rsidR="007A49C1">
        <w:t xml:space="preserve"> In particular, </w:t>
      </w:r>
      <w:bookmarkStart w:id="6" w:name="_Hlk53992726"/>
      <w:r w:rsidR="00043685">
        <w:t>the</w:t>
      </w:r>
      <w:r w:rsidR="007A49C1">
        <w:t xml:space="preserve"> added spectrum </w:t>
      </w:r>
      <w:r w:rsidR="00AC3D9D">
        <w:t>would</w:t>
      </w:r>
      <w:r w:rsidR="007A49C1">
        <w:t xml:space="preserve"> permit T-Mobile to launch</w:t>
      </w:r>
      <w:r w:rsidR="004768DC">
        <w:t xml:space="preserve">, </w:t>
      </w:r>
      <w:r w:rsidR="007A49C1">
        <w:t>enhance</w:t>
      </w:r>
      <w:r w:rsidR="00AB72CC">
        <w:t>,</w:t>
      </w:r>
      <w:r w:rsidR="004768DC">
        <w:t xml:space="preserve"> or expand</w:t>
      </w:r>
      <w:r w:rsidR="007A49C1">
        <w:t xml:space="preserve"> its </w:t>
      </w:r>
      <w:r w:rsidR="00F15982">
        <w:t>Long-Term Evolution (</w:t>
      </w:r>
      <w:r w:rsidR="007A49C1">
        <w:t>LTE</w:t>
      </w:r>
      <w:r w:rsidR="00F15982">
        <w:t>)</w:t>
      </w:r>
      <w:r w:rsidR="007A49C1">
        <w:t xml:space="preserve"> and 5G N</w:t>
      </w:r>
      <w:r w:rsidR="00F15982">
        <w:t xml:space="preserve">ew </w:t>
      </w:r>
      <w:r w:rsidR="007A49C1">
        <w:t>R</w:t>
      </w:r>
      <w:r w:rsidR="00F15982">
        <w:t>adio (NR)</w:t>
      </w:r>
      <w:r w:rsidR="007A49C1">
        <w:t xml:space="preserve"> network capacity</w:t>
      </w:r>
      <w:bookmarkEnd w:id="6"/>
      <w:r w:rsidR="00CB3122">
        <w:t xml:space="preserve"> in these geographic markets</w:t>
      </w:r>
      <w:r w:rsidR="007A49C1">
        <w:t>.</w:t>
      </w:r>
      <w:r>
        <w:rPr>
          <w:rStyle w:val="FootnoteReference"/>
        </w:rPr>
        <w:footnoteReference w:id="52"/>
      </w:r>
      <w:r w:rsidR="00FB5249">
        <w:t xml:space="preserve"> </w:t>
      </w:r>
      <w:r w:rsidR="00653CE0">
        <w:t xml:space="preserve"> </w:t>
      </w:r>
      <w:r w:rsidR="00B51162">
        <w:t>T</w:t>
      </w:r>
      <w:r w:rsidR="002D6C75">
        <w:t>he</w:t>
      </w:r>
      <w:r w:rsidR="00FB5249">
        <w:t xml:space="preserve"> Applicants </w:t>
      </w:r>
      <w:r w:rsidR="00CB3122">
        <w:t xml:space="preserve">explain </w:t>
      </w:r>
      <w:r w:rsidR="00FB5249">
        <w:t>that t</w:t>
      </w:r>
      <w:r w:rsidRPr="00537262" w:rsidR="00FB5249">
        <w:t xml:space="preserve">he additional spectrum </w:t>
      </w:r>
      <w:r w:rsidR="00B23011">
        <w:t xml:space="preserve">would </w:t>
      </w:r>
      <w:r w:rsidRPr="00537262" w:rsidR="00FB5249">
        <w:t xml:space="preserve">enable increased LTE service on a temporary basis to accommodate traffic loading and provide coverage infills for Sprint customers with </w:t>
      </w:r>
      <w:r w:rsidR="007B34F3">
        <w:t>compatible</w:t>
      </w:r>
      <w:r w:rsidRPr="00537262" w:rsidR="007B34F3">
        <w:t xml:space="preserve"> </w:t>
      </w:r>
      <w:r w:rsidRPr="00537262" w:rsidR="00FB5249">
        <w:t>LTE band 71 devices.</w:t>
      </w:r>
      <w:r>
        <w:rPr>
          <w:rStyle w:val="FootnoteReference"/>
        </w:rPr>
        <w:footnoteReference w:id="53"/>
      </w:r>
      <w:r w:rsidR="00A54FA1">
        <w:t xml:space="preserve"> </w:t>
      </w:r>
      <w:r w:rsidR="00CB3122">
        <w:t xml:space="preserve"> </w:t>
      </w:r>
      <w:r w:rsidR="002D6C75">
        <w:t>Accordingly, w</w:t>
      </w:r>
      <w:r w:rsidR="00CB3122">
        <w:t xml:space="preserve">e agree with Applicants that </w:t>
      </w:r>
      <w:r w:rsidR="00CB3122">
        <w:t>c</w:t>
      </w:r>
      <w:r w:rsidRPr="00D96728" w:rsidR="00CB3122">
        <w:t xml:space="preserve">onsumers in </w:t>
      </w:r>
      <w:r w:rsidR="00CB3122">
        <w:t>these CMAs</w:t>
      </w:r>
      <w:r w:rsidRPr="00D96728" w:rsidR="00CB3122">
        <w:t xml:space="preserve"> </w:t>
      </w:r>
      <w:r w:rsidR="00CB3122">
        <w:t>may</w:t>
      </w:r>
      <w:r w:rsidRPr="00D96728" w:rsidR="00CB3122">
        <w:t xml:space="preserve"> benefit from the increased reach of </w:t>
      </w:r>
      <w:r w:rsidR="00CB3122">
        <w:t xml:space="preserve">this </w:t>
      </w:r>
      <w:r w:rsidRPr="00D96728" w:rsidR="00CB3122">
        <w:t>low-band spectrum</w:t>
      </w:r>
      <w:r w:rsidR="00CB3122">
        <w:t xml:space="preserve">, which should </w:t>
      </w:r>
      <w:r w:rsidRPr="00D96728" w:rsidR="00CB3122">
        <w:t>enhance</w:t>
      </w:r>
      <w:r w:rsidR="00CB3122">
        <w:t xml:space="preserve"> network</w:t>
      </w:r>
      <w:r w:rsidRPr="00D96728" w:rsidR="00CB3122">
        <w:t xml:space="preserve"> </w:t>
      </w:r>
      <w:r w:rsidRPr="006B0ED6" w:rsidR="00CB3122">
        <w:t xml:space="preserve">coverage </w:t>
      </w:r>
      <w:r w:rsidR="00CB3122">
        <w:t xml:space="preserve">and </w:t>
      </w:r>
      <w:r w:rsidRPr="00D96728" w:rsidR="00CB3122">
        <w:t xml:space="preserve">performance </w:t>
      </w:r>
      <w:r w:rsidR="00CB3122">
        <w:t>in these markets</w:t>
      </w:r>
      <w:r w:rsidRPr="00D96728" w:rsidR="00CB3122">
        <w:t>.</w:t>
      </w:r>
      <w:r>
        <w:rPr>
          <w:rStyle w:val="FootnoteReference"/>
        </w:rPr>
        <w:footnoteReference w:id="54"/>
      </w:r>
      <w:r w:rsidR="00CB3122">
        <w:t xml:space="preserve">  </w:t>
      </w:r>
    </w:p>
    <w:p w:rsidR="00E934C9" w:rsidP="00392DBD" w14:paraId="169FE3CE" w14:textId="7910F542">
      <w:pPr>
        <w:pStyle w:val="ParaNum"/>
        <w:widowControl/>
        <w:tabs>
          <w:tab w:val="clear" w:pos="1080"/>
          <w:tab w:val="num" w:pos="1440"/>
          <w:tab w:val="num" w:pos="1620"/>
        </w:tabs>
        <w:autoSpaceDE/>
        <w:autoSpaceDN/>
      </w:pPr>
      <w:r>
        <w:t>W</w:t>
      </w:r>
      <w:r>
        <w:t xml:space="preserve">e </w:t>
      </w:r>
      <w:r>
        <w:t xml:space="preserve">also </w:t>
      </w:r>
      <w:r>
        <w:t xml:space="preserve">note that </w:t>
      </w:r>
      <w:r w:rsidR="00010488">
        <w:t>these are</w:t>
      </w:r>
      <w:r>
        <w:t xml:space="preserve"> spectrum manager lease</w:t>
      </w:r>
      <w:r w:rsidR="00010488">
        <w:t>s</w:t>
      </w:r>
      <w:r>
        <w:t>, and not a proposed acquisition, and that at the latest, the leasing arrangement</w:t>
      </w:r>
      <w:r w:rsidR="00010488">
        <w:t>s</w:t>
      </w:r>
      <w:r>
        <w:t xml:space="preserve"> would terminate by early 2023.</w:t>
      </w:r>
      <w:r>
        <w:rPr>
          <w:rStyle w:val="FootnoteReference"/>
        </w:rPr>
        <w:footnoteReference w:id="55"/>
      </w:r>
      <w:r>
        <w:t xml:space="preserve">  In light of the limited term of the lease</w:t>
      </w:r>
      <w:r w:rsidR="00010488">
        <w:t>s</w:t>
      </w:r>
      <w:r>
        <w:t>, we note that we would have an opportunity to reevaluate—and mitigate as necessary—</w:t>
      </w:r>
      <w:r w:rsidR="00442D74">
        <w:t xml:space="preserve">should </w:t>
      </w:r>
      <w:r>
        <w:t xml:space="preserve">any competitive concerns </w:t>
      </w:r>
      <w:r w:rsidR="00442D74">
        <w:t>arise at the end of the leasing period</w:t>
      </w:r>
      <w:r>
        <w:t xml:space="preserve">.  </w:t>
      </w:r>
      <w:r w:rsidR="00F02C4B">
        <w:t xml:space="preserve">Moreover, the Commission retains the right to </w:t>
      </w:r>
      <w:r w:rsidR="0009038B">
        <w:t>terminate the leases at any time</w:t>
      </w:r>
      <w:r w:rsidR="00704736">
        <w:t xml:space="preserve"> </w:t>
      </w:r>
      <w:r w:rsidR="00F94AE3">
        <w:t xml:space="preserve">should it determine that the </w:t>
      </w:r>
      <w:r w:rsidR="0069348A">
        <w:t>arrangement raises competitive or public interest concerns.</w:t>
      </w:r>
      <w:r>
        <w:rPr>
          <w:rStyle w:val="FootnoteReference"/>
        </w:rPr>
        <w:footnoteReference w:id="56"/>
      </w:r>
      <w:r>
        <w:t xml:space="preserve"> </w:t>
      </w:r>
      <w:r w:rsidRPr="0050450D" w:rsidR="0050450D">
        <w:t xml:space="preserve"> In the </w:t>
      </w:r>
      <w:r w:rsidRPr="0050450D" w:rsidR="0050450D">
        <w:rPr>
          <w:i/>
          <w:iCs/>
        </w:rPr>
        <w:t>Mobile Spectrum Holdings Report and Order</w:t>
      </w:r>
      <w:r w:rsidRPr="0050450D" w:rsidR="0050450D">
        <w:t>, the Commission determined that leasing provides lessees the flexibility to lease a small or large quantity of spectrum for short</w:t>
      </w:r>
      <w:r w:rsidR="00402E36">
        <w:t>er</w:t>
      </w:r>
      <w:r w:rsidRPr="0050450D" w:rsidR="0050450D">
        <w:t xml:space="preserve"> or longer time periods depending on their business needs.</w:t>
      </w:r>
      <w:r>
        <w:rPr>
          <w:rStyle w:val="FootnoteReference"/>
        </w:rPr>
        <w:footnoteReference w:id="57"/>
      </w:r>
      <w:r w:rsidR="0050450D">
        <w:t xml:space="preserve">  </w:t>
      </w:r>
      <w:r>
        <w:t xml:space="preserve">Given </w:t>
      </w:r>
      <w:r w:rsidR="00717BCF">
        <w:t>robust competition in</w:t>
      </w:r>
      <w:r>
        <w:t xml:space="preserve"> the marketplace, T-Mobile’s post-transaction spectrum holdings do not raise any particular competitive concerns.</w:t>
      </w:r>
    </w:p>
    <w:p w:rsidR="0072128D" w:rsidP="00691E6F" w14:paraId="11CB265E" w14:textId="1E4E7B77">
      <w:pPr>
        <w:pStyle w:val="ParaNum"/>
        <w:widowControl/>
        <w:tabs>
          <w:tab w:val="clear" w:pos="1080"/>
        </w:tabs>
      </w:pPr>
      <w:r>
        <w:rPr>
          <w:i/>
          <w:iCs/>
        </w:rPr>
        <w:t xml:space="preserve">Verizon and AT&amp;T’s Claims.  </w:t>
      </w:r>
      <w:r w:rsidR="008F0ECD">
        <w:t>B</w:t>
      </w:r>
      <w:r w:rsidR="00D22770">
        <w:t xml:space="preserve">ased on the record, </w:t>
      </w:r>
      <w:r w:rsidRPr="00BF2F12" w:rsidR="00BF2F12">
        <w:t xml:space="preserve">the Bureau finds </w:t>
      </w:r>
      <w:r w:rsidRPr="00FC055D" w:rsidR="005A7D64">
        <w:t xml:space="preserve">no reason </w:t>
      </w:r>
      <w:r w:rsidR="001E405E">
        <w:t>to</w:t>
      </w:r>
      <w:r w:rsidRPr="00FC055D" w:rsidR="005A7D64">
        <w:t xml:space="preserve"> </w:t>
      </w:r>
      <w:r w:rsidRPr="007C4E0D" w:rsidR="007C4E0D">
        <w:t xml:space="preserve">revisit its </w:t>
      </w:r>
      <w:r w:rsidR="007B34F3">
        <w:t>decision to</w:t>
      </w:r>
      <w:r w:rsidR="001B7480">
        <w:t xml:space="preserve"> </w:t>
      </w:r>
      <w:r w:rsidRPr="00FC055D" w:rsidR="005A7D64">
        <w:t xml:space="preserve">accept the </w:t>
      </w:r>
      <w:r w:rsidRPr="00086C19" w:rsidR="005A7D64">
        <w:t>leases.</w:t>
      </w:r>
      <w:r w:rsidR="005A7D64">
        <w:t xml:space="preserve"> </w:t>
      </w:r>
      <w:r w:rsidR="00CF5E60">
        <w:t xml:space="preserve"> </w:t>
      </w:r>
      <w:r w:rsidR="00962BE0">
        <w:t>Neither Verizon nor AT&amp;T has identified any specific harms that would result from these leasing arrangements—both merely argue that the leasing arrangements will further increase T-Mobile’s holdings above the spectrum screen</w:t>
      </w:r>
      <w:r w:rsidR="005B1D43">
        <w:t xml:space="preserve"> and thus, the Commission should examine the transaction carefully</w:t>
      </w:r>
      <w:r w:rsidR="00962BE0">
        <w:t>.</w:t>
      </w:r>
      <w:r>
        <w:rPr>
          <w:rStyle w:val="FootnoteReference"/>
        </w:rPr>
        <w:footnoteReference w:id="58"/>
      </w:r>
      <w:r w:rsidR="00962BE0">
        <w:t xml:space="preserve">  </w:t>
      </w:r>
      <w:r w:rsidR="005B1D43">
        <w:t>In addition</w:t>
      </w:r>
      <w:r w:rsidR="00962BE0">
        <w:t>, Verizon states that T-Mobile’s gaining additional spectrum “will necessarily make it harder for other providers to compete.”</w:t>
      </w:r>
      <w:r>
        <w:rPr>
          <w:rStyle w:val="FootnoteReference"/>
        </w:rPr>
        <w:footnoteReference w:id="59"/>
      </w:r>
      <w:r w:rsidR="00962BE0">
        <w:t xml:space="preserve">  </w:t>
      </w:r>
    </w:p>
    <w:p w:rsidR="00962BE0" w:rsidP="00691E6F" w14:paraId="14959E53" w14:textId="1A9DE58E">
      <w:pPr>
        <w:pStyle w:val="ParaNum"/>
        <w:widowControl/>
        <w:tabs>
          <w:tab w:val="clear" w:pos="1080"/>
        </w:tabs>
      </w:pPr>
      <w:r>
        <w:t xml:space="preserve">To the extent Verizon and AT&amp;T are concerned that T-Mobile’s holdings are above the screen, we </w:t>
      </w:r>
      <w:r w:rsidR="00717BCF">
        <w:t>reiterate</w:t>
      </w:r>
      <w:r>
        <w:t xml:space="preserve"> that the screen is </w:t>
      </w:r>
      <w:r w:rsidR="00C060E5">
        <w:t xml:space="preserve">simply </w:t>
      </w:r>
      <w:r>
        <w:t xml:space="preserve">a trigger that prompts the Commission to apply additional analysis—it is not a </w:t>
      </w:r>
      <w:r w:rsidR="00436E27">
        <w:t xml:space="preserve">hard </w:t>
      </w:r>
      <w:r>
        <w:t xml:space="preserve">cap on a </w:t>
      </w:r>
      <w:r w:rsidR="00436E27">
        <w:t>service</w:t>
      </w:r>
      <w:r>
        <w:t xml:space="preserve"> provider’s holdings.</w:t>
      </w:r>
      <w:r>
        <w:rPr>
          <w:rStyle w:val="FootnoteReference"/>
        </w:rPr>
        <w:footnoteReference w:id="60"/>
      </w:r>
      <w:r>
        <w:t xml:space="preserve">  Here, even though the leasing arrangements further increase T-Mobile’s holdings above the screen</w:t>
      </w:r>
      <w:r w:rsidR="00436E27">
        <w:t xml:space="preserve"> trigger</w:t>
      </w:r>
      <w:r>
        <w:t xml:space="preserve">, </w:t>
      </w:r>
      <w:r w:rsidRPr="005729A1" w:rsidR="005729A1">
        <w:t xml:space="preserve">Verizon and AT&amp;T have failed to identify any </w:t>
      </w:r>
      <w:r>
        <w:t xml:space="preserve">particular competitive harm.  Indeed, </w:t>
      </w:r>
      <w:r w:rsidRPr="005B1D43">
        <w:t xml:space="preserve">in the </w:t>
      </w:r>
      <w:r w:rsidRPr="005B1D43">
        <w:rPr>
          <w:i/>
          <w:iCs/>
        </w:rPr>
        <w:t>Mobile Spectrum Holdings Report and Order</w:t>
      </w:r>
      <w:r w:rsidRPr="005B1D43">
        <w:t>, the Commission considered and rejected a rebuttable presumption that a transaction that triggers the spectrum screen is presumed not in the public interest.</w:t>
      </w:r>
      <w:r>
        <w:rPr>
          <w:rStyle w:val="FootnoteReference"/>
        </w:rPr>
        <w:footnoteReference w:id="61"/>
      </w:r>
      <w:r w:rsidRPr="005B1D43">
        <w:t xml:space="preserve">  </w:t>
      </w:r>
    </w:p>
    <w:p w:rsidR="00B34FEE" w:rsidP="0072128D" w14:paraId="785F9EBB" w14:textId="7D468C81">
      <w:pPr>
        <w:pStyle w:val="ParaNum"/>
        <w:widowControl/>
        <w:tabs>
          <w:tab w:val="clear" w:pos="1080"/>
        </w:tabs>
      </w:pPr>
      <w:r>
        <w:t xml:space="preserve">In addition, we do not find persuasive Verizon’s argument that </w:t>
      </w:r>
      <w:r w:rsidR="005B1D43">
        <w:t xml:space="preserve">T-Mobile’s </w:t>
      </w:r>
      <w:r>
        <w:t>increase of 10 to 30 megahertz in certain areas of the country will make it harder for other providers to compete.</w:t>
      </w:r>
      <w:r>
        <w:rPr>
          <w:rStyle w:val="FootnoteReference"/>
        </w:rPr>
        <w:footnoteReference w:id="62"/>
      </w:r>
      <w:r>
        <w:t xml:space="preserve">  </w:t>
      </w:r>
      <w:r w:rsidRPr="0072128D" w:rsidR="00E0158E">
        <w:rPr>
          <w:color w:val="020100"/>
        </w:rPr>
        <w:t xml:space="preserve">AT&amp;T and Verizon have not established </w:t>
      </w:r>
      <w:r w:rsidRPr="005A1B51" w:rsidR="005A1B51">
        <w:rPr>
          <w:color w:val="020100"/>
        </w:rPr>
        <w:t>t</w:t>
      </w:r>
      <w:r w:rsidRPr="0072128D" w:rsidR="00E0158E">
        <w:rPr>
          <w:color w:val="020100"/>
        </w:rPr>
        <w:t xml:space="preserve">hat this spectrum is </w:t>
      </w:r>
      <w:r w:rsidR="00AF596C">
        <w:rPr>
          <w:color w:val="020100"/>
        </w:rPr>
        <w:t>essential</w:t>
      </w:r>
      <w:r w:rsidRPr="0072128D" w:rsidR="00AF596C">
        <w:rPr>
          <w:color w:val="020100"/>
        </w:rPr>
        <w:t xml:space="preserve"> </w:t>
      </w:r>
      <w:r w:rsidRPr="0072128D" w:rsidR="00E0158E">
        <w:rPr>
          <w:color w:val="020100"/>
        </w:rPr>
        <w:t xml:space="preserve">to their deployment plans </w:t>
      </w:r>
      <w:r w:rsidR="00E52A2A">
        <w:rPr>
          <w:color w:val="020100"/>
        </w:rPr>
        <w:t xml:space="preserve">or </w:t>
      </w:r>
      <w:r w:rsidRPr="0072128D" w:rsidR="00E0158E">
        <w:rPr>
          <w:color w:val="020100"/>
        </w:rPr>
        <w:t xml:space="preserve">that </w:t>
      </w:r>
      <w:r w:rsidRPr="0072128D" w:rsidR="00E0158E">
        <w:rPr>
          <w:color w:val="020100"/>
        </w:rPr>
        <w:t xml:space="preserve">they lack </w:t>
      </w:r>
      <w:r w:rsidR="00E52A2A">
        <w:rPr>
          <w:color w:val="020100"/>
        </w:rPr>
        <w:t>the</w:t>
      </w:r>
      <w:r w:rsidRPr="0072128D" w:rsidR="00E0158E">
        <w:rPr>
          <w:color w:val="020100"/>
        </w:rPr>
        <w:t xml:space="preserve"> spectrum </w:t>
      </w:r>
      <w:r w:rsidR="00DB5F6A">
        <w:rPr>
          <w:color w:val="020100"/>
        </w:rPr>
        <w:t>necessary</w:t>
      </w:r>
      <w:r w:rsidRPr="0072128D" w:rsidR="00E0158E">
        <w:rPr>
          <w:color w:val="020100"/>
        </w:rPr>
        <w:t xml:space="preserve"> to meet their current needs.</w:t>
      </w:r>
      <w:r>
        <w:rPr>
          <w:rStyle w:val="FootnoteReference"/>
        </w:rPr>
        <w:footnoteReference w:id="63"/>
      </w:r>
      <w:r w:rsidRPr="0072128D" w:rsidR="00E0158E">
        <w:rPr>
          <w:color w:val="020100"/>
        </w:rPr>
        <w:t xml:space="preserve">  </w:t>
      </w:r>
      <w:r w:rsidR="00717BCF">
        <w:t xml:space="preserve">In any case, our mandate is to protect competition, not any particular competitor.  </w:t>
      </w:r>
      <w:r w:rsidRPr="0089408F" w:rsidR="0089408F">
        <w:t xml:space="preserve">We </w:t>
      </w:r>
      <w:r w:rsidR="00A21E83">
        <w:t>agr</w:t>
      </w:r>
      <w:r w:rsidR="00300918">
        <w:t xml:space="preserve">ee with the Applicants that </w:t>
      </w:r>
      <w:r w:rsidR="00C56202">
        <w:t xml:space="preserve">the </w:t>
      </w:r>
      <w:r w:rsidR="00A21E83">
        <w:rPr>
          <w:w w:val="105"/>
        </w:rPr>
        <w:t>deployment of this 600 MHz spectrum provides benefits for consumers and competition</w:t>
      </w:r>
      <w:r w:rsidR="00EC3A9D">
        <w:rPr>
          <w:w w:val="105"/>
        </w:rPr>
        <w:t xml:space="preserve"> by</w:t>
      </w:r>
      <w:r w:rsidR="00B127C7">
        <w:rPr>
          <w:w w:val="105"/>
        </w:rPr>
        <w:t xml:space="preserve"> prom</w:t>
      </w:r>
      <w:r w:rsidR="00C87844">
        <w:rPr>
          <w:w w:val="105"/>
        </w:rPr>
        <w:t>ptly putting to</w:t>
      </w:r>
      <w:r w:rsidR="006052CF">
        <w:rPr>
          <w:w w:val="105"/>
        </w:rPr>
        <w:t xml:space="preserve"> use idl</w:t>
      </w:r>
      <w:r w:rsidR="009E54D1">
        <w:rPr>
          <w:w w:val="105"/>
        </w:rPr>
        <w:t xml:space="preserve">e spectrum </w:t>
      </w:r>
      <w:r w:rsidR="00A305D6">
        <w:rPr>
          <w:w w:val="105"/>
        </w:rPr>
        <w:t>to</w:t>
      </w:r>
      <w:r w:rsidR="00673BC9">
        <w:rPr>
          <w:w w:val="105"/>
        </w:rPr>
        <w:t xml:space="preserve"> expand</w:t>
      </w:r>
      <w:r w:rsidR="00B76279">
        <w:rPr>
          <w:w w:val="105"/>
        </w:rPr>
        <w:t xml:space="preserve"> </w:t>
      </w:r>
      <w:r w:rsidR="001D7053">
        <w:rPr>
          <w:w w:val="105"/>
        </w:rPr>
        <w:t>and enhance</w:t>
      </w:r>
      <w:r w:rsidR="00254C1C">
        <w:rPr>
          <w:w w:val="105"/>
        </w:rPr>
        <w:t xml:space="preserve"> </w:t>
      </w:r>
      <w:r w:rsidR="00B76279">
        <w:rPr>
          <w:w w:val="105"/>
        </w:rPr>
        <w:t>network c</w:t>
      </w:r>
      <w:r w:rsidR="00D0109F">
        <w:rPr>
          <w:w w:val="105"/>
        </w:rPr>
        <w:t>apacity.</w:t>
      </w:r>
      <w:r w:rsidR="00A21E83">
        <w:t xml:space="preserve"> </w:t>
      </w:r>
      <w:r w:rsidR="000C2B71">
        <w:t xml:space="preserve"> </w:t>
      </w:r>
      <w:r w:rsidR="00E1728E">
        <w:t>We conclude that the leasing arrangements</w:t>
      </w:r>
      <w:r w:rsidR="00864347">
        <w:t>’</w:t>
      </w:r>
      <w:r w:rsidR="00E1728E">
        <w:t xml:space="preserve"> potential public interest benefits outweigh any potential public interest harms</w:t>
      </w:r>
      <w:r w:rsidR="24A48D13">
        <w:t>.</w:t>
      </w:r>
      <w:r w:rsidR="00E1728E">
        <w:t xml:space="preserve"> </w:t>
      </w:r>
      <w:r w:rsidR="11AE7F1B">
        <w:t xml:space="preserve"> </w:t>
      </w:r>
      <w:r w:rsidR="3B0ED266">
        <w:t>A</w:t>
      </w:r>
      <w:r w:rsidR="6EC6B906">
        <w:t>ccordingly,</w:t>
      </w:r>
      <w:r w:rsidR="332EED5E">
        <w:t xml:space="preserve"> we</w:t>
      </w:r>
      <w:r w:rsidR="00E1728E">
        <w:t xml:space="preserve"> find that </w:t>
      </w:r>
      <w:r w:rsidR="362BD6E8">
        <w:t xml:space="preserve">accepting </w:t>
      </w:r>
      <w:r w:rsidR="6EC6B906">
        <w:t xml:space="preserve">the </w:t>
      </w:r>
      <w:r w:rsidR="7C868DCC">
        <w:t>lease</w:t>
      </w:r>
      <w:r w:rsidR="00E1728E">
        <w:t xml:space="preserve"> applications serves the public interest and </w:t>
      </w:r>
      <w:r w:rsidR="1F7354F4">
        <w:t xml:space="preserve">we </w:t>
      </w:r>
      <w:r w:rsidR="00E1728E">
        <w:t>deny the petition for reconsideration.</w:t>
      </w:r>
      <w:r>
        <w:t xml:space="preserve"> </w:t>
      </w:r>
    </w:p>
    <w:p w:rsidR="002D2604" w:rsidP="009234C0" w14:paraId="1488033E" w14:textId="37946F93">
      <w:pPr>
        <w:pStyle w:val="Heading2"/>
      </w:pPr>
      <w:r>
        <w:t xml:space="preserve">Dismissal </w:t>
      </w:r>
      <w:r w:rsidR="00A25BB4">
        <w:t xml:space="preserve">of </w:t>
      </w:r>
      <w:r w:rsidR="007C6B9B">
        <w:t xml:space="preserve">Requests </w:t>
      </w:r>
      <w:r w:rsidR="007B34F3">
        <w:t>t</w:t>
      </w:r>
      <w:r w:rsidR="007C6B9B">
        <w:t>o Revisit Spectrum Holdings Policies</w:t>
      </w:r>
      <w:r w:rsidR="00D2693A">
        <w:t xml:space="preserve"> </w:t>
      </w:r>
    </w:p>
    <w:p w:rsidR="00C44672" w:rsidP="00C44672" w14:paraId="79B218C6" w14:textId="0E6EDBFA">
      <w:pPr>
        <w:pStyle w:val="ParaNum"/>
        <w:widowControl/>
        <w:tabs>
          <w:tab w:val="clear" w:pos="1080"/>
        </w:tabs>
      </w:pPr>
      <w:r>
        <w:t>C</w:t>
      </w:r>
      <w:r w:rsidRPr="00122156">
        <w:t xml:space="preserve">ommenters </w:t>
      </w:r>
      <w:r>
        <w:t>also seek review</w:t>
      </w:r>
      <w:r w:rsidRPr="002A160E">
        <w:t xml:space="preserve"> </w:t>
      </w:r>
      <w:r>
        <w:t xml:space="preserve">of the Commission’s spectrum screen </w:t>
      </w:r>
      <w:r w:rsidR="001D35AA">
        <w:t xml:space="preserve">policies </w:t>
      </w:r>
      <w:r>
        <w:t>or to address spectrum aggregation issues relating to Auction 107</w:t>
      </w:r>
      <w:r w:rsidRPr="00FC055D">
        <w:t>.</w:t>
      </w:r>
      <w:r>
        <w:rPr>
          <w:rStyle w:val="FootnoteReference"/>
        </w:rPr>
        <w:footnoteReference w:id="64"/>
      </w:r>
      <w:r w:rsidRPr="00122156">
        <w:t xml:space="preserve">  </w:t>
      </w:r>
      <w:r>
        <w:t>Some c</w:t>
      </w:r>
      <w:r w:rsidRPr="005A693D">
        <w:t>ommenters</w:t>
      </w:r>
      <w:r w:rsidRPr="00122156">
        <w:t xml:space="preserve"> suggest that T-Mobile’s spectrum holdings warrant a revision of the spectrum screen or the adoption of a new enhanced </w:t>
      </w:r>
      <w:r>
        <w:t xml:space="preserve">total </w:t>
      </w:r>
      <w:r w:rsidRPr="00122156">
        <w:t>spectrum screen</w:t>
      </w:r>
      <w:r>
        <w:t xml:space="preserve"> because T-Mobile’s post-transaction holdings will further exceed the screen</w:t>
      </w:r>
      <w:r w:rsidRPr="00122156">
        <w:t>.</w:t>
      </w:r>
      <w:r>
        <w:rPr>
          <w:vertAlign w:val="superscript"/>
        </w:rPr>
        <w:footnoteReference w:id="65"/>
      </w:r>
      <w:r w:rsidRPr="00122156">
        <w:t xml:space="preserve">  </w:t>
      </w:r>
      <w:r>
        <w:t>AT&amp;T and T-Mobile raise spectrum aggregation issues related to the upcoming Auction 107 for spectrum in the 3.7-4.2 GHz band.</w:t>
      </w:r>
      <w:r>
        <w:rPr>
          <w:rStyle w:val="FootnoteReference"/>
        </w:rPr>
        <w:footnoteReference w:id="66"/>
      </w:r>
      <w:r>
        <w:t xml:space="preserve">  Reconsideration of the instant spectrum manager </w:t>
      </w:r>
      <w:r w:rsidR="001D35AA">
        <w:t>leasing notifications</w:t>
      </w:r>
      <w:r>
        <w:t xml:space="preserve"> is not the appropriate proceeding within which to address these requests.  To the extent commenters suggest that we reexamine the spectrum screen policy in this Order on Reconsideration, we dismiss those requests as outside the scope of this proceeding.</w:t>
      </w:r>
      <w:r>
        <w:rPr>
          <w:rStyle w:val="FootnoteReference"/>
        </w:rPr>
        <w:footnoteReference w:id="67"/>
      </w:r>
      <w:r w:rsidRPr="00122156">
        <w:t xml:space="preserve">  </w:t>
      </w:r>
      <w:r>
        <w:t>While the Bureau has adjusted the spectrum screen in response to transactions pursuant to its delegated authority in certain cases,</w:t>
      </w:r>
      <w:r>
        <w:rPr>
          <w:rStyle w:val="FootnoteReference"/>
        </w:rPr>
        <w:footnoteReference w:id="68"/>
      </w:r>
      <w:r>
        <w:t xml:space="preserve"> commenters in response to Verizon’s petition call for more fundamental revisions to the Commission’s spectrum screen policy that would not be appropriate here.  These issues raised by commenters might more appropriately be raised through an alternate vehicle, such as a </w:t>
      </w:r>
      <w:r w:rsidR="0010265F">
        <w:t>p</w:t>
      </w:r>
      <w:r>
        <w:t xml:space="preserve">etition for </w:t>
      </w:r>
      <w:r w:rsidR="0010265F">
        <w:t>r</w:t>
      </w:r>
      <w:r>
        <w:t>ulemaking.</w:t>
      </w:r>
      <w:r>
        <w:rPr>
          <w:rStyle w:val="FootnoteReference"/>
        </w:rPr>
        <w:footnoteReference w:id="69"/>
      </w:r>
      <w:r>
        <w:t xml:space="preserve"> </w:t>
      </w:r>
      <w:r w:rsidR="004D114A">
        <w:t xml:space="preserve"> </w:t>
      </w:r>
    </w:p>
    <w:p w:rsidR="00A423FD" w:rsidP="00E64B0C" w14:paraId="65E84B48" w14:textId="77777777">
      <w:pPr>
        <w:pStyle w:val="ParaNum"/>
        <w:widowControl/>
        <w:tabs>
          <w:tab w:val="clear" w:pos="1080"/>
        </w:tabs>
      </w:pPr>
      <w:r>
        <w:t>Further, t</w:t>
      </w:r>
      <w:r w:rsidRPr="00122156">
        <w:t xml:space="preserve">o the extent </w:t>
      </w:r>
      <w:r>
        <w:t>the</w:t>
      </w:r>
      <w:r w:rsidRPr="00122156">
        <w:t xml:space="preserve"> </w:t>
      </w:r>
      <w:r w:rsidR="0010265F">
        <w:t>p</w:t>
      </w:r>
      <w:r w:rsidRPr="00122156" w:rsidR="0010265F">
        <w:t xml:space="preserve">etition </w:t>
      </w:r>
      <w:r>
        <w:t xml:space="preserve">and comments take issue with determinations made </w:t>
      </w:r>
      <w:r w:rsidRPr="00122156">
        <w:t xml:space="preserve">in the </w:t>
      </w:r>
      <w:r w:rsidRPr="00416BF6">
        <w:rPr>
          <w:i/>
          <w:iCs/>
        </w:rPr>
        <w:t xml:space="preserve">T-Mobile/Sprint Order </w:t>
      </w:r>
      <w:r>
        <w:t xml:space="preserve">or the </w:t>
      </w:r>
      <w:r>
        <w:rPr>
          <w:i/>
          <w:iCs/>
        </w:rPr>
        <w:t xml:space="preserve">3.7 GHz Report and </w:t>
      </w:r>
      <w:r w:rsidRPr="00DA13E5">
        <w:rPr>
          <w:i/>
          <w:iCs/>
        </w:rPr>
        <w:t>Order</w:t>
      </w:r>
      <w:r>
        <w:t xml:space="preserve">, these arguments would have been more appropriately included in a </w:t>
      </w:r>
      <w:r w:rsidR="0010265F">
        <w:t>p</w:t>
      </w:r>
      <w:r>
        <w:t xml:space="preserve">etition for </w:t>
      </w:r>
      <w:r w:rsidR="0010265F">
        <w:t>r</w:t>
      </w:r>
      <w:r>
        <w:t xml:space="preserve">econsideration of the relevant </w:t>
      </w:r>
      <w:r w:rsidR="001D35AA">
        <w:t>order</w:t>
      </w:r>
      <w:r>
        <w:t xml:space="preserve">.  </w:t>
      </w:r>
      <w:r w:rsidRPr="00122156">
        <w:t xml:space="preserve">The Commission carefully </w:t>
      </w:r>
      <w:r w:rsidRPr="00122156">
        <w:t xml:space="preserve">evaluated spectrum </w:t>
      </w:r>
      <w:r>
        <w:t>aggregation</w:t>
      </w:r>
      <w:r w:rsidRPr="00122156">
        <w:t xml:space="preserve">, </w:t>
      </w:r>
      <w:r>
        <w:t>including</w:t>
      </w:r>
      <w:r w:rsidRPr="00122156">
        <w:t xml:space="preserve"> enhanced factor review, and </w:t>
      </w:r>
      <w:r>
        <w:t xml:space="preserve">other </w:t>
      </w:r>
      <w:r w:rsidRPr="00122156">
        <w:t xml:space="preserve">competitive issues in the </w:t>
      </w:r>
      <w:r w:rsidRPr="00416BF6">
        <w:rPr>
          <w:i/>
          <w:iCs/>
        </w:rPr>
        <w:t>T-Mobile/Sprint</w:t>
      </w:r>
      <w:r w:rsidRPr="00122156">
        <w:t xml:space="preserve"> </w:t>
      </w:r>
      <w:r w:rsidRPr="00416BF6">
        <w:rPr>
          <w:i/>
          <w:iCs/>
        </w:rPr>
        <w:t>Order</w:t>
      </w:r>
      <w:r w:rsidRPr="00122156">
        <w:t xml:space="preserve"> and determined that</w:t>
      </w:r>
      <w:r>
        <w:t>, as conditioned,</w:t>
      </w:r>
      <w:r w:rsidRPr="00122156">
        <w:t xml:space="preserve"> the public interest benefits of the transaction outweighed the competitive harms.</w:t>
      </w:r>
      <w:r>
        <w:rPr>
          <w:vertAlign w:val="superscript"/>
        </w:rPr>
        <w:footnoteReference w:id="70"/>
      </w:r>
      <w:r w:rsidRPr="00122156">
        <w:t xml:space="preserve">  A</w:t>
      </w:r>
      <w:r>
        <w:t xml:space="preserve">dditionally, the Commission made clear </w:t>
      </w:r>
      <w:r w:rsidRPr="00122156">
        <w:t>in</w:t>
      </w:r>
      <w:r>
        <w:t xml:space="preserve"> the</w:t>
      </w:r>
      <w:r w:rsidRPr="00122156">
        <w:t xml:space="preserve"> </w:t>
      </w:r>
      <w:r w:rsidRPr="003C6D62">
        <w:rPr>
          <w:i/>
          <w:iCs/>
        </w:rPr>
        <w:t>3.7 GH</w:t>
      </w:r>
      <w:r>
        <w:rPr>
          <w:i/>
          <w:iCs/>
        </w:rPr>
        <w:t>z</w:t>
      </w:r>
      <w:r w:rsidRPr="003C6D62">
        <w:rPr>
          <w:i/>
          <w:iCs/>
        </w:rPr>
        <w:t xml:space="preserve"> Report and Order</w:t>
      </w:r>
      <w:r>
        <w:t>,</w:t>
      </w:r>
      <w:r w:rsidRPr="003C6D62">
        <w:rPr>
          <w:i/>
          <w:iCs/>
        </w:rPr>
        <w:t xml:space="preserve"> </w:t>
      </w:r>
      <w:r w:rsidRPr="00122156">
        <w:t xml:space="preserve">as well as the bidding procedures announced in the Public Notice for Auction 107, </w:t>
      </w:r>
      <w:r>
        <w:t>that it</w:t>
      </w:r>
      <w:r w:rsidRPr="00122156">
        <w:t xml:space="preserve"> will perform </w:t>
      </w:r>
      <w:r>
        <w:t xml:space="preserve">a </w:t>
      </w:r>
      <w:r w:rsidRPr="00122156">
        <w:t>case-by-case review of the long-form license applications following the auction.</w:t>
      </w:r>
      <w:r>
        <w:rPr>
          <w:vertAlign w:val="superscript"/>
        </w:rPr>
        <w:footnoteReference w:id="71"/>
      </w:r>
      <w:r w:rsidRPr="00122156">
        <w:t xml:space="preserve">  </w:t>
      </w:r>
      <w:r w:rsidR="00AA5570">
        <w:t xml:space="preserve">As the Commission noted in the </w:t>
      </w:r>
      <w:r w:rsidR="00AA5570">
        <w:rPr>
          <w:i/>
          <w:iCs/>
        </w:rPr>
        <w:t>3.7 GHz Report and Order</w:t>
      </w:r>
      <w:r w:rsidR="00AA5570">
        <w:t>, case-by-case review permits bidders to participate fully in spectrum auctions while still allowing the Commission to assess the impact such auction results may have on competition.</w:t>
      </w:r>
      <w:r>
        <w:rPr>
          <w:vertAlign w:val="superscript"/>
        </w:rPr>
        <w:footnoteReference w:id="72"/>
      </w:r>
      <w:r w:rsidR="00AA5570">
        <w:t xml:space="preserve">  </w:t>
      </w:r>
      <w:r>
        <w:t xml:space="preserve">Petitions for </w:t>
      </w:r>
      <w:r w:rsidR="0010265F">
        <w:t>r</w:t>
      </w:r>
      <w:r>
        <w:t xml:space="preserve">econsideration of these </w:t>
      </w:r>
      <w:r w:rsidR="0010265F">
        <w:t>o</w:t>
      </w:r>
      <w:r>
        <w:t xml:space="preserve">rders were due to be filed with the Commission by December 5, 2019 in the case of the </w:t>
      </w:r>
      <w:r>
        <w:rPr>
          <w:i/>
          <w:iCs/>
        </w:rPr>
        <w:t xml:space="preserve">T-Mobile/Sprint </w:t>
      </w:r>
      <w:r w:rsidRPr="00C06573">
        <w:rPr>
          <w:i/>
          <w:iCs/>
        </w:rPr>
        <w:t>Order</w:t>
      </w:r>
      <w:r>
        <w:rPr>
          <w:rStyle w:val="FootnoteReference"/>
          <w:i/>
          <w:iCs/>
        </w:rPr>
        <w:footnoteReference w:id="73"/>
      </w:r>
      <w:r>
        <w:t xml:space="preserve"> and May 26, 2020 in the case of the </w:t>
      </w:r>
      <w:r>
        <w:rPr>
          <w:i/>
          <w:iCs/>
        </w:rPr>
        <w:t>3.7 GHz Report and Order</w:t>
      </w:r>
      <w:r>
        <w:t>.</w:t>
      </w:r>
      <w:r>
        <w:rPr>
          <w:rStyle w:val="FootnoteReference"/>
        </w:rPr>
        <w:footnoteReference w:id="74"/>
      </w:r>
      <w:r>
        <w:t xml:space="preserve">  Therefore, to the extent portions of </w:t>
      </w:r>
      <w:r w:rsidR="4C08A109">
        <w:t>the</w:t>
      </w:r>
      <w:r w:rsidR="0010265F">
        <w:t xml:space="preserve"> p</w:t>
      </w:r>
      <w:r>
        <w:t xml:space="preserve">etition and comments </w:t>
      </w:r>
      <w:r w:rsidR="00E64B0C">
        <w:t xml:space="preserve">seek to reverse decisions of general applicability made by the Commission in the </w:t>
      </w:r>
      <w:r w:rsidRPr="008F0B2A" w:rsidR="00E64B0C">
        <w:rPr>
          <w:i/>
        </w:rPr>
        <w:t>T-Mobile/Sprint Order</w:t>
      </w:r>
      <w:r w:rsidR="00E64B0C">
        <w:t xml:space="preserve"> or the </w:t>
      </w:r>
      <w:r w:rsidRPr="008F0B2A" w:rsidR="00E64B0C">
        <w:rPr>
          <w:i/>
        </w:rPr>
        <w:t>3.7 GHz Report and Order</w:t>
      </w:r>
      <w:r w:rsidR="00E64B0C">
        <w:t>, those requests are untimely and are hereby dismissed.</w:t>
      </w:r>
      <w:r w:rsidR="007B25FC">
        <w:t xml:space="preserve">  </w:t>
      </w:r>
    </w:p>
    <w:p w:rsidR="00E64B0C" w:rsidP="00E64B0C" w14:paraId="5DCBB6AC" w14:textId="10C70020">
      <w:pPr>
        <w:pStyle w:val="ParaNum"/>
        <w:widowControl/>
        <w:tabs>
          <w:tab w:val="clear" w:pos="1080"/>
        </w:tabs>
      </w:pPr>
      <w:r>
        <w:t>Finally, and n</w:t>
      </w:r>
      <w:r w:rsidR="004D6FA1">
        <w:t>otwithstanding the fact that these concerns are outside the scope of this proceeding, we</w:t>
      </w:r>
      <w:r w:rsidR="000409D5">
        <w:t xml:space="preserve"> take this opportunity to acknowledge the substantial amount of spectrum the Commission has made available </w:t>
      </w:r>
      <w:r w:rsidR="00FD32FB">
        <w:t xml:space="preserve">to </w:t>
      </w:r>
      <w:r w:rsidR="007A2CE1">
        <w:t>the mobile wireless marketplace</w:t>
      </w:r>
      <w:r w:rsidR="00163F2C">
        <w:t xml:space="preserve"> </w:t>
      </w:r>
      <w:r w:rsidR="00DB0222">
        <w:t>since</w:t>
      </w:r>
      <w:r w:rsidR="006B4C9A">
        <w:t xml:space="preserve"> 2014</w:t>
      </w:r>
      <w:r w:rsidR="000409D5">
        <w:t xml:space="preserve">.  </w:t>
      </w:r>
      <w:r w:rsidR="00566020">
        <w:t>As noted</w:t>
      </w:r>
      <w:r w:rsidR="000409D5">
        <w:t xml:space="preserve">, the Commission has made—and continues to make—an unprecedented amount of </w:t>
      </w:r>
      <w:r w:rsidR="00627ADE">
        <w:t xml:space="preserve">new </w:t>
      </w:r>
      <w:r w:rsidR="000409D5">
        <w:t>spectrum available for mobile services</w:t>
      </w:r>
      <w:r w:rsidR="004E728E">
        <w:t xml:space="preserve"> in the low-, mid-, and high-bands</w:t>
      </w:r>
      <w:r w:rsidR="000409D5">
        <w:t>—not all of which is accounted for in the Commission’s spectrum screen.</w:t>
      </w:r>
      <w:r>
        <w:rPr>
          <w:rStyle w:val="FootnoteReference"/>
        </w:rPr>
        <w:footnoteReference w:id="75"/>
      </w:r>
      <w:r w:rsidR="000409D5">
        <w:t xml:space="preserve">  </w:t>
      </w:r>
      <w:r w:rsidR="00E35AFF">
        <w:t xml:space="preserve">We also </w:t>
      </w:r>
      <w:r w:rsidR="00F97AF5">
        <w:t xml:space="preserve">believe that robust participation in Auction 107 is in the public interest and </w:t>
      </w:r>
      <w:r w:rsidR="00C7514D">
        <w:t>remind</w:t>
      </w:r>
      <w:r w:rsidR="00E35AFF">
        <w:t xml:space="preserve"> </w:t>
      </w:r>
      <w:r w:rsidR="007A7465">
        <w:t xml:space="preserve">parties </w:t>
      </w:r>
      <w:r w:rsidR="00E35AFF">
        <w:t xml:space="preserve">that the Commission’s spectrum screen serves as a </w:t>
      </w:r>
      <w:r w:rsidR="002F14AD">
        <w:t>threshold for further competitive analysis, and does not act as a bright</w:t>
      </w:r>
      <w:r w:rsidR="00B75757">
        <w:t>-</w:t>
      </w:r>
      <w:r w:rsidR="002F14AD">
        <w:t xml:space="preserve">line cap on </w:t>
      </w:r>
      <w:r w:rsidR="00B75757">
        <w:t xml:space="preserve">a provider’s </w:t>
      </w:r>
      <w:r w:rsidR="00BD60C4">
        <w:t>spectrum holdings.</w:t>
      </w:r>
      <w:r>
        <w:rPr>
          <w:rStyle w:val="FootnoteReference"/>
        </w:rPr>
        <w:footnoteReference w:id="76"/>
      </w:r>
      <w:r w:rsidR="00BD60C4">
        <w:t xml:space="preserve">  </w:t>
      </w:r>
    </w:p>
    <w:p w:rsidR="0068000F" w:rsidP="008F0B2A" w14:paraId="53651337" w14:textId="69ECFDDB">
      <w:pPr>
        <w:pStyle w:val="Heading1"/>
        <w:numPr>
          <w:ilvl w:val="0"/>
          <w:numId w:val="14"/>
        </w:numPr>
        <w:tabs>
          <w:tab w:val="left" w:pos="863"/>
          <w:tab w:val="left" w:pos="864"/>
        </w:tabs>
        <w:suppressAutoHyphens w:val="0"/>
      </w:pPr>
      <w:r w:rsidRPr="0068000F">
        <w:t>ORDERING CLAUSES</w:t>
      </w:r>
    </w:p>
    <w:p w:rsidR="00EE13AF" w:rsidRPr="00EE13AF" w:rsidP="00A64752" w14:paraId="384414F5" w14:textId="5A0E40E1">
      <w:pPr>
        <w:pStyle w:val="ParaNum"/>
        <w:widowControl/>
        <w:tabs>
          <w:tab w:val="clear" w:pos="1080"/>
        </w:tabs>
      </w:pPr>
      <w:r w:rsidRPr="00446501">
        <w:t>ACCORDINGLY, IT IS ORDERED pursuant to Sections 4(i), 4(j), 303(r), and 405 of the Communications Act of 1934, as amended, 47 U.S.C. §§ 154(i), 154(j), 303(r), and 405, as well as delegated</w:t>
      </w:r>
      <w:r w:rsidRPr="00284770">
        <w:rPr>
          <w:spacing w:val="-7"/>
        </w:rPr>
        <w:t xml:space="preserve"> </w:t>
      </w:r>
      <w:r w:rsidRPr="00446501">
        <w:t>authority</w:t>
      </w:r>
      <w:r w:rsidRPr="00284770">
        <w:rPr>
          <w:spacing w:val="-6"/>
        </w:rPr>
        <w:t xml:space="preserve"> </w:t>
      </w:r>
      <w:r w:rsidRPr="00446501">
        <w:t>in</w:t>
      </w:r>
      <w:r w:rsidRPr="00284770">
        <w:rPr>
          <w:spacing w:val="-6"/>
        </w:rPr>
        <w:t xml:space="preserve"> </w:t>
      </w:r>
      <w:r w:rsidRPr="00446501">
        <w:t>Section</w:t>
      </w:r>
      <w:r w:rsidRPr="00284770">
        <w:rPr>
          <w:spacing w:val="-7"/>
        </w:rPr>
        <w:t xml:space="preserve"> </w:t>
      </w:r>
      <w:r w:rsidRPr="00284770" w:rsidR="003E618E">
        <w:rPr>
          <w:spacing w:val="-7"/>
        </w:rPr>
        <w:t>0.331 and 1.106</w:t>
      </w:r>
      <w:r w:rsidRPr="00284770">
        <w:rPr>
          <w:spacing w:val="-6"/>
        </w:rPr>
        <w:t xml:space="preserve"> </w:t>
      </w:r>
      <w:r w:rsidRPr="00446501">
        <w:t>of</w:t>
      </w:r>
      <w:r w:rsidRPr="00284770">
        <w:rPr>
          <w:spacing w:val="-6"/>
        </w:rPr>
        <w:t xml:space="preserve"> </w:t>
      </w:r>
      <w:r w:rsidRPr="00446501">
        <w:t>the</w:t>
      </w:r>
      <w:r w:rsidRPr="00284770">
        <w:rPr>
          <w:spacing w:val="-6"/>
        </w:rPr>
        <w:t xml:space="preserve"> </w:t>
      </w:r>
      <w:r w:rsidRPr="00446501">
        <w:t>Commission’s</w:t>
      </w:r>
      <w:r w:rsidRPr="00284770">
        <w:rPr>
          <w:spacing w:val="-7"/>
        </w:rPr>
        <w:t xml:space="preserve"> </w:t>
      </w:r>
      <w:r w:rsidRPr="00446501">
        <w:t>rules,</w:t>
      </w:r>
      <w:r w:rsidRPr="00284770">
        <w:rPr>
          <w:spacing w:val="-6"/>
        </w:rPr>
        <w:t xml:space="preserve"> </w:t>
      </w:r>
      <w:r w:rsidRPr="00446501">
        <w:t>47</w:t>
      </w:r>
      <w:r w:rsidRPr="00284770">
        <w:rPr>
          <w:spacing w:val="-6"/>
        </w:rPr>
        <w:t xml:space="preserve"> </w:t>
      </w:r>
      <w:r w:rsidRPr="00446501">
        <w:t>CFR</w:t>
      </w:r>
      <w:r w:rsidRPr="00284770">
        <w:rPr>
          <w:spacing w:val="-6"/>
        </w:rPr>
        <w:t xml:space="preserve"> </w:t>
      </w:r>
      <w:r w:rsidRPr="00446501" w:rsidR="003E618E">
        <w:t>§</w:t>
      </w:r>
      <w:r w:rsidRPr="00284770">
        <w:rPr>
          <w:spacing w:val="-7"/>
        </w:rPr>
        <w:t xml:space="preserve"> </w:t>
      </w:r>
      <w:r w:rsidRPr="00284770" w:rsidR="003E618E">
        <w:rPr>
          <w:spacing w:val="-7"/>
        </w:rPr>
        <w:t>0.331 and 1.106</w:t>
      </w:r>
      <w:r w:rsidRPr="00446501">
        <w:t>,</w:t>
      </w:r>
      <w:r w:rsidRPr="00284770">
        <w:rPr>
          <w:spacing w:val="-6"/>
        </w:rPr>
        <w:t xml:space="preserve"> </w:t>
      </w:r>
      <w:r w:rsidRPr="00446501">
        <w:t>that</w:t>
      </w:r>
      <w:r w:rsidRPr="00284770">
        <w:rPr>
          <w:spacing w:val="-6"/>
        </w:rPr>
        <w:t xml:space="preserve"> </w:t>
      </w:r>
      <w:r w:rsidRPr="00446501">
        <w:t>the</w:t>
      </w:r>
      <w:r w:rsidRPr="00284770">
        <w:rPr>
          <w:spacing w:val="-6"/>
        </w:rPr>
        <w:t xml:space="preserve"> </w:t>
      </w:r>
      <w:r w:rsidRPr="00446501">
        <w:t>Petition</w:t>
      </w:r>
      <w:r w:rsidRPr="00284770">
        <w:rPr>
          <w:spacing w:val="-7"/>
        </w:rPr>
        <w:t xml:space="preserve"> </w:t>
      </w:r>
      <w:r w:rsidRPr="00446501">
        <w:t>for Reconsideration</w:t>
      </w:r>
      <w:r w:rsidRPr="00284770">
        <w:rPr>
          <w:spacing w:val="-8"/>
        </w:rPr>
        <w:t xml:space="preserve"> </w:t>
      </w:r>
      <w:r w:rsidRPr="00446501">
        <w:t>filed</w:t>
      </w:r>
      <w:r w:rsidRPr="00284770">
        <w:rPr>
          <w:spacing w:val="-7"/>
        </w:rPr>
        <w:t xml:space="preserve"> </w:t>
      </w:r>
      <w:r w:rsidRPr="00446501">
        <w:t>by</w:t>
      </w:r>
      <w:r w:rsidRPr="00284770">
        <w:rPr>
          <w:spacing w:val="-7"/>
        </w:rPr>
        <w:t xml:space="preserve"> </w:t>
      </w:r>
      <w:r w:rsidRPr="00446501">
        <w:t>Verizon on August 7, 2020</w:t>
      </w:r>
      <w:r w:rsidR="00BE54BC">
        <w:t>,</w:t>
      </w:r>
      <w:r w:rsidRPr="00284770">
        <w:rPr>
          <w:spacing w:val="-7"/>
        </w:rPr>
        <w:t xml:space="preserve"> </w:t>
      </w:r>
      <w:r w:rsidR="006932F9">
        <w:t>IS</w:t>
      </w:r>
      <w:r w:rsidRPr="00284770">
        <w:rPr>
          <w:spacing w:val="-16"/>
        </w:rPr>
        <w:t xml:space="preserve"> </w:t>
      </w:r>
      <w:r w:rsidRPr="00D83168" w:rsidR="009652F5">
        <w:t>DEN</w:t>
      </w:r>
      <w:r w:rsidRPr="00D83168" w:rsidR="00971BEB">
        <w:t>IED</w:t>
      </w:r>
      <w:r w:rsidR="003B1062">
        <w:t xml:space="preserve"> and that the requests to reconsider the Commission’s spectrum screen policies or to address spectrum aggregation issues relating to Auction 107 submitted by AT&amp;T </w:t>
      </w:r>
      <w:r w:rsidR="004949A9">
        <w:t xml:space="preserve">and T-Mobile </w:t>
      </w:r>
      <w:r w:rsidR="003B1062">
        <w:t>ARE DISMISSED</w:t>
      </w:r>
      <w:r w:rsidRPr="003B1062" w:rsidR="003B1062">
        <w:rPr>
          <w:spacing w:val="-16"/>
        </w:rPr>
        <w:t>.</w:t>
      </w:r>
    </w:p>
    <w:p w:rsidR="5EE75C0E" w14:paraId="1ADD6F44" w14:textId="1D3CE7AA">
      <w:r>
        <w:br w:type="page"/>
      </w:r>
    </w:p>
    <w:p w:rsidR="00791BD3" w:rsidP="00791BD3" w14:paraId="1F92B6EC" w14:textId="7E4C4176">
      <w:pPr>
        <w:pStyle w:val="ParaNum"/>
        <w:tabs>
          <w:tab w:val="clear" w:pos="1080"/>
        </w:tabs>
      </w:pPr>
      <w:r>
        <w:t xml:space="preserve">IT IS FURTHER ORDERED that, pursuant to section 1.103(a) of the Commission’s rules, 47 CFR 1.103(a), this Order on Reconsideration SHALL BE EFFECTIVE upon release. </w:t>
      </w:r>
    </w:p>
    <w:p w:rsidR="7014BF30" w14:paraId="2F90ECF6" w14:textId="218F60A1"/>
    <w:p w:rsidR="00E50AE0" w:rsidP="009616AA" w14:paraId="74C3C60C" w14:textId="77777777">
      <w:r>
        <w:tab/>
      </w:r>
      <w:r>
        <w:tab/>
      </w:r>
      <w:r>
        <w:tab/>
      </w:r>
      <w:r>
        <w:tab/>
      </w:r>
      <w:r>
        <w:tab/>
      </w:r>
      <w:r>
        <w:tab/>
        <w:t>FEDERAL COMMUNICATIONS COMMISSION</w:t>
      </w:r>
    </w:p>
    <w:p w:rsidR="00E50AE0" w:rsidP="009616AA" w14:paraId="1591A8CE" w14:textId="77777777"/>
    <w:p w:rsidR="00E50AE0" w:rsidP="009616AA" w14:paraId="1005B6CA" w14:textId="77777777"/>
    <w:p w:rsidR="00E50AE0" w:rsidP="009616AA" w14:paraId="46420F97" w14:textId="77777777"/>
    <w:p w:rsidR="00E50AE0" w:rsidP="009616AA" w14:paraId="6F5CF423" w14:textId="77777777"/>
    <w:p w:rsidR="00E50AE0" w:rsidP="009616AA" w14:paraId="5C0ECC36" w14:textId="4BF92B61">
      <w:r>
        <w:tab/>
      </w:r>
      <w:r>
        <w:tab/>
      </w:r>
      <w:r>
        <w:tab/>
      </w:r>
      <w:r>
        <w:tab/>
      </w:r>
      <w:r>
        <w:tab/>
      </w:r>
      <w:r>
        <w:tab/>
        <w:t>Donald K. Stockdale, Jr.</w:t>
      </w:r>
    </w:p>
    <w:p w:rsidR="00E50AE0" w:rsidP="009616AA" w14:paraId="3EBD2A3B" w14:textId="5385E831">
      <w:r>
        <w:tab/>
      </w:r>
      <w:r>
        <w:tab/>
      </w:r>
      <w:r>
        <w:tab/>
      </w:r>
      <w:r>
        <w:tab/>
      </w:r>
      <w:r>
        <w:tab/>
      </w:r>
      <w:r>
        <w:tab/>
        <w:t>Chief, Wireless Telecommunications Bureau</w:t>
      </w:r>
    </w:p>
    <w:p w:rsidR="00E50AE0" w:rsidRPr="00446501" w:rsidP="00E50AE0" w14:paraId="4E783631" w14:textId="77777777">
      <w:pPr>
        <w:pStyle w:val="ParaNum"/>
        <w:numPr>
          <w:ilvl w:val="0"/>
          <w:numId w:val="0"/>
        </w:numPr>
        <w:ind w:firstLine="720"/>
      </w:pPr>
    </w:p>
    <w:p w:rsidR="00A64752" w:rsidRPr="003B1062" w:rsidP="00791BD3" w14:paraId="198AA872" w14:textId="77777777">
      <w:pPr>
        <w:pStyle w:val="ParaNum"/>
        <w:numPr>
          <w:ilvl w:val="0"/>
          <w:numId w:val="0"/>
        </w:numPr>
        <w:ind w:left="720"/>
        <w:rPr>
          <w:spacing w:val="-16"/>
        </w:rPr>
      </w:pPr>
    </w:p>
    <w:p w:rsidR="00446501" w:rsidRPr="00446501" w:rsidP="00791BD3" w14:paraId="37FA591C" w14:textId="26A2D949">
      <w:pPr>
        <w:pStyle w:val="ParaNum"/>
        <w:numPr>
          <w:ilvl w:val="0"/>
          <w:numId w:val="0"/>
        </w:numPr>
        <w:ind w:left="720"/>
      </w:pPr>
    </w:p>
    <w:p w:rsidR="0068000F" w:rsidRPr="0068000F" w:rsidP="00BD2236" w14:paraId="5478563C" w14:textId="77777777">
      <w:pPr>
        <w:pStyle w:val="ParaNum"/>
        <w:numPr>
          <w:ilvl w:val="0"/>
          <w:numId w:val="0"/>
        </w:numPr>
        <w:ind w:left="720"/>
      </w:pPr>
    </w:p>
    <w:sectPr w:rsidSect="00056DB0">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AAD" w:rsidP="0055614C" w14:paraId="68355D00" w14:textId="77777777">
    <w:pPr>
      <w:pStyle w:val="Footer"/>
      <w:framePr w:wrap="around" w:vAnchor="text" w:hAnchor="margin" w:xAlign="center" w:y="1"/>
    </w:pPr>
    <w:r>
      <w:fldChar w:fldCharType="begin"/>
    </w:r>
    <w:r>
      <w:instrText xml:space="preserve">PAGE  </w:instrText>
    </w:r>
    <w:r>
      <w:fldChar w:fldCharType="separate"/>
    </w:r>
    <w:r>
      <w:fldChar w:fldCharType="end"/>
    </w:r>
  </w:p>
  <w:p w:rsidR="005F5AAD" w14:paraId="623DBF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AAD" w14:paraId="1479F8B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5F5AAD" w14:paraId="2646AFB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AAD" w14:paraId="66E327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0E74" w14:paraId="37EC1627" w14:textId="77777777">
      <w:r>
        <w:separator/>
      </w:r>
    </w:p>
  </w:footnote>
  <w:footnote w:type="continuationSeparator" w:id="1">
    <w:p w:rsidR="00A90E74" w:rsidP="00C721AC" w14:paraId="559171E4" w14:textId="77777777">
      <w:pPr>
        <w:spacing w:before="120"/>
        <w:rPr>
          <w:sz w:val="20"/>
        </w:rPr>
      </w:pPr>
      <w:r>
        <w:rPr>
          <w:sz w:val="20"/>
        </w:rPr>
        <w:t xml:space="preserve">(Continued from previous page) </w:t>
      </w:r>
      <w:r>
        <w:continuationSeparator/>
      </w:r>
    </w:p>
  </w:footnote>
  <w:footnote w:type="continuationNotice" w:id="2">
    <w:p w:rsidR="00A90E74" w:rsidP="00C721AC" w14:paraId="53D0A609" w14:textId="77777777">
      <w:pPr>
        <w:jc w:val="right"/>
        <w:rPr>
          <w:sz w:val="20"/>
        </w:rPr>
      </w:pPr>
      <w:r>
        <w:rPr>
          <w:sz w:val="20"/>
        </w:rPr>
        <w:t>(continued….)</w:t>
      </w:r>
    </w:p>
  </w:footnote>
  <w:footnote w:id="3">
    <w:p w:rsidR="005F5AAD" w14:paraId="74796C27" w14:textId="217B9FE3">
      <w:pPr>
        <w:pStyle w:val="FootnoteText"/>
      </w:pPr>
      <w:r>
        <w:rPr>
          <w:rStyle w:val="FootnoteReference"/>
        </w:rPr>
        <w:footnoteRef/>
      </w:r>
      <w:r>
        <w:t xml:space="preserve"> Corrected Verizon Petition for Reconsideration, </w:t>
      </w:r>
      <w:r w:rsidRPr="00CC3AD7">
        <w:rPr>
          <w:spacing w:val="-2"/>
        </w:rPr>
        <w:t>File Nos. 0009021213 &amp; 0009021220</w:t>
      </w:r>
      <w:r>
        <w:rPr>
          <w:spacing w:val="-2"/>
        </w:rPr>
        <w:t xml:space="preserve"> (filed Aug. 7, 2020) (Petition).  </w:t>
      </w:r>
      <w:r w:rsidRPr="007910E3">
        <w:rPr>
          <w:spacing w:val="-2"/>
        </w:rPr>
        <w:t>The Verizon companies participating in this proceeding are the regulated, wholly owned subsidiaries of Verizon Communications Inc</w:t>
      </w:r>
      <w:r>
        <w:rPr>
          <w:spacing w:val="-2"/>
        </w:rPr>
        <w:t xml:space="preserve">.  </w:t>
      </w:r>
      <w:r>
        <w:rPr>
          <w:i/>
          <w:iCs/>
          <w:spacing w:val="-2"/>
        </w:rPr>
        <w:t xml:space="preserve">Id. </w:t>
      </w:r>
      <w:r>
        <w:rPr>
          <w:spacing w:val="-2"/>
        </w:rPr>
        <w:t>at 1</w:t>
      </w:r>
      <w:r w:rsidR="00295634">
        <w:rPr>
          <w:spacing w:val="-2"/>
        </w:rPr>
        <w:t xml:space="preserve"> &amp; </w:t>
      </w:r>
      <w:r>
        <w:rPr>
          <w:spacing w:val="-2"/>
        </w:rPr>
        <w:t>n.1.</w:t>
      </w:r>
    </w:p>
  </w:footnote>
  <w:footnote w:id="4">
    <w:p w:rsidR="005F5AAD" w14:paraId="1BF30EAF" w14:textId="1AFF9321">
      <w:pPr>
        <w:pStyle w:val="FootnoteText"/>
      </w:pPr>
      <w:r>
        <w:rPr>
          <w:rStyle w:val="FootnoteReference"/>
        </w:rPr>
        <w:footnoteRef/>
      </w:r>
      <w:r>
        <w:t xml:space="preserve"> </w:t>
      </w:r>
      <w:r w:rsidR="00E02315">
        <w:rPr>
          <w:i/>
          <w:iCs/>
        </w:rPr>
        <w:t xml:space="preserve">See </w:t>
      </w:r>
      <w:r w:rsidRPr="001114CE" w:rsidR="00446C5B">
        <w:rPr>
          <w:i/>
          <w:iCs/>
        </w:rPr>
        <w:t>Wireless Telecommunications Bureau Assignment of License Authorization Applications, Transfer of Control of Licensee Applications, De Facto Transfer Lease Applications and Spectrum Manager Lease Notifications, Designated Entity Reportable Eligibility Event Applications, and Designated Entity Annual Reports</w:t>
      </w:r>
      <w:r w:rsidR="00446C5B">
        <w:rPr>
          <w:i/>
          <w:iCs/>
        </w:rPr>
        <w:t xml:space="preserve"> Action</w:t>
      </w:r>
      <w:r w:rsidRPr="005E2142" w:rsidR="00446C5B">
        <w:t>, Public Notice, Report No. 15137, at 19 (July 15, 2020)</w:t>
      </w:r>
      <w:r w:rsidR="00446C5B">
        <w:t xml:space="preserve"> (Action Public Notice)</w:t>
      </w:r>
      <w:r w:rsidR="00E02315">
        <w:t xml:space="preserve">; </w:t>
      </w:r>
      <w:r w:rsidR="00E02315">
        <w:rPr>
          <w:i/>
          <w:iCs/>
        </w:rPr>
        <w:t>see also</w:t>
      </w:r>
      <w:r w:rsidRPr="008F0B2A">
        <w:rPr>
          <w:i/>
        </w:rPr>
        <w:t xml:space="preserve"> </w:t>
      </w:r>
      <w:r w:rsidRPr="00D712F7">
        <w:rPr>
          <w:i/>
          <w:iCs/>
        </w:rPr>
        <w:t>Application of Cellco Partnership d/b/a Verizon Wireless and Atlantis Holdings LLC for Consent to Transfer Control of Licenses, Authorizations, and Spectrum Manager and De Facto Transfer Leasing Arrangements</w:t>
      </w:r>
      <w:r w:rsidRPr="00D83168">
        <w:t xml:space="preserve">, Order on Reconsideration, 27 FCC Rcd 16444, 16445, para. 2 (2012); </w:t>
      </w:r>
      <w:r w:rsidRPr="00D712F7">
        <w:rPr>
          <w:i/>
          <w:iCs/>
        </w:rPr>
        <w:t>General Motors Corp. and Hughes Electronics Corp., Transferors, and The News Corp. Ltd., Transferee, For Authority to Transfer Control</w:t>
      </w:r>
      <w:r w:rsidRPr="00D83168">
        <w:t>, MB Docket No. 03-124, Order on Reconsideration, 23 FCC Rcd 3131, 3132, para. 4 (2008).</w:t>
      </w:r>
    </w:p>
  </w:footnote>
  <w:footnote w:id="5">
    <w:p w:rsidR="00A11000" w:rsidP="00A11000" w14:paraId="1632D30D" w14:textId="77777777">
      <w:pPr>
        <w:pStyle w:val="FootnoteText"/>
      </w:pPr>
      <w:r>
        <w:rPr>
          <w:rStyle w:val="FootnoteReference"/>
        </w:rPr>
        <w:footnoteRef/>
      </w:r>
      <w:r>
        <w:t xml:space="preserve"> </w:t>
      </w:r>
      <w:r w:rsidRPr="00D83168">
        <w:t>47 CFR § 1.106(p)</w:t>
      </w:r>
      <w:r>
        <w:t>(5).</w:t>
      </w:r>
    </w:p>
  </w:footnote>
  <w:footnote w:id="6">
    <w:p w:rsidR="007077C8" w14:paraId="2BE9AB27" w14:textId="509C7054">
      <w:pPr>
        <w:pStyle w:val="FootnoteText"/>
      </w:pPr>
      <w:r>
        <w:rPr>
          <w:rStyle w:val="FootnoteReference"/>
        </w:rPr>
        <w:footnoteRef/>
      </w:r>
      <w:r>
        <w:t xml:space="preserve"> </w:t>
      </w:r>
      <w:r w:rsidRPr="0019130C">
        <w:rPr>
          <w:i/>
          <w:color w:val="010101"/>
        </w:rPr>
        <w:t>Policies Regarding Mobile Spectrum Holdings; Expanding the Economic and Innovation Opportunities of Spectrum Through Incentive Auctions</w:t>
      </w:r>
      <w:r w:rsidRPr="0019130C">
        <w:rPr>
          <w:color w:val="010101"/>
        </w:rPr>
        <w:t xml:space="preserve">, </w:t>
      </w:r>
      <w:r w:rsidRPr="0019130C">
        <w:rPr>
          <w:iCs/>
          <w:color w:val="010101"/>
        </w:rPr>
        <w:t>Report and Order</w:t>
      </w:r>
      <w:r w:rsidRPr="0019130C">
        <w:rPr>
          <w:color w:val="010101"/>
        </w:rPr>
        <w:t xml:space="preserve">, 29 FCC Rcd </w:t>
      </w:r>
      <w:r>
        <w:rPr>
          <w:color w:val="010101"/>
        </w:rPr>
        <w:t>6133</w:t>
      </w:r>
      <w:r w:rsidRPr="001D00FB">
        <w:rPr>
          <w:color w:val="010101"/>
        </w:rPr>
        <w:t xml:space="preserve"> </w:t>
      </w:r>
      <w:r w:rsidRPr="0019130C">
        <w:rPr>
          <w:color w:val="010101"/>
        </w:rPr>
        <w:t>(2014) (</w:t>
      </w:r>
      <w:r w:rsidRPr="0019130C">
        <w:rPr>
          <w:i/>
          <w:iCs/>
          <w:color w:val="010101"/>
        </w:rPr>
        <w:t>Mobile Spectrum Holdings Report and Order</w:t>
      </w:r>
      <w:r w:rsidRPr="0019130C">
        <w:rPr>
          <w:color w:val="010101"/>
        </w:rPr>
        <w:t>)</w:t>
      </w:r>
      <w:r>
        <w:rPr>
          <w:color w:val="010101"/>
        </w:rPr>
        <w:t>.</w:t>
      </w:r>
    </w:p>
  </w:footnote>
  <w:footnote w:id="7">
    <w:p w:rsidR="005F5AAD" w14:paraId="174C5440" w14:textId="4317E2EC">
      <w:pPr>
        <w:pStyle w:val="FootnoteText"/>
      </w:pPr>
      <w:r>
        <w:rPr>
          <w:rStyle w:val="FootnoteReference"/>
        </w:rPr>
        <w:footnoteRef/>
      </w:r>
      <w:r>
        <w:t xml:space="preserve"> </w:t>
      </w:r>
      <w:r w:rsidRPr="005C3072">
        <w:rPr>
          <w:i/>
          <w:iCs/>
        </w:rPr>
        <w:t>See</w:t>
      </w:r>
      <w:r>
        <w:t xml:space="preserve"> ULS </w:t>
      </w:r>
      <w:r w:rsidRPr="00D55A24">
        <w:t>F</w:t>
      </w:r>
      <w:r>
        <w:t xml:space="preserve">ile </w:t>
      </w:r>
      <w:r w:rsidRPr="00D55A24">
        <w:t>N</w:t>
      </w:r>
      <w:r>
        <w:t xml:space="preserve">os. </w:t>
      </w:r>
      <w:r w:rsidRPr="00D55A24">
        <w:t>0009021220 (LB License) and 0009021213 (Channel 51)</w:t>
      </w:r>
      <w:r>
        <w:t>.</w:t>
      </w:r>
    </w:p>
  </w:footnote>
  <w:footnote w:id="8">
    <w:p w:rsidR="0040315A" w:rsidRPr="00A7336F" w:rsidP="0040315A" w14:paraId="588DC513" w14:textId="77777777">
      <w:pPr>
        <w:pStyle w:val="FootnoteText"/>
      </w:pPr>
      <w:r>
        <w:rPr>
          <w:rStyle w:val="FootnoteReference"/>
        </w:rPr>
        <w:footnoteRef/>
      </w:r>
      <w:r>
        <w:t xml:space="preserve"> </w:t>
      </w:r>
      <w:r>
        <w:rPr>
          <w:i/>
          <w:iCs/>
        </w:rPr>
        <w:t xml:space="preserve">See </w:t>
      </w:r>
      <w:r>
        <w:t>47 CFR § 1.9020.</w:t>
      </w:r>
    </w:p>
  </w:footnote>
  <w:footnote w:id="9">
    <w:p w:rsidR="005F5AAD" w:rsidP="00514E29" w14:paraId="27043F52" w14:textId="4A9F7E77">
      <w:pPr>
        <w:pStyle w:val="FootnoteText"/>
      </w:pPr>
      <w:r>
        <w:rPr>
          <w:rStyle w:val="FootnoteReference"/>
        </w:rPr>
        <w:footnoteRef/>
      </w:r>
      <w:r>
        <w:t xml:space="preserve"> Description of Transaction and Public Interest Statement,</w:t>
      </w:r>
      <w:r w:rsidRPr="00411B70">
        <w:rPr>
          <w:spacing w:val="-2"/>
        </w:rPr>
        <w:t xml:space="preserve"> </w:t>
      </w:r>
      <w:r>
        <w:rPr>
          <w:spacing w:val="-2"/>
        </w:rPr>
        <w:t xml:space="preserve">ULS </w:t>
      </w:r>
      <w:r w:rsidRPr="00CC3AD7">
        <w:rPr>
          <w:spacing w:val="-2"/>
        </w:rPr>
        <w:t>File No. 0009021213</w:t>
      </w:r>
      <w:r w:rsidR="00D62996">
        <w:rPr>
          <w:spacing w:val="-2"/>
        </w:rPr>
        <w:t xml:space="preserve">, 5 (filed Mar. 23, 2020); Description of Transaction and </w:t>
      </w:r>
      <w:r w:rsidRPr="00804AAC" w:rsidR="00D62996">
        <w:t>Public Interest Statement</w:t>
      </w:r>
      <w:r w:rsidR="00D62996">
        <w:rPr>
          <w:spacing w:val="-2"/>
        </w:rPr>
        <w:t>, ULS File No.</w:t>
      </w:r>
      <w:r w:rsidRPr="00CC3AD7">
        <w:rPr>
          <w:spacing w:val="-2"/>
        </w:rPr>
        <w:t xml:space="preserve"> 0009021220</w:t>
      </w:r>
      <w:r>
        <w:rPr>
          <w:spacing w:val="-2"/>
        </w:rPr>
        <w:t xml:space="preserve">, 5 (filed Mar. 23, 2020) </w:t>
      </w:r>
      <w:r w:rsidR="00F62197">
        <w:t>(collectively, Public Interest Statements)</w:t>
      </w:r>
      <w:r>
        <w:t>.</w:t>
      </w:r>
      <w:r w:rsidR="00F62197">
        <w:t xml:space="preserve">  </w:t>
      </w:r>
    </w:p>
  </w:footnote>
  <w:footnote w:id="10">
    <w:p w:rsidR="00017227" w:rsidRPr="00FB0FF5" w:rsidP="00017227" w14:paraId="40FE0A4E" w14:textId="299A8C7D">
      <w:pPr>
        <w:pStyle w:val="FootnoteText"/>
      </w:pPr>
      <w:r>
        <w:rPr>
          <w:rStyle w:val="FootnoteReference"/>
        </w:rPr>
        <w:footnoteRef/>
      </w:r>
      <w:r>
        <w:t xml:space="preserve"> </w:t>
      </w:r>
      <w:r>
        <w:rPr>
          <w:i/>
          <w:iCs/>
        </w:rPr>
        <w:t xml:space="preserve">See </w:t>
      </w:r>
      <w:r>
        <w:t>47 CFR § 1.9020(g) (post-notification review where Commission determines spectrum manager lease “raises foreign ownership, competitive, or other public interest concerns”)</w:t>
      </w:r>
      <w:r w:rsidR="007B3636">
        <w:t xml:space="preserve">; </w:t>
      </w:r>
      <w:r w:rsidR="007B3636">
        <w:rPr>
          <w:i/>
          <w:iCs/>
        </w:rPr>
        <w:t xml:space="preserve">see also </w:t>
      </w:r>
      <w:r w:rsidR="007B3636">
        <w:t>47 CFR §</w:t>
      </w:r>
      <w:r w:rsidR="00051B4E">
        <w:t> </w:t>
      </w:r>
      <w:r w:rsidRPr="00051B4E" w:rsidR="00051B4E">
        <w:t>20.22(a)</w:t>
      </w:r>
      <w:r>
        <w:t xml:space="preserve">.    </w:t>
      </w:r>
    </w:p>
  </w:footnote>
  <w:footnote w:id="11">
    <w:p w:rsidR="005F5AAD" w14:paraId="338E0A12" w14:textId="46308B6E">
      <w:pPr>
        <w:pStyle w:val="FootnoteText"/>
      </w:pPr>
      <w:r>
        <w:rPr>
          <w:rStyle w:val="FootnoteReference"/>
        </w:rPr>
        <w:footnoteRef/>
      </w:r>
      <w:r>
        <w:t xml:space="preserve"> </w:t>
      </w:r>
      <w:r>
        <w:rPr>
          <w:i/>
          <w:iCs/>
        </w:rPr>
        <w:t xml:space="preserve">See </w:t>
      </w:r>
      <w:r w:rsidRPr="00341FD2">
        <w:t>47 CFR</w:t>
      </w:r>
      <w:r>
        <w:t xml:space="preserve"> </w:t>
      </w:r>
      <w:r>
        <w:rPr>
          <w:rFonts w:ascii="Segoe UI Emoji" w:hAnsi="Segoe UI Emoji"/>
        </w:rPr>
        <w:t>§</w:t>
      </w:r>
      <w:r>
        <w:t xml:space="preserve"> 20.22(a). </w:t>
      </w:r>
      <w:r w:rsidRPr="00341FD2">
        <w:t xml:space="preserve"> </w:t>
      </w:r>
      <w:r>
        <w:t>T</w:t>
      </w:r>
      <w:r w:rsidRPr="005B448C">
        <w:t>he Commission applies its spectrum screen and case-by-case analysis to evaluate the likely competitive effects of increased spectrum aggregation in secondary market transactions</w:t>
      </w:r>
      <w:r>
        <w:t xml:space="preserve">.  </w:t>
      </w:r>
      <w:r w:rsidRPr="0019130C" w:rsidR="00865F34">
        <w:rPr>
          <w:i/>
          <w:iCs/>
          <w:color w:val="010101"/>
        </w:rPr>
        <w:t>Mobile Spectrum Holdings</w:t>
      </w:r>
      <w:r w:rsidRPr="008F0B2A" w:rsidR="00865F34">
        <w:rPr>
          <w:i/>
          <w:color w:val="010101"/>
        </w:rPr>
        <w:t xml:space="preserve"> Report and Order</w:t>
      </w:r>
      <w:r w:rsidRPr="0019130C">
        <w:rPr>
          <w:color w:val="010101"/>
        </w:rPr>
        <w:t xml:space="preserve">, 29 FCC Rcd </w:t>
      </w:r>
      <w:r w:rsidR="00865F34">
        <w:rPr>
          <w:color w:val="010101"/>
        </w:rPr>
        <w:t>at</w:t>
      </w:r>
      <w:r>
        <w:rPr>
          <w:color w:val="010101"/>
        </w:rPr>
        <w:t xml:space="preserve"> </w:t>
      </w:r>
      <w:r w:rsidRPr="001D00FB">
        <w:rPr>
          <w:color w:val="010101"/>
        </w:rPr>
        <w:t>6221-22, para. 225</w:t>
      </w:r>
      <w:r>
        <w:rPr>
          <w:color w:val="010101"/>
        </w:rPr>
        <w:t>.</w:t>
      </w:r>
      <w:r w:rsidR="00197E0A">
        <w:rPr>
          <w:color w:val="010101"/>
        </w:rPr>
        <w:t xml:space="preserve">  </w:t>
      </w:r>
      <w:r w:rsidR="000B4BEA">
        <w:rPr>
          <w:color w:val="010101"/>
        </w:rPr>
        <w:t xml:space="preserve">For purposes of </w:t>
      </w:r>
      <w:r w:rsidR="00F40148">
        <w:rPr>
          <w:color w:val="010101"/>
        </w:rPr>
        <w:t>its</w:t>
      </w:r>
      <w:r w:rsidR="001F112E">
        <w:rPr>
          <w:color w:val="010101"/>
        </w:rPr>
        <w:t xml:space="preserve"> application of the</w:t>
      </w:r>
      <w:r w:rsidR="000B4BEA">
        <w:rPr>
          <w:color w:val="010101"/>
        </w:rPr>
        <w:t xml:space="preserve"> spectrum screen, the Commission includes in T-Mobile’s spectrum holdings the kind of spectrum leases at issue here</w:t>
      </w:r>
      <w:r w:rsidRPr="008F0B2A" w:rsidR="000B4BEA">
        <w:rPr>
          <w:color w:val="010101"/>
        </w:rPr>
        <w:t xml:space="preserve">.  </w:t>
      </w:r>
      <w:r w:rsidRPr="00F0765A" w:rsidR="00F17461">
        <w:rPr>
          <w:i/>
          <w:iCs/>
          <w:color w:val="010101"/>
        </w:rPr>
        <w:t>See</w:t>
      </w:r>
      <w:r w:rsidR="00F17461">
        <w:rPr>
          <w:i/>
          <w:iCs/>
          <w:color w:val="010101"/>
          <w:u w:val="single"/>
        </w:rPr>
        <w:t xml:space="preserve"> </w:t>
      </w:r>
      <w:r w:rsidRPr="00147355" w:rsidR="0096726E">
        <w:rPr>
          <w:i/>
          <w:iCs/>
        </w:rPr>
        <w:t>Mobile Spectrum Holdings Report and Order</w:t>
      </w:r>
      <w:r w:rsidRPr="00147355" w:rsidR="0096726E">
        <w:t>, 29 FCC Rcd at 6245, para. 301</w:t>
      </w:r>
      <w:r w:rsidR="0096726E">
        <w:t xml:space="preserve"> (</w:t>
      </w:r>
      <w:r w:rsidR="008A4C5F">
        <w:t>confirming th</w:t>
      </w:r>
      <w:r w:rsidR="00C834C2">
        <w:t>e Commission’s practice of attributing “long-term spectrum leasing arrangements, with limited exceptions, to both lessee and lessor”</w:t>
      </w:r>
      <w:r w:rsidR="00DE13DC">
        <w:t>)</w:t>
      </w:r>
      <w:r w:rsidR="00EE1FD6">
        <w:t>.</w:t>
      </w:r>
      <w:r w:rsidR="000B4BEA">
        <w:rPr>
          <w:color w:val="010101"/>
        </w:rPr>
        <w:t xml:space="preserve">   </w:t>
      </w:r>
    </w:p>
  </w:footnote>
  <w:footnote w:id="12">
    <w:p w:rsidR="005F5AAD" w:rsidP="00BE4A51" w14:paraId="6CB2D945" w14:textId="252395E7">
      <w:pPr>
        <w:pStyle w:val="FootnoteText"/>
      </w:pPr>
      <w:r>
        <w:rPr>
          <w:rStyle w:val="FootnoteReference"/>
        </w:rPr>
        <w:footnoteRef/>
      </w:r>
      <w:r>
        <w:t xml:space="preserve"> </w:t>
      </w:r>
      <w:r w:rsidRPr="00803CB1">
        <w:rPr>
          <w:i/>
          <w:iCs/>
        </w:rPr>
        <w:t>See</w:t>
      </w:r>
      <w:r w:rsidRPr="005E2142">
        <w:t xml:space="preserve"> </w:t>
      </w:r>
      <w:r w:rsidRPr="008F0B2A">
        <w:t>Action</w:t>
      </w:r>
      <w:r>
        <w:t xml:space="preserve"> Public Notice</w:t>
      </w:r>
      <w:r w:rsidRPr="005E2142">
        <w:t xml:space="preserve">; 47 CFR </w:t>
      </w:r>
      <w:r w:rsidRPr="005E2142">
        <w:t>§</w:t>
      </w:r>
      <w:r w:rsidRPr="005E2142">
        <w:t xml:space="preserve"> 1.9020(e)(1)(iii), (e)(2)(iv).</w:t>
      </w:r>
    </w:p>
  </w:footnote>
  <w:footnote w:id="13">
    <w:p w:rsidR="005F5AAD" w:rsidP="00B305A5" w14:paraId="5157D7E9" w14:textId="763B4BA1">
      <w:pPr>
        <w:pStyle w:val="FootnoteText"/>
      </w:pPr>
      <w:r>
        <w:rPr>
          <w:rStyle w:val="FootnoteReference"/>
        </w:rPr>
        <w:footnoteRef/>
      </w:r>
      <w:r>
        <w:t xml:space="preserve"> Petition at 2.  </w:t>
      </w:r>
    </w:p>
  </w:footnote>
  <w:footnote w:id="14">
    <w:p w:rsidR="005F5AAD" w14:paraId="0F7E6279" w14:textId="5FA5989C">
      <w:pPr>
        <w:pStyle w:val="FootnoteText"/>
      </w:pPr>
      <w:r>
        <w:rPr>
          <w:rStyle w:val="FootnoteReference"/>
        </w:rPr>
        <w:footnoteRef/>
      </w:r>
      <w:r>
        <w:t xml:space="preserve"> </w:t>
      </w:r>
      <w:r w:rsidR="00792341">
        <w:rPr>
          <w:i/>
          <w:iCs/>
        </w:rPr>
        <w:t>Id.</w:t>
      </w:r>
      <w:r w:rsidR="00792341">
        <w:t xml:space="preserve"> </w:t>
      </w:r>
      <w:r>
        <w:t xml:space="preserve">at 1-2.  </w:t>
      </w:r>
    </w:p>
  </w:footnote>
  <w:footnote w:id="15">
    <w:p w:rsidR="005F5AAD" w:rsidP="006A0BBF" w14:paraId="18654F2A" w14:textId="1D5DB805">
      <w:pPr>
        <w:pStyle w:val="FootnoteText"/>
      </w:pPr>
      <w:r>
        <w:rPr>
          <w:rStyle w:val="FootnoteReference"/>
        </w:rPr>
        <w:footnoteRef/>
      </w:r>
      <w:r>
        <w:t xml:space="preserve"> </w:t>
      </w:r>
      <w:r w:rsidR="00792341">
        <w:rPr>
          <w:i/>
          <w:iCs/>
        </w:rPr>
        <w:t>Id.</w:t>
      </w:r>
      <w:r w:rsidR="00792341">
        <w:t xml:space="preserve"> </w:t>
      </w:r>
      <w:r>
        <w:t>at 1, 3, 8-14.</w:t>
      </w:r>
    </w:p>
  </w:footnote>
  <w:footnote w:id="16">
    <w:p w:rsidR="005F5AAD" w:rsidRPr="00201927" w14:paraId="3BE68892" w14:textId="35EA0124">
      <w:pPr>
        <w:pStyle w:val="FootnoteText"/>
      </w:pPr>
      <w:r w:rsidRPr="00201927">
        <w:rPr>
          <w:rStyle w:val="FootnoteReference"/>
        </w:rPr>
        <w:footnoteRef/>
      </w:r>
      <w:r w:rsidRPr="00201927">
        <w:t xml:space="preserve"> </w:t>
      </w:r>
      <w:r w:rsidRPr="00201927">
        <w:rPr>
          <w:i/>
          <w:iCs/>
        </w:rPr>
        <w:t xml:space="preserve">Applications of T-Mobile US, Inc., and Sprint Corporation For Consent To Transfer Control of Licenses and Authorizations; </w:t>
      </w:r>
      <w:r w:rsidRPr="00201927">
        <w:rPr>
          <w:i/>
        </w:rPr>
        <w:t>Applications of American H Block Wireless L.L.C, DBSD Corporation, Gamma Acquisition L.L.C., and Manifest Wireless L.L.C. for Extension of Time</w:t>
      </w:r>
      <w:r w:rsidRPr="00201927">
        <w:t>, Memorandum Opinion and Order, Declaratory Ruling, and Order of Proposed Modification, 34 FCC Rcd 10578 (2019) (</w:t>
      </w:r>
      <w:r w:rsidRPr="00201927">
        <w:rPr>
          <w:i/>
          <w:iCs/>
        </w:rPr>
        <w:t>T-Mobile/Sprint Order</w:t>
      </w:r>
      <w:r w:rsidRPr="00201927">
        <w:t>).</w:t>
      </w:r>
    </w:p>
  </w:footnote>
  <w:footnote w:id="17">
    <w:p w:rsidR="005F5AAD" w:rsidRPr="00201927" w:rsidP="006F49BC" w14:paraId="772DBDE0" w14:textId="09A91B75">
      <w:pPr>
        <w:pStyle w:val="FootnoteText"/>
      </w:pPr>
      <w:r w:rsidRPr="00201927">
        <w:rPr>
          <w:rStyle w:val="FootnoteReference"/>
        </w:rPr>
        <w:footnoteRef/>
      </w:r>
      <w:r w:rsidRPr="00201927">
        <w:t xml:space="preserve"> AT&amp;T Comments at 1-2, 5; T-Mobile Reply to AT&amp;T at 6; Letter from Gregory Guice, Director of Government Affairs, Public Knowledge, to Marlene H. Dortch, Secretary, FCC, T-Mobile License LLC Spectrum Manager Lease Arrangements ULS File Nos. 0009021213 &amp; 0009021220, and T-Mobile De Facto Transfer Arrangement ULS File No. 0009217476, 3 (filed Oct. 20, 2020) (Public Knowledge Oct. 20 </w:t>
      </w:r>
      <w:r w:rsidRPr="00201927">
        <w:rPr>
          <w:i/>
          <w:iCs/>
        </w:rPr>
        <w:t>Ex Parte</w:t>
      </w:r>
      <w:r w:rsidRPr="00201927">
        <w:t xml:space="preserve"> Letter). </w:t>
      </w:r>
      <w:r>
        <w:t xml:space="preserve"> </w:t>
      </w:r>
      <w:r w:rsidRPr="00201927">
        <w:rPr>
          <w:i/>
          <w:iCs/>
        </w:rPr>
        <w:t>See</w:t>
      </w:r>
      <w:r w:rsidRPr="00201927">
        <w:t xml:space="preserve"> </w:t>
      </w:r>
      <w:r w:rsidRPr="00201927">
        <w:rPr>
          <w:i/>
          <w:iCs/>
        </w:rPr>
        <w:t>Expanding Flexible Use of the 3.7 to 4.2 GHz</w:t>
      </w:r>
      <w:r w:rsidRPr="001F30A9">
        <w:t xml:space="preserve">, GN Docket No. 18-122, </w:t>
      </w:r>
      <w:r w:rsidRPr="00201927">
        <w:t>Report and Order and Order of Proposed Modification, 35 FCC Rcd 2343, 2345, para. 4 (2020)</w:t>
      </w:r>
      <w:r w:rsidRPr="00201927">
        <w:rPr>
          <w:i/>
          <w:iCs/>
        </w:rPr>
        <w:t xml:space="preserve"> </w:t>
      </w:r>
      <w:r w:rsidRPr="00341FD2">
        <w:t>(</w:t>
      </w:r>
      <w:r w:rsidRPr="00201927">
        <w:rPr>
          <w:i/>
          <w:iCs/>
        </w:rPr>
        <w:t>3.7 GHz Report and Order</w:t>
      </w:r>
      <w:r w:rsidRPr="0010265F">
        <w:t>)</w:t>
      </w:r>
      <w:r w:rsidRPr="00201927">
        <w:t>.</w:t>
      </w:r>
    </w:p>
  </w:footnote>
  <w:footnote w:id="18">
    <w:p w:rsidR="004B4F71" w14:paraId="23404B3A" w14:textId="367C46BD">
      <w:pPr>
        <w:pStyle w:val="FootnoteText"/>
      </w:pPr>
      <w:r>
        <w:rPr>
          <w:rStyle w:val="FootnoteReference"/>
        </w:rPr>
        <w:footnoteRef/>
      </w:r>
      <w:r>
        <w:t xml:space="preserve"> The </w:t>
      </w:r>
      <w:r w:rsidR="00504CF0">
        <w:t xml:space="preserve">two </w:t>
      </w:r>
      <w:r w:rsidR="00C41827">
        <w:t>applications</w:t>
      </w:r>
      <w:r w:rsidRPr="00F62197">
        <w:t xml:space="preserve"> are virtually identical</w:t>
      </w:r>
      <w:r w:rsidR="006747DB">
        <w:t>,</w:t>
      </w:r>
      <w:r w:rsidRPr="00F62197">
        <w:t xml:space="preserve"> were filed simultaneously</w:t>
      </w:r>
      <w:r>
        <w:t>,</w:t>
      </w:r>
      <w:r w:rsidRPr="00F62197">
        <w:t xml:space="preserve"> involv</w:t>
      </w:r>
      <w:r>
        <w:t>e</w:t>
      </w:r>
      <w:r w:rsidRPr="00F62197">
        <w:t xml:space="preserve"> </w:t>
      </w:r>
      <w:r w:rsidR="00504CF0">
        <w:t>similar</w:t>
      </w:r>
      <w:r w:rsidRPr="00F62197">
        <w:t xml:space="preserve"> leasing arrangements between T-Mobile and the lessor</w:t>
      </w:r>
      <w:r w:rsidR="00651B8C">
        <w:t>s</w:t>
      </w:r>
      <w:r w:rsidRPr="00F62197">
        <w:t xml:space="preserve">, </w:t>
      </w:r>
      <w:r>
        <w:t xml:space="preserve">involve lessors with common ownership, and are the subject of a single petition for </w:t>
      </w:r>
      <w:r w:rsidR="00504CF0">
        <w:t>reconsideration</w:t>
      </w:r>
      <w:r>
        <w:t>.</w:t>
      </w:r>
    </w:p>
  </w:footnote>
  <w:footnote w:id="19">
    <w:p w:rsidR="005F5AAD" w:rsidRPr="00201927" w:rsidP="0041541D" w14:paraId="7910B0C9" w14:textId="2F694D64">
      <w:pPr>
        <w:pStyle w:val="FootnoteText"/>
      </w:pPr>
      <w:r w:rsidRPr="00201927">
        <w:rPr>
          <w:rStyle w:val="FootnoteReference"/>
        </w:rPr>
        <w:footnoteRef/>
      </w:r>
      <w:r w:rsidRPr="00201927">
        <w:t xml:space="preserve"> </w:t>
      </w:r>
      <w:r w:rsidRPr="00201927">
        <w:rPr>
          <w:i/>
          <w:iCs/>
        </w:rPr>
        <w:t>See, e.g.</w:t>
      </w:r>
      <w:r w:rsidRPr="00201927">
        <w:t>,</w:t>
      </w:r>
      <w:r w:rsidRPr="00A70D04">
        <w:rPr>
          <w:i/>
        </w:rPr>
        <w:t xml:space="preserve"> </w:t>
      </w:r>
      <w:r w:rsidRPr="001E144E">
        <w:rPr>
          <w:i/>
        </w:rPr>
        <w:t>Applications of AT&amp;T Inc., E.N.M.R. Telephone Cooperative, Plateau Telecommunications, Inc., New Mexico RSA 4 East Limited Partnership, and Texas RSA 3 Limited Partnership for Consent To Assign Licenses and Authorizations</w:t>
      </w:r>
      <w:r w:rsidRPr="001E144E">
        <w:t>, Memorandum Opinion and Order, 30 FCC Rcd 5107, 511</w:t>
      </w:r>
      <w:r>
        <w:t>3</w:t>
      </w:r>
      <w:r w:rsidRPr="001E144E">
        <w:t xml:space="preserve">, para. </w:t>
      </w:r>
      <w:r>
        <w:t>12</w:t>
      </w:r>
      <w:r w:rsidRPr="001E144E">
        <w:t xml:space="preserve"> (2015) (</w:t>
      </w:r>
      <w:r w:rsidRPr="001E144E">
        <w:rPr>
          <w:i/>
        </w:rPr>
        <w:t>AT&amp;T</w:t>
      </w:r>
      <w:r w:rsidR="007C258E">
        <w:rPr>
          <w:i/>
        </w:rPr>
        <w:t>/</w:t>
      </w:r>
      <w:r w:rsidRPr="001E144E">
        <w:rPr>
          <w:i/>
        </w:rPr>
        <w:t>Plateau Wireless Order</w:t>
      </w:r>
      <w:r w:rsidRPr="001E144E">
        <w:t>)</w:t>
      </w:r>
      <w:r>
        <w:t xml:space="preserve">. </w:t>
      </w:r>
      <w:r w:rsidRPr="00201927">
        <w:t xml:space="preserve"> </w:t>
      </w:r>
      <w:r w:rsidRPr="00155C13" w:rsidR="00155C13">
        <w:t xml:space="preserve">As the instant transaction does not result in the acquisition of wireless business units and customers, we do not apply the initial </w:t>
      </w:r>
      <w:r w:rsidRPr="006C1B4D" w:rsidR="006C1B4D">
        <w:t>Herfindahl-Hirschman Index</w:t>
      </w:r>
      <w:r w:rsidR="006C1B4D">
        <w:t xml:space="preserve"> (</w:t>
      </w:r>
      <w:r w:rsidRPr="00155C13" w:rsidR="00155C13">
        <w:t>HHI</w:t>
      </w:r>
      <w:r w:rsidR="006C1B4D">
        <w:t>)</w:t>
      </w:r>
      <w:r w:rsidRPr="00155C13" w:rsidR="00155C13">
        <w:t xml:space="preserve"> screen</w:t>
      </w:r>
      <w:r w:rsidR="00155C13">
        <w:t xml:space="preserve">.  </w:t>
      </w:r>
      <w:r w:rsidRPr="00F0765A" w:rsidR="0007641D">
        <w:rPr>
          <w:i/>
          <w:iCs/>
        </w:rPr>
        <w:t>Application of AT&amp;T Mobility Spectrum LLC and Club 42CM Limited Partnership for Consent To Assign Licenses</w:t>
      </w:r>
      <w:r w:rsidR="0007641D">
        <w:t>, Memorandum Opinion and Order, 30 FCC Rcd 13055</w:t>
      </w:r>
      <w:r w:rsidR="00DB24D8">
        <w:t>, 13066</w:t>
      </w:r>
      <w:r w:rsidR="00F5435B">
        <w:t>,</w:t>
      </w:r>
      <w:r w:rsidR="00731EE6">
        <w:t xml:space="preserve"> para. 2</w:t>
      </w:r>
      <w:r w:rsidR="008F040A">
        <w:t>4</w:t>
      </w:r>
      <w:r w:rsidR="0007641D">
        <w:t xml:space="preserve"> (2015) (</w:t>
      </w:r>
      <w:r w:rsidRPr="00F0765A" w:rsidR="0007641D">
        <w:rPr>
          <w:i/>
          <w:iCs/>
        </w:rPr>
        <w:t>AT&amp;T</w:t>
      </w:r>
      <w:r w:rsidR="008C6177">
        <w:rPr>
          <w:i/>
          <w:iCs/>
        </w:rPr>
        <w:t>/</w:t>
      </w:r>
      <w:r w:rsidRPr="00F0765A" w:rsidR="0007641D">
        <w:rPr>
          <w:i/>
          <w:iCs/>
        </w:rPr>
        <w:t>Club 42 Order</w:t>
      </w:r>
      <w:r w:rsidR="0007641D">
        <w:t xml:space="preserve">). </w:t>
      </w:r>
    </w:p>
  </w:footnote>
  <w:footnote w:id="20">
    <w:p w:rsidR="005F5AAD" w:rsidRPr="00392DBD" w:rsidP="00A54FA1" w14:paraId="256D9993" w14:textId="49444D11">
      <w:pPr>
        <w:pStyle w:val="FootnoteText"/>
      </w:pPr>
      <w:r w:rsidRPr="00392DBD">
        <w:rPr>
          <w:rStyle w:val="FootnoteReference"/>
        </w:rPr>
        <w:footnoteRef/>
      </w:r>
      <w:r w:rsidRPr="00392DBD">
        <w:t xml:space="preserve"> </w:t>
      </w:r>
      <w:r w:rsidRPr="00392DBD">
        <w:rPr>
          <w:i/>
          <w:iCs/>
        </w:rPr>
        <w:t>See, e.g.</w:t>
      </w:r>
      <w:r w:rsidRPr="00B8347D">
        <w:t>,</w:t>
      </w:r>
      <w:r w:rsidRPr="00CF4F43">
        <w:rPr>
          <w:i/>
          <w:iCs/>
        </w:rPr>
        <w:t xml:space="preserve"> </w:t>
      </w:r>
      <w:r>
        <w:rPr>
          <w:i/>
          <w:iCs/>
        </w:rPr>
        <w:t xml:space="preserve">T-Mobile/Sprint </w:t>
      </w:r>
      <w:r w:rsidRPr="008B4A08">
        <w:rPr>
          <w:i/>
          <w:iCs/>
        </w:rPr>
        <w:t>Order</w:t>
      </w:r>
      <w:r>
        <w:t>, 34 FCC Rcd at 10596, para. 41;</w:t>
      </w:r>
      <w:r w:rsidRPr="00392DBD">
        <w:rPr>
          <w:i/>
          <w:iCs/>
        </w:rPr>
        <w:t xml:space="preserve"> AT&amp;T</w:t>
      </w:r>
      <w:r w:rsidR="007C258E">
        <w:rPr>
          <w:i/>
          <w:iCs/>
        </w:rPr>
        <w:t>/</w:t>
      </w:r>
      <w:r w:rsidRPr="00392DBD">
        <w:rPr>
          <w:i/>
          <w:iCs/>
        </w:rPr>
        <w:t>Plateau Wireless Order</w:t>
      </w:r>
      <w:r w:rsidRPr="00392DBD">
        <w:t>, 30 FCC Rcd at 5126, para. 43.</w:t>
      </w:r>
    </w:p>
  </w:footnote>
  <w:footnote w:id="21">
    <w:p w:rsidR="005F5AAD" w:rsidRPr="00392DBD" w:rsidP="00A54FA1" w14:paraId="78A95FAF" w14:textId="7D7EFA05">
      <w:pPr>
        <w:pStyle w:val="FootnoteText"/>
      </w:pPr>
      <w:r w:rsidRPr="00392DBD">
        <w:rPr>
          <w:rStyle w:val="FootnoteReference"/>
        </w:rPr>
        <w:footnoteRef/>
      </w:r>
      <w:r w:rsidRPr="00392DBD">
        <w:t xml:space="preserve"> </w:t>
      </w:r>
      <w:r>
        <w:rPr>
          <w:i/>
          <w:iCs/>
        </w:rPr>
        <w:t xml:space="preserve">T-Mobile/Sprint </w:t>
      </w:r>
      <w:r w:rsidRPr="008B4A08">
        <w:rPr>
          <w:i/>
          <w:iCs/>
        </w:rPr>
        <w:t>Order</w:t>
      </w:r>
      <w:r>
        <w:t>, 34 FCC Rcd at 10596, para. 41.</w:t>
      </w:r>
    </w:p>
  </w:footnote>
  <w:footnote w:id="22">
    <w:p w:rsidR="005F5AAD" w:rsidRPr="00D22B64" w:rsidP="00A54FA1" w14:paraId="14C8C120" w14:textId="61F9C77D">
      <w:pPr>
        <w:pStyle w:val="FootnoteText"/>
      </w:pPr>
      <w:r w:rsidRPr="00D22B64">
        <w:rPr>
          <w:rStyle w:val="FootnoteReference"/>
        </w:rPr>
        <w:footnoteRef/>
      </w:r>
      <w:r w:rsidRPr="00D22B64">
        <w:t xml:space="preserve"> </w:t>
      </w:r>
      <w:r w:rsidRPr="00210D24">
        <w:rPr>
          <w:i/>
          <w:iCs/>
        </w:rPr>
        <w:t>Application of Cellco Partnership d/b/a Verizon Wireless and Nextlink Wireless, LLC For Consent to Long-Term De Facto Transfer Spectrum Leasing Arrangement</w:t>
      </w:r>
      <w:r w:rsidRPr="00210D24">
        <w:t xml:space="preserve">, Memorandum, Opinion, and Order, 31 FCC Rcd 7767, </w:t>
      </w:r>
      <w:r w:rsidR="00450003">
        <w:t>7</w:t>
      </w:r>
      <w:r w:rsidRPr="00210D24">
        <w:t>777, para</w:t>
      </w:r>
      <w:r w:rsidR="00F2026E">
        <w:t>.</w:t>
      </w:r>
      <w:r w:rsidRPr="00210D24">
        <w:t xml:space="preserve"> 22 (</w:t>
      </w:r>
      <w:r>
        <w:t xml:space="preserve">WTB </w:t>
      </w:r>
      <w:r w:rsidRPr="00210D24">
        <w:t>2016) (</w:t>
      </w:r>
      <w:r w:rsidRPr="00210D24">
        <w:rPr>
          <w:i/>
          <w:iCs/>
        </w:rPr>
        <w:t>Verizon Wireless/Ne</w:t>
      </w:r>
      <w:r>
        <w:rPr>
          <w:i/>
          <w:iCs/>
        </w:rPr>
        <w:t>x</w:t>
      </w:r>
      <w:r w:rsidRPr="00210D24">
        <w:rPr>
          <w:i/>
          <w:iCs/>
        </w:rPr>
        <w:t>tlink Order</w:t>
      </w:r>
      <w:r w:rsidRPr="00210D24">
        <w:t>).</w:t>
      </w:r>
    </w:p>
  </w:footnote>
  <w:footnote w:id="23">
    <w:p w:rsidR="005F5AAD" w:rsidRPr="00A077D8" w:rsidP="00A54FA1" w14:paraId="74A5A889" w14:textId="5C4D7425">
      <w:pPr>
        <w:pStyle w:val="FootnoteText"/>
      </w:pPr>
      <w:r w:rsidRPr="0038577E">
        <w:rPr>
          <w:rStyle w:val="FootnoteReference"/>
        </w:rPr>
        <w:footnoteRef/>
      </w:r>
      <w:r w:rsidRPr="00C501B0">
        <w:t xml:space="preserve"> </w:t>
      </w:r>
      <w:r w:rsidRPr="00210D24">
        <w:rPr>
          <w:i/>
          <w:iCs/>
        </w:rPr>
        <w:t>Verizon Wireless/Ne</w:t>
      </w:r>
      <w:r>
        <w:rPr>
          <w:i/>
          <w:iCs/>
        </w:rPr>
        <w:t>x</w:t>
      </w:r>
      <w:r w:rsidRPr="00210D24">
        <w:rPr>
          <w:i/>
          <w:iCs/>
        </w:rPr>
        <w:t>tlink Order</w:t>
      </w:r>
      <w:r w:rsidRPr="00957093">
        <w:t>,</w:t>
      </w:r>
      <w:r w:rsidRPr="0047214E">
        <w:t xml:space="preserve"> </w:t>
      </w:r>
      <w:r w:rsidRPr="00210D24">
        <w:t xml:space="preserve">31 FCC Rcd </w:t>
      </w:r>
      <w:r>
        <w:t>at</w:t>
      </w:r>
      <w:r w:rsidRPr="00210D24">
        <w:t xml:space="preserve"> 7</w:t>
      </w:r>
      <w:r w:rsidR="009F5413">
        <w:t>7</w:t>
      </w:r>
      <w:r w:rsidRPr="00210D24">
        <w:t>77, para</w:t>
      </w:r>
      <w:r>
        <w:t>.</w:t>
      </w:r>
      <w:r w:rsidRPr="00210D24">
        <w:t xml:space="preserve"> 22</w:t>
      </w:r>
      <w:r>
        <w:t>.</w:t>
      </w:r>
    </w:p>
  </w:footnote>
  <w:footnote w:id="24">
    <w:p w:rsidR="005F5AAD" w:rsidRPr="000E1BBB" w:rsidP="00A54FA1" w14:paraId="123F8DA7" w14:textId="41A8057F">
      <w:pPr>
        <w:pStyle w:val="FootnoteText"/>
      </w:pPr>
      <w:r w:rsidRPr="001241E2">
        <w:rPr>
          <w:rStyle w:val="FootnoteReference"/>
        </w:rPr>
        <w:footnoteRef/>
      </w:r>
      <w:r w:rsidRPr="001241E2">
        <w:t xml:space="preserve"> </w:t>
      </w:r>
      <w:r w:rsidRPr="00223A13" w:rsidR="60832C6F">
        <w:rPr>
          <w:i/>
        </w:rPr>
        <w:t>Id.</w:t>
      </w:r>
    </w:p>
  </w:footnote>
  <w:footnote w:id="25">
    <w:p w:rsidR="005F5AAD" w:rsidRPr="00201927" w:rsidP="0041541D" w14:paraId="20173910" w14:textId="230437FD">
      <w:pPr>
        <w:pStyle w:val="FootnoteText"/>
      </w:pPr>
      <w:r w:rsidRPr="00201927">
        <w:rPr>
          <w:rStyle w:val="FootnoteReference"/>
        </w:rPr>
        <w:footnoteRef/>
      </w:r>
      <w:r w:rsidRPr="00201927">
        <w:t xml:space="preserve"> </w:t>
      </w:r>
      <w:r w:rsidRPr="00201927">
        <w:rPr>
          <w:i/>
          <w:iCs/>
        </w:rPr>
        <w:t>See</w:t>
      </w:r>
      <w:r>
        <w:rPr>
          <w:i/>
          <w:iCs/>
        </w:rPr>
        <w:t xml:space="preserve"> </w:t>
      </w:r>
      <w:r w:rsidRPr="00201927">
        <w:rPr>
          <w:i/>
          <w:iCs/>
        </w:rPr>
        <w:t>Mobile Spectrum Holdings Report and Order</w:t>
      </w:r>
      <w:r w:rsidRPr="00201927">
        <w:t>, 29 FCC Rcd at 6223-24, para. 231.</w:t>
      </w:r>
      <w:r>
        <w:t xml:space="preserve">  </w:t>
      </w:r>
      <w:r w:rsidRPr="004F3E27">
        <w:rPr>
          <w:color w:val="020100"/>
        </w:rPr>
        <w:t>Further, we point out that the screen is the first step in our competitive evaluation, and</w:t>
      </w:r>
      <w:r>
        <w:rPr>
          <w:color w:val="020100"/>
        </w:rPr>
        <w:t>,</w:t>
      </w:r>
      <w:r w:rsidRPr="004F3E27">
        <w:rPr>
          <w:color w:val="020100"/>
        </w:rPr>
        <w:t xml:space="preserve"> as the Commission has previously found, </w:t>
      </w:r>
      <w:r w:rsidRPr="004F3E27">
        <w:rPr>
          <w:i/>
          <w:color w:val="020100"/>
        </w:rPr>
        <w:t>ex ante</w:t>
      </w:r>
      <w:r w:rsidRPr="004F3E27">
        <w:rPr>
          <w:color w:val="020100"/>
        </w:rPr>
        <w:t xml:space="preserve"> limits on spectrum aggregation may prevent transactions that are in the public interest.</w:t>
      </w:r>
      <w:r>
        <w:rPr>
          <w:color w:val="020100"/>
        </w:rPr>
        <w:t xml:space="preserve">  </w:t>
      </w:r>
      <w:r w:rsidRPr="00E4014A">
        <w:rPr>
          <w:i/>
          <w:iCs/>
          <w:color w:val="020100"/>
        </w:rPr>
        <w:t>Id</w:t>
      </w:r>
      <w:r>
        <w:rPr>
          <w:color w:val="020100"/>
        </w:rPr>
        <w:t>.</w:t>
      </w:r>
      <w:r w:rsidRPr="004F3E27">
        <w:rPr>
          <w:color w:val="020100"/>
        </w:rPr>
        <w:t xml:space="preserve"> </w:t>
      </w:r>
    </w:p>
  </w:footnote>
  <w:footnote w:id="26">
    <w:p w:rsidR="005F5AAD" w:rsidRPr="00E900FF" w:rsidP="0041541D" w14:paraId="35F4D45C" w14:textId="05D26699">
      <w:pPr>
        <w:pStyle w:val="FootnoteText"/>
      </w:pPr>
      <w:r>
        <w:rPr>
          <w:rStyle w:val="FootnoteReference"/>
        </w:rPr>
        <w:footnoteRef/>
      </w:r>
      <w:r>
        <w:t xml:space="preserve"> </w:t>
      </w:r>
      <w:r w:rsidR="001C7D7A">
        <w:rPr>
          <w:i/>
          <w:iCs/>
        </w:rPr>
        <w:t>Id.</w:t>
      </w:r>
      <w:r w:rsidRPr="00BD0A17">
        <w:t xml:space="preserve"> at 6233, 6238-40, paras. 267, 282-88. </w:t>
      </w:r>
      <w:r>
        <w:t xml:space="preserve"> </w:t>
      </w:r>
      <w:r w:rsidRPr="00BD0A17">
        <w:t xml:space="preserve">The Commission established enhanced factor review in a rulemaking, and we therefore apply it </w:t>
      </w:r>
      <w:r>
        <w:t xml:space="preserve">in this competitive analysis, as the Commission did in the </w:t>
      </w:r>
      <w:r w:rsidRPr="00201927">
        <w:rPr>
          <w:i/>
          <w:iCs/>
        </w:rPr>
        <w:t>T-Mobile/Sprint Order</w:t>
      </w:r>
      <w:r w:rsidRPr="00BD0A17">
        <w:t xml:space="preserve">. </w:t>
      </w:r>
      <w:r>
        <w:t xml:space="preserve"> </w:t>
      </w:r>
      <w:r>
        <w:rPr>
          <w:i/>
          <w:iCs/>
        </w:rPr>
        <w:t xml:space="preserve">T-Mobile/Sprint </w:t>
      </w:r>
      <w:r w:rsidRPr="008B4A08">
        <w:rPr>
          <w:i/>
          <w:iCs/>
        </w:rPr>
        <w:t>Order</w:t>
      </w:r>
      <w:r>
        <w:t>, 34 FCC Rcd at 10621, para. 10</w:t>
      </w:r>
      <w:r w:rsidRPr="00080BDC" w:rsidR="00080BDC">
        <w:t>1</w:t>
      </w:r>
      <w:r w:rsidR="00295634">
        <w:t xml:space="preserve"> &amp;</w:t>
      </w:r>
      <w:r>
        <w:t xml:space="preserve"> n.329.  As the Commission explained in that order</w:t>
      </w:r>
      <w:r w:rsidRPr="00BD0A17">
        <w:t xml:space="preserve">, however, concerns expressed in the dissent from the </w:t>
      </w:r>
      <w:r w:rsidRPr="00BD0A17">
        <w:rPr>
          <w:i/>
          <w:iCs/>
        </w:rPr>
        <w:t>Mobile Spectrum Holdings Report and Order</w:t>
      </w:r>
      <w:r>
        <w:rPr>
          <w:i/>
          <w:iCs/>
        </w:rPr>
        <w:t xml:space="preserve"> </w:t>
      </w:r>
      <w:r w:rsidRPr="00BD0A17">
        <w:t>appear to have come to pass</w:t>
      </w:r>
      <w:r w:rsidR="009A4A28">
        <w:t>;</w:t>
      </w:r>
      <w:r w:rsidRPr="00BD0A17">
        <w:t xml:space="preserve"> for example, mid-band spectrum </w:t>
      </w:r>
      <w:r w:rsidR="009A4A28">
        <w:t xml:space="preserve">has grown in value </w:t>
      </w:r>
      <w:r w:rsidRPr="00BD0A17">
        <w:t xml:space="preserve">as a competitive asset as a result of technological innovation. </w:t>
      </w:r>
      <w:r>
        <w:t xml:space="preserve"> </w:t>
      </w:r>
      <w:r w:rsidRPr="00153E70">
        <w:rPr>
          <w:i/>
        </w:rPr>
        <w:t>Id.</w:t>
      </w:r>
      <w:r w:rsidRPr="00BD0A17">
        <w:t xml:space="preserve"> </w:t>
      </w:r>
      <w:r>
        <w:t xml:space="preserve">(citing </w:t>
      </w:r>
      <w:r w:rsidRPr="00BD0A17">
        <w:rPr>
          <w:i/>
          <w:iCs/>
        </w:rPr>
        <w:t>Mobile Spectrum Holdings Report and Order</w:t>
      </w:r>
      <w:r w:rsidRPr="00BD0A17">
        <w:t>, 29 FCC Rcd at 6268, 6271-74 (</w:t>
      </w:r>
      <w:r w:rsidR="00351027">
        <w:t>d</w:t>
      </w:r>
      <w:r w:rsidRPr="00BD0A17" w:rsidR="00351027">
        <w:t xml:space="preserve">issenting </w:t>
      </w:r>
      <w:r w:rsidRPr="00BD0A17">
        <w:t>Statement of Commissioner Ajit Pai)</w:t>
      </w:r>
      <w:r w:rsidR="008E03EC">
        <w:t>)</w:t>
      </w:r>
      <w:r w:rsidRPr="00BD0A17">
        <w:t xml:space="preserve">. </w:t>
      </w:r>
      <w:r>
        <w:t xml:space="preserve"> The Commission has indicated</w:t>
      </w:r>
      <w:r w:rsidRPr="00BD0A17">
        <w:t xml:space="preserve"> that reexamination of enhanced factor review may be warranted in a future rulemaking.</w:t>
      </w:r>
      <w:r>
        <w:t xml:space="preserve">  </w:t>
      </w:r>
      <w:r>
        <w:rPr>
          <w:i/>
          <w:iCs/>
        </w:rPr>
        <w:t xml:space="preserve">T-Mobile/Sprint </w:t>
      </w:r>
      <w:r w:rsidRPr="008B4A08">
        <w:rPr>
          <w:i/>
          <w:iCs/>
        </w:rPr>
        <w:t>Order</w:t>
      </w:r>
      <w:r>
        <w:t>, 34 FCC Rcd at 10621, para. 10</w:t>
      </w:r>
      <w:r w:rsidRPr="00EA3CD4" w:rsidR="00EA3CD4">
        <w:t>1</w:t>
      </w:r>
      <w:r w:rsidR="00344760">
        <w:t xml:space="preserve"> &amp;</w:t>
      </w:r>
      <w:r>
        <w:t xml:space="preserve"> n.329.</w:t>
      </w:r>
    </w:p>
  </w:footnote>
  <w:footnote w:id="27">
    <w:p w:rsidR="005F5AAD" w:rsidRPr="00EA67CF" w:rsidP="00FC1D74" w14:paraId="0D7E3BC6" w14:textId="129558CB">
      <w:pPr>
        <w:pStyle w:val="FootnoteText"/>
      </w:pPr>
      <w:r w:rsidRPr="0075707B">
        <w:rPr>
          <w:rStyle w:val="FootnoteReference"/>
        </w:rPr>
        <w:footnoteRef/>
      </w:r>
      <w:r w:rsidRPr="0075707B">
        <w:t xml:space="preserve"> </w:t>
      </w:r>
      <w:r w:rsidRPr="00EA67CF">
        <w:rPr>
          <w:i/>
        </w:rPr>
        <w:t>See, e.g.</w:t>
      </w:r>
      <w:r w:rsidRPr="00EA67CF">
        <w:t xml:space="preserve">, </w:t>
      </w:r>
      <w:r w:rsidRPr="00EA67CF">
        <w:rPr>
          <w:i/>
          <w:iCs/>
        </w:rPr>
        <w:t>T-Mobile/Sprint Order</w:t>
      </w:r>
      <w:r w:rsidRPr="00EA67CF">
        <w:t xml:space="preserve">, 34 FCC Rcd at 10601-10, paras. 55-78.  </w:t>
      </w:r>
    </w:p>
  </w:footnote>
  <w:footnote w:id="28">
    <w:p w:rsidR="005F5AAD" w:rsidRPr="00EA67CF" w:rsidP="00FC1D74" w14:paraId="3EC7E2B6" w14:textId="4301DD23">
      <w:pPr>
        <w:pStyle w:val="FootnoteText"/>
      </w:pPr>
      <w:r w:rsidRPr="00EA67CF">
        <w:rPr>
          <w:rStyle w:val="FootnoteReference"/>
        </w:rPr>
        <w:footnoteRef/>
      </w:r>
      <w:r w:rsidRPr="00EA67CF">
        <w:t xml:space="preserve"> </w:t>
      </w:r>
      <w:r w:rsidRPr="00EA67CF">
        <w:rPr>
          <w:i/>
        </w:rPr>
        <w:t>See, e.g.</w:t>
      </w:r>
      <w:r w:rsidRPr="00EA67CF">
        <w:t xml:space="preserve">, </w:t>
      </w:r>
      <w:r w:rsidR="00327855">
        <w:rPr>
          <w:i/>
          <w:iCs/>
        </w:rPr>
        <w:t>id.</w:t>
      </w:r>
      <w:r w:rsidRPr="00EA67CF">
        <w:t xml:space="preserve"> at 10603, para. 60;</w:t>
      </w:r>
      <w:r w:rsidRPr="00EA67CF">
        <w:t xml:space="preserve"> </w:t>
      </w:r>
      <w:r w:rsidRPr="00EA67CF">
        <w:rPr>
          <w:i/>
        </w:rPr>
        <w:t>AT&amp;T</w:t>
      </w:r>
      <w:r w:rsidR="00B000A7">
        <w:rPr>
          <w:i/>
        </w:rPr>
        <w:t>/</w:t>
      </w:r>
      <w:r w:rsidRPr="00EA67CF">
        <w:rPr>
          <w:i/>
        </w:rPr>
        <w:t>Plateau Wireless Order</w:t>
      </w:r>
      <w:r w:rsidRPr="00EA67CF">
        <w:t>, 30 FCC Rcd at 5115</w:t>
      </w:r>
      <w:r w:rsidRPr="00EA67CF">
        <w:noBreakHyphen/>
        <w:t>16, para. 18.</w:t>
      </w:r>
    </w:p>
  </w:footnote>
  <w:footnote w:id="29">
    <w:p w:rsidR="005F5AAD" w:rsidRPr="00EA67CF" w:rsidP="00782D24" w14:paraId="15513A69" w14:textId="7C218F52">
      <w:pPr>
        <w:pStyle w:val="FootnoteText"/>
      </w:pPr>
      <w:r w:rsidRPr="00EA67CF">
        <w:rPr>
          <w:rStyle w:val="FootnoteReference"/>
        </w:rPr>
        <w:footnoteRef/>
      </w:r>
      <w:r w:rsidRPr="00EA67CF">
        <w:t xml:space="preserve"> </w:t>
      </w:r>
      <w:r w:rsidRPr="52F81026">
        <w:rPr>
          <w:i/>
          <w:iCs/>
        </w:rPr>
        <w:t>See, e.g.</w:t>
      </w:r>
      <w:r w:rsidRPr="52F81026">
        <w:t>,</w:t>
      </w:r>
      <w:r w:rsidRPr="52F81026">
        <w:rPr>
          <w:i/>
        </w:rPr>
        <w:t xml:space="preserve"> </w:t>
      </w:r>
      <w:r w:rsidRPr="00EA67CF" w:rsidR="00782D24">
        <w:rPr>
          <w:i/>
          <w:iCs/>
        </w:rPr>
        <w:t>T-Mobile/Sprint Order</w:t>
      </w:r>
      <w:r w:rsidRPr="00EA67CF" w:rsidR="00782D24">
        <w:t xml:space="preserve">, 34 FCC Rcd at </w:t>
      </w:r>
      <w:r w:rsidRPr="00EA67CF" w:rsidR="00244ADC">
        <w:t>1060</w:t>
      </w:r>
      <w:r w:rsidR="00244ADC">
        <w:t>5</w:t>
      </w:r>
      <w:r w:rsidR="00782D24">
        <w:t xml:space="preserve">, para. 66; </w:t>
      </w:r>
      <w:r w:rsidRPr="00EA67CF">
        <w:rPr>
          <w:i/>
        </w:rPr>
        <w:t>AT&amp;T</w:t>
      </w:r>
      <w:r w:rsidR="00B000A7">
        <w:rPr>
          <w:i/>
        </w:rPr>
        <w:t>/</w:t>
      </w:r>
      <w:r w:rsidRPr="00EA67CF">
        <w:rPr>
          <w:i/>
        </w:rPr>
        <w:t>Plateau Wireless Order</w:t>
      </w:r>
      <w:r w:rsidRPr="00EA67CF">
        <w:t xml:space="preserve">, 30 FCC Rcd at 5116, para. 19.  </w:t>
      </w:r>
      <w:r w:rsidRPr="00EA67CF">
        <w:rPr>
          <w:i/>
          <w:iCs/>
        </w:rPr>
        <w:t>See</w:t>
      </w:r>
      <w:r w:rsidRPr="00EA67CF">
        <w:t xml:space="preserve"> Public Interest Statement</w:t>
      </w:r>
      <w:r w:rsidR="00B72D34">
        <w:t>s</w:t>
      </w:r>
      <w:r w:rsidRPr="00EA67CF">
        <w:t xml:space="preserve"> at </w:t>
      </w:r>
      <w:r>
        <w:t>12-13</w:t>
      </w:r>
      <w:r w:rsidRPr="00EA67CF">
        <w:t xml:space="preserve">. </w:t>
      </w:r>
    </w:p>
  </w:footnote>
  <w:footnote w:id="30">
    <w:p w:rsidR="005F5AAD" w:rsidRPr="00EA67CF" w:rsidP="00FC1D74" w14:paraId="0AC3A69B" w14:textId="21CC6B6A">
      <w:pPr>
        <w:pStyle w:val="FootnoteText"/>
      </w:pPr>
      <w:r w:rsidRPr="00EA67CF">
        <w:rPr>
          <w:rStyle w:val="FootnoteReference"/>
        </w:rPr>
        <w:footnoteRef/>
      </w:r>
      <w:r w:rsidRPr="00EA67CF">
        <w:t xml:space="preserve"> We previously discounted the available 112.5 megahertz of EBS spectrum such that 89 megahertz was included in the screen for review of proposed secondary market transactions.  </w:t>
      </w:r>
      <w:r w:rsidRPr="00EA67CF">
        <w:rPr>
          <w:i/>
        </w:rPr>
        <w:t>Mobile Spectrum Holdings Report and Order</w:t>
      </w:r>
      <w:r w:rsidRPr="00EA67CF">
        <w:t xml:space="preserve">, 29 FCC Rcd at 6177-79, 6184-6187, paras. </w:t>
      </w:r>
      <w:r w:rsidRPr="00EA67CF">
        <w:rPr>
          <w:bCs/>
        </w:rPr>
        <w:t xml:space="preserve">100-02, 118-25.  Following the adoption of the </w:t>
      </w:r>
      <w:r w:rsidRPr="00EA67CF">
        <w:rPr>
          <w:bCs/>
          <w:i/>
          <w:iCs/>
        </w:rPr>
        <w:t>2.5 GHz Report and Order</w:t>
      </w:r>
      <w:r w:rsidRPr="00EA67CF">
        <w:rPr>
          <w:bCs/>
        </w:rPr>
        <w:t xml:space="preserve">, which became effective on April 27, 2020, the amount of EBS spectrum now included in the spectrum screen </w:t>
      </w:r>
      <w:r>
        <w:rPr>
          <w:bCs/>
        </w:rPr>
        <w:t>increased to</w:t>
      </w:r>
      <w:r w:rsidRPr="00EA67CF">
        <w:rPr>
          <w:bCs/>
        </w:rPr>
        <w:t xml:space="preserve"> 116.5 megahertz</w:t>
      </w:r>
      <w:r>
        <w:rPr>
          <w:bCs/>
        </w:rPr>
        <w:t xml:space="preserve">, which resulted in </w:t>
      </w:r>
      <w:r w:rsidR="00553A84">
        <w:rPr>
          <w:bCs/>
        </w:rPr>
        <w:t xml:space="preserve">an increase of </w:t>
      </w:r>
      <w:r>
        <w:rPr>
          <w:bCs/>
        </w:rPr>
        <w:t xml:space="preserve">the current screen trigger </w:t>
      </w:r>
      <w:r w:rsidR="00022B96">
        <w:rPr>
          <w:bCs/>
        </w:rPr>
        <w:t xml:space="preserve">to </w:t>
      </w:r>
      <w:r>
        <w:rPr>
          <w:bCs/>
        </w:rPr>
        <w:t>250 megahertz</w:t>
      </w:r>
      <w:r w:rsidRPr="00EA67CF">
        <w:rPr>
          <w:bCs/>
        </w:rPr>
        <w:t xml:space="preserve">.  </w:t>
      </w:r>
      <w:r w:rsidRPr="00EA67CF">
        <w:rPr>
          <w:bCs/>
          <w:i/>
          <w:iCs/>
        </w:rPr>
        <w:t>Transforming the 2.5 GHz Band</w:t>
      </w:r>
      <w:r w:rsidRPr="00EA67CF">
        <w:rPr>
          <w:bCs/>
        </w:rPr>
        <w:t>, Report and Order, WT Docket No. 18-120, 34 FCC Rcd 5446, 5481, 5482-83, para. 96 &amp; n.279, paras. 99-100 (2019)</w:t>
      </w:r>
      <w:r w:rsidRPr="00EA67CF">
        <w:t xml:space="preserve">; </w:t>
      </w:r>
      <w:r w:rsidRPr="00EA67CF">
        <w:rPr>
          <w:i/>
          <w:iCs/>
        </w:rPr>
        <w:t>T-Mobile/Sprint Order</w:t>
      </w:r>
      <w:r w:rsidRPr="00EA67CF">
        <w:t>, 34 FCC Rcd at 10608, para. 72</w:t>
      </w:r>
      <w:r w:rsidR="006778A5">
        <w:t xml:space="preserve"> &amp;</w:t>
      </w:r>
      <w:r w:rsidR="00D8574A">
        <w:t xml:space="preserve"> n.228</w:t>
      </w:r>
      <w:r w:rsidRPr="00EA67CF">
        <w:t xml:space="preserve">.  </w:t>
      </w:r>
      <w:r w:rsidR="00DD3A1A">
        <w:t xml:space="preserve">While </w:t>
      </w:r>
      <w:r w:rsidRPr="001D35AA" w:rsidR="001D35AA">
        <w:t xml:space="preserve">the Applicants’ </w:t>
      </w:r>
      <w:r w:rsidRPr="005A7AF4" w:rsidR="00DD3A1A">
        <w:t>original public interest showing was made with respect to a spectrum screen with a trigger of 240 megahertz</w:t>
      </w:r>
      <w:r w:rsidR="00E3555C">
        <w:t>,</w:t>
      </w:r>
      <w:r w:rsidRPr="005A7AF4" w:rsidR="00DD3A1A">
        <w:t xml:space="preserve"> and where the EBS spectrum was discounted, our conclusions about the competitive effects of the transaction do not change under the current screen with a trigger of 250 megahertz </w:t>
      </w:r>
      <w:r w:rsidR="00C30784">
        <w:t>without discounting</w:t>
      </w:r>
      <w:r w:rsidRPr="005A7AF4" w:rsidR="00C30784">
        <w:t xml:space="preserve"> </w:t>
      </w:r>
      <w:r w:rsidRPr="005A7AF4" w:rsidR="00DD3A1A">
        <w:t>the EBS spectrum.</w:t>
      </w:r>
    </w:p>
  </w:footnote>
  <w:footnote w:id="31">
    <w:p w:rsidR="005F5AAD" w:rsidRPr="00EA67CF" w:rsidP="00E03DC8" w14:paraId="0EDB3EEF" w14:textId="18381A3F">
      <w:pPr>
        <w:pStyle w:val="FootnoteText"/>
      </w:pPr>
      <w:r w:rsidRPr="00EA67CF">
        <w:rPr>
          <w:rStyle w:val="FootnoteReference"/>
        </w:rPr>
        <w:footnoteRef/>
      </w:r>
      <w:r w:rsidRPr="00EA67CF">
        <w:t xml:space="preserve"> </w:t>
      </w:r>
      <w:r w:rsidRPr="52F81026">
        <w:rPr>
          <w:i/>
          <w:iCs/>
        </w:rPr>
        <w:t>See, e.g.</w:t>
      </w:r>
      <w:r w:rsidRPr="52F81026">
        <w:t>,</w:t>
      </w:r>
      <w:r w:rsidRPr="00EA67CF">
        <w:t xml:space="preserve"> </w:t>
      </w:r>
      <w:r w:rsidRPr="00EA67CF">
        <w:rPr>
          <w:i/>
          <w:iCs/>
        </w:rPr>
        <w:t>T-Mobile/Sprint Orde</w:t>
      </w:r>
      <w:r w:rsidRPr="00C218E0">
        <w:rPr>
          <w:i/>
          <w:iCs/>
        </w:rPr>
        <w:t>r</w:t>
      </w:r>
      <w:r w:rsidRPr="00C218E0">
        <w:t xml:space="preserve">, 34 FCC Rcd at 10609, para. 73.  As in previous transactions, we </w:t>
      </w:r>
      <w:r w:rsidR="00E33D53">
        <w:t xml:space="preserve">account for the competitive role that </w:t>
      </w:r>
      <w:r w:rsidRPr="00C218E0">
        <w:t xml:space="preserve">mobile virtual network operators (MVNOs) may </w:t>
      </w:r>
      <w:r w:rsidR="00E33D53">
        <w:t>play</w:t>
      </w:r>
      <w:r w:rsidRPr="00C218E0">
        <w:t xml:space="preserve">.  </w:t>
      </w:r>
      <w:r w:rsidRPr="00C218E0">
        <w:rPr>
          <w:i/>
          <w:iCs/>
        </w:rPr>
        <w:t>See id</w:t>
      </w:r>
      <w:r w:rsidRPr="00C218E0">
        <w:t>. at 10609-11, paras. 73, 78.  In</w:t>
      </w:r>
      <w:r w:rsidRPr="00C218E0">
        <w:rPr>
          <w:spacing w:val="-5"/>
        </w:rPr>
        <w:t xml:space="preserve"> </w:t>
      </w:r>
      <w:r w:rsidRPr="00C218E0">
        <w:t>addition,</w:t>
      </w:r>
      <w:r w:rsidRPr="00C218E0">
        <w:rPr>
          <w:spacing w:val="-5"/>
        </w:rPr>
        <w:t xml:space="preserve"> </w:t>
      </w:r>
      <w:r w:rsidRPr="00C218E0">
        <w:t>we</w:t>
      </w:r>
      <w:r w:rsidRPr="00C218E0">
        <w:rPr>
          <w:spacing w:val="-5"/>
        </w:rPr>
        <w:t xml:space="preserve"> </w:t>
      </w:r>
      <w:r w:rsidRPr="00C218E0">
        <w:t>note that</w:t>
      </w:r>
      <w:r w:rsidRPr="00C218E0">
        <w:rPr>
          <w:spacing w:val="-9"/>
        </w:rPr>
        <w:t xml:space="preserve"> </w:t>
      </w:r>
      <w:r w:rsidRPr="00C218E0">
        <w:t>facilities-based</w:t>
      </w:r>
      <w:r w:rsidRPr="00C218E0">
        <w:rPr>
          <w:spacing w:val="-9"/>
        </w:rPr>
        <w:t xml:space="preserve"> </w:t>
      </w:r>
      <w:r w:rsidRPr="00C218E0">
        <w:t>service</w:t>
      </w:r>
      <w:r w:rsidRPr="00C218E0">
        <w:rPr>
          <w:spacing w:val="-11"/>
        </w:rPr>
        <w:t xml:space="preserve"> </w:t>
      </w:r>
      <w:r w:rsidRPr="00C218E0">
        <w:t>providers</w:t>
      </w:r>
      <w:r w:rsidRPr="00C218E0">
        <w:rPr>
          <w:spacing w:val="-9"/>
        </w:rPr>
        <w:t xml:space="preserve"> </w:t>
      </w:r>
      <w:r w:rsidRPr="00C218E0">
        <w:t>may</w:t>
      </w:r>
      <w:r w:rsidRPr="00C218E0">
        <w:rPr>
          <w:spacing w:val="-12"/>
        </w:rPr>
        <w:t xml:space="preserve"> </w:t>
      </w:r>
      <w:r w:rsidRPr="00C218E0">
        <w:t>also</w:t>
      </w:r>
      <w:r w:rsidRPr="00C218E0">
        <w:rPr>
          <w:spacing w:val="-9"/>
        </w:rPr>
        <w:t xml:space="preserve"> </w:t>
      </w:r>
      <w:r w:rsidRPr="00C218E0">
        <w:t>provide</w:t>
      </w:r>
      <w:r w:rsidRPr="00C218E0">
        <w:rPr>
          <w:spacing w:val="-13"/>
        </w:rPr>
        <w:t xml:space="preserve"> </w:t>
      </w:r>
      <w:r w:rsidRPr="00C218E0">
        <w:t>mobile</w:t>
      </w:r>
      <w:r w:rsidRPr="00C218E0">
        <w:rPr>
          <w:spacing w:val="-10"/>
        </w:rPr>
        <w:t xml:space="preserve"> </w:t>
      </w:r>
      <w:r w:rsidRPr="00C218E0">
        <w:t>telephony/broadband</w:t>
      </w:r>
      <w:r w:rsidRPr="00C218E0">
        <w:rPr>
          <w:spacing w:val="-9"/>
        </w:rPr>
        <w:t xml:space="preserve"> </w:t>
      </w:r>
      <w:r w:rsidRPr="00C218E0">
        <w:t>services</w:t>
      </w:r>
      <w:r w:rsidRPr="00C218E0">
        <w:rPr>
          <w:spacing w:val="-9"/>
        </w:rPr>
        <w:t xml:space="preserve"> </w:t>
      </w:r>
      <w:r w:rsidRPr="00C218E0">
        <w:t>using</w:t>
      </w:r>
      <w:r w:rsidRPr="00C218E0">
        <w:rPr>
          <w:spacing w:val="-11"/>
        </w:rPr>
        <w:t xml:space="preserve"> </w:t>
      </w:r>
      <w:r w:rsidRPr="001D35AA" w:rsidR="001D35AA">
        <w:rPr>
          <w:spacing w:val="-2"/>
        </w:rPr>
        <w:t>millimeter-wave</w:t>
      </w:r>
      <w:r w:rsidRPr="00C218E0">
        <w:rPr>
          <w:spacing w:val="-2"/>
        </w:rPr>
        <w:t xml:space="preserve"> </w:t>
      </w:r>
      <w:r w:rsidRPr="00C218E0">
        <w:t xml:space="preserve">spectrum.  </w:t>
      </w:r>
    </w:p>
  </w:footnote>
  <w:footnote w:id="32">
    <w:p w:rsidR="005F5AAD" w14:paraId="5566D85D" w14:textId="522CAFB6">
      <w:pPr>
        <w:pStyle w:val="FootnoteText"/>
      </w:pPr>
      <w:r>
        <w:rPr>
          <w:rStyle w:val="FootnoteReference"/>
        </w:rPr>
        <w:footnoteRef/>
      </w:r>
      <w:r>
        <w:t xml:space="preserve"> T</w:t>
      </w:r>
      <w:r w:rsidRPr="00646114">
        <w:t>he spectrum leases range from 10 to 20 megahertz across all or parts of most CMAs, with 30 megahertz of spectrum being leased in all or parts of two CMAs</w:t>
      </w:r>
      <w:r>
        <w:t xml:space="preserve">.  </w:t>
      </w:r>
      <w:r w:rsidR="00C54980">
        <w:t>ULS File No</w:t>
      </w:r>
      <w:r w:rsidR="00F62197">
        <w:t>s</w:t>
      </w:r>
      <w:r w:rsidR="00C54980">
        <w:t xml:space="preserve">. </w:t>
      </w:r>
      <w:r w:rsidRPr="00CC3AD7" w:rsidR="00C54980">
        <w:rPr>
          <w:spacing w:val="-2"/>
        </w:rPr>
        <w:t>0009021213</w:t>
      </w:r>
      <w:r w:rsidR="00F62197">
        <w:rPr>
          <w:spacing w:val="-2"/>
        </w:rPr>
        <w:t xml:space="preserve"> and </w:t>
      </w:r>
      <w:r w:rsidRPr="00CC3AD7" w:rsidR="00F62197">
        <w:rPr>
          <w:spacing w:val="-2"/>
        </w:rPr>
        <w:t>0009021220</w:t>
      </w:r>
      <w:r w:rsidR="00C54980">
        <w:rPr>
          <w:spacing w:val="-2"/>
        </w:rPr>
        <w:t>,</w:t>
      </w:r>
      <w:r w:rsidR="00C54980">
        <w:t xml:space="preserve"> Exhibit 4, </w:t>
      </w:r>
      <w:r>
        <w:t>Spectrum Aggregation Analysis, 1</w:t>
      </w:r>
      <w:r w:rsidR="00C54980">
        <w:t xml:space="preserve"> (filed June 23, 2020) (Spectrum Aggregation Analysis)</w:t>
      </w:r>
      <w:r>
        <w:t xml:space="preserve"> (noting that t</w:t>
      </w:r>
      <w:r w:rsidRPr="00C5571D">
        <w:t xml:space="preserve">he leasing arrangements result in an additional 30 </w:t>
      </w:r>
      <w:r>
        <w:t>megahertz</w:t>
      </w:r>
      <w:r w:rsidRPr="00C5571D">
        <w:t xml:space="preserve"> of spectrum in Dallas‐Fort Worth, TX (CMA 9) and in one county in Sherman‐Denison, TX (CMA 292</w:t>
      </w:r>
      <w:r>
        <w:t>)).</w:t>
      </w:r>
    </w:p>
  </w:footnote>
  <w:footnote w:id="33">
    <w:p w:rsidR="003D1949" w14:paraId="54A50F0E" w14:textId="3FE57345">
      <w:pPr>
        <w:pStyle w:val="FootnoteText"/>
      </w:pPr>
      <w:r>
        <w:rPr>
          <w:rStyle w:val="FootnoteReference"/>
        </w:rPr>
        <w:footnoteRef/>
      </w:r>
      <w:r>
        <w:t xml:space="preserve"> </w:t>
      </w:r>
      <w:r w:rsidR="00BD4D94">
        <w:t>Enhanced factor review is triggered if, post-transaction, the entity would hold approximately one-third or more of the suitable and available amount of low-band spectrum.  The current trigger is 68 megahertz.</w:t>
      </w:r>
    </w:p>
  </w:footnote>
  <w:footnote w:id="34">
    <w:p w:rsidR="00655CCC" w:rsidP="00655CCC" w14:paraId="5A2694AA" w14:textId="61F051D6">
      <w:pPr>
        <w:pStyle w:val="FootnoteText"/>
      </w:pPr>
      <w:r>
        <w:rPr>
          <w:rStyle w:val="FootnoteReference"/>
        </w:rPr>
        <w:footnoteRef/>
      </w:r>
      <w:r>
        <w:t xml:space="preserve"> Public Interest Statement</w:t>
      </w:r>
      <w:r w:rsidR="00F62197">
        <w:t>s</w:t>
      </w:r>
      <w:r>
        <w:t xml:space="preserve"> at 1, 4</w:t>
      </w:r>
      <w:r w:rsidR="00D62996">
        <w:t>.</w:t>
      </w:r>
      <w:r w:rsidR="0049363D">
        <w:t xml:space="preserve"> </w:t>
      </w:r>
      <w:r w:rsidR="009B56F2">
        <w:t xml:space="preserve"> </w:t>
      </w:r>
      <w:r w:rsidRPr="00F0765A" w:rsidR="0049363D">
        <w:rPr>
          <w:i/>
          <w:iCs/>
        </w:rPr>
        <w:t>See</w:t>
      </w:r>
      <w:r>
        <w:t xml:space="preserve"> </w:t>
      </w:r>
      <w:r w:rsidR="003E38B5">
        <w:rPr>
          <w:i/>
          <w:iCs/>
        </w:rPr>
        <w:t xml:space="preserve">AT&amp;T/Club 42 </w:t>
      </w:r>
      <w:r w:rsidRPr="00D304DF" w:rsidR="003E38B5">
        <w:rPr>
          <w:i/>
        </w:rPr>
        <w:t>Order</w:t>
      </w:r>
      <w:r w:rsidR="003E38B5">
        <w:t>, 30 FCC Rcd at 13076-77, paras. 46-47</w:t>
      </w:r>
      <w:r w:rsidR="00F8568C">
        <w:t xml:space="preserve"> (noting the benefits of </w:t>
      </w:r>
      <w:r w:rsidR="007E19EC">
        <w:t>near-term deployment of currently fallow spectrum)</w:t>
      </w:r>
      <w:r w:rsidR="003E38B5">
        <w:t>.</w:t>
      </w:r>
    </w:p>
  </w:footnote>
  <w:footnote w:id="35">
    <w:p w:rsidR="00655CCC" w:rsidP="00655CCC" w14:paraId="24151E63" w14:textId="3F2E980E">
      <w:pPr>
        <w:pStyle w:val="FootnoteText"/>
      </w:pPr>
      <w:r>
        <w:rPr>
          <w:rStyle w:val="FootnoteReference"/>
        </w:rPr>
        <w:footnoteRef/>
      </w:r>
      <w:r>
        <w:t xml:space="preserve"> Public Interest Statement</w:t>
      </w:r>
      <w:r w:rsidR="00F62197">
        <w:t>s</w:t>
      </w:r>
      <w:r>
        <w:t xml:space="preserve"> at 3-4.</w:t>
      </w:r>
      <w:r w:rsidR="00882EE5">
        <w:t xml:space="preserve"> </w:t>
      </w:r>
    </w:p>
  </w:footnote>
  <w:footnote w:id="36">
    <w:p w:rsidR="00F33151" w:rsidP="00F33151" w14:paraId="716E3B3A" w14:textId="4C84E23E">
      <w:pPr>
        <w:pStyle w:val="FootnoteText"/>
      </w:pPr>
      <w:r>
        <w:rPr>
          <w:rStyle w:val="FootnoteReference"/>
        </w:rPr>
        <w:footnoteRef/>
      </w:r>
      <w:r>
        <w:t xml:space="preserve"> FCC, </w:t>
      </w:r>
      <w:r w:rsidRPr="00870F61">
        <w:rPr>
          <w:i/>
          <w:iCs/>
        </w:rPr>
        <w:t>Broadcast Incentive Auction and Post-Auction Transition</w:t>
      </w:r>
      <w:r>
        <w:t xml:space="preserve">, </w:t>
      </w:r>
      <w:hyperlink r:id="rId1" w:history="1">
        <w:r w:rsidRPr="00041CC6">
          <w:rPr>
            <w:rStyle w:val="Hyperlink"/>
          </w:rPr>
          <w:t>https://www.fcc.gov/about-fcc/fcc-initiatives/incentive-auctions</w:t>
        </w:r>
      </w:hyperlink>
      <w:r>
        <w:t xml:space="preserve"> (last visited Oct. 27, 2020); Press Release, FCC, Post-Incentive Auction Transition Successfully Meets 39-Month Deadline (July 13, 2020), </w:t>
      </w:r>
      <w:hyperlink r:id="rId2" w:history="1">
        <w:r w:rsidRPr="00041CC6">
          <w:rPr>
            <w:rStyle w:val="Hyperlink"/>
          </w:rPr>
          <w:t>https://docs.fcc.gov/public/attachments/DOC-365479A1.pdf</w:t>
        </w:r>
      </w:hyperlink>
      <w:r>
        <w:t xml:space="preserve"> (Post-Incentive Auction Transition Press Release)</w:t>
      </w:r>
      <w:r w:rsidR="000632E5">
        <w:t xml:space="preserve">; </w:t>
      </w:r>
      <w:r w:rsidR="000632E5">
        <w:rPr>
          <w:i/>
          <w:iCs/>
        </w:rPr>
        <w:t>see also</w:t>
      </w:r>
      <w:r w:rsidR="000632E5">
        <w:t xml:space="preserve"> </w:t>
      </w:r>
      <w:r w:rsidR="000632E5">
        <w:rPr>
          <w:i/>
          <w:iCs/>
        </w:rPr>
        <w:t>Review of the Commission’s Rules Governing the 896-901/935-940 MHz Band</w:t>
      </w:r>
      <w:r w:rsidR="000632E5">
        <w:t xml:space="preserve">, WT Docket No. 17-200, </w:t>
      </w:r>
      <w:r w:rsidR="00297A4C">
        <w:t xml:space="preserve">Report and Order, Order of Proposed Modification, and Orders, </w:t>
      </w:r>
      <w:r w:rsidR="000632E5">
        <w:t>35 FCC Rcd 5183 (2020) (realigning the 900 MHz band to enable broadband use of the spectrum)</w:t>
      </w:r>
      <w:r>
        <w:t>.</w:t>
      </w:r>
    </w:p>
  </w:footnote>
  <w:footnote w:id="37">
    <w:p w:rsidR="00A5240D" w:rsidP="00A5240D" w14:paraId="61BC3BDE" w14:textId="3FDE4DA4">
      <w:pPr>
        <w:pStyle w:val="FootnoteText"/>
      </w:pPr>
      <w:r>
        <w:rPr>
          <w:rStyle w:val="FootnoteReference"/>
        </w:rPr>
        <w:footnoteRef/>
      </w:r>
      <w:r>
        <w:t xml:space="preserve"> </w:t>
      </w:r>
      <w:r w:rsidRPr="007D0A50">
        <w:rPr>
          <w:i/>
          <w:iCs/>
        </w:rPr>
        <w:t>Auction of Priority Access Licenses For the 3550-3650 MHz Band</w:t>
      </w:r>
      <w:r>
        <w:t xml:space="preserve">; </w:t>
      </w:r>
      <w:r>
        <w:rPr>
          <w:i/>
          <w:iCs/>
        </w:rPr>
        <w:t>Notice and Filing Requirements, Minimum Opening Bids, Upfront Payments, and Other Procedures for Auction 105; Bidding in Auction 105 scheduled to Begin June 25, 2020</w:t>
      </w:r>
      <w:r>
        <w:t>, AU Docket No. 19-244, Public Notice, 35 FCC Rcd 2140 (2020)</w:t>
      </w:r>
      <w:r w:rsidR="00EF033C">
        <w:t xml:space="preserve"> </w:t>
      </w:r>
      <w:r>
        <w:t>(rescheduled from June 25, 2020 to July 23, 2020 due to the COVID-19 pandemic);</w:t>
      </w:r>
      <w:r>
        <w:rPr>
          <w:i/>
          <w:iCs/>
        </w:rPr>
        <w:t xml:space="preserve"> </w:t>
      </w:r>
      <w:r w:rsidRPr="006E586F">
        <w:rPr>
          <w:i/>
          <w:iCs/>
        </w:rPr>
        <w:t>Auction of Priority Access Licenses in the 3550-3650 MHz Band; Winning Bidders Announced for Auction 105</w:t>
      </w:r>
      <w:r>
        <w:t xml:space="preserve">, AU Docket No. 19-244, Public Notice, DA 20-1009, at 1, para. 1, </w:t>
      </w:r>
      <w:hyperlink r:id="rId3" w:history="1">
        <w:r w:rsidRPr="0032485A">
          <w:rPr>
            <w:rStyle w:val="Hyperlink"/>
          </w:rPr>
          <w:t>https://auctionfiling.fcc.gov/form175/search175/index.htm</w:t>
        </w:r>
      </w:hyperlink>
      <w:r>
        <w:rPr>
          <w:rStyle w:val="Hyperlink"/>
        </w:rPr>
        <w:t xml:space="preserve"> </w:t>
      </w:r>
      <w:r>
        <w:t>(OEA, WTB Sept. 2, 2020).  G</w:t>
      </w:r>
      <w:r w:rsidRPr="000659FF">
        <w:t>iven the unique characteristics of this band</w:t>
      </w:r>
      <w:r>
        <w:t xml:space="preserve">, the Commission did not include this spectrum in its </w:t>
      </w:r>
      <w:r w:rsidRPr="000D2F5F">
        <w:t>spectrum screen as applied to secondary market transactions</w:t>
      </w:r>
      <w:r>
        <w:t xml:space="preserve">.  </w:t>
      </w:r>
      <w:r>
        <w:rPr>
          <w:i/>
          <w:iCs/>
        </w:rPr>
        <w:t>Promoting Investment in the 3550-3770 MHz Band</w:t>
      </w:r>
      <w:r>
        <w:t>, GN Docket No. 17-258, Report and Order, 33 FCC Rcd 10598, 10653-54, para. 107 &amp; n.410.</w:t>
      </w:r>
    </w:p>
  </w:footnote>
  <w:footnote w:id="38">
    <w:p w:rsidR="00A5240D" w:rsidRPr="00EA2592" w:rsidP="00A5240D" w14:paraId="1192B66A" w14:textId="77777777">
      <w:pPr>
        <w:pStyle w:val="FootnoteText"/>
      </w:pPr>
      <w:r>
        <w:rPr>
          <w:rStyle w:val="FootnoteReference"/>
        </w:rPr>
        <w:footnoteRef/>
      </w:r>
      <w:r>
        <w:t xml:space="preserve"> </w:t>
      </w:r>
      <w:r>
        <w:rPr>
          <w:bCs/>
          <w:i/>
          <w:iCs/>
        </w:rPr>
        <w:t>Transforming the 2.5 GHz Band</w:t>
      </w:r>
      <w:r>
        <w:rPr>
          <w:bCs/>
        </w:rPr>
        <w:t xml:space="preserve">, Report and Order, WT Docket No. 18-120, 34 FCC Rcd 5446, 5447, para. 3 (2019). </w:t>
      </w:r>
    </w:p>
  </w:footnote>
  <w:footnote w:id="39">
    <w:p w:rsidR="00A5240D" w:rsidRPr="00D07E25" w:rsidP="00A5240D" w14:paraId="733A3D20" w14:textId="06019DA9">
      <w:pPr>
        <w:pStyle w:val="FootnoteText"/>
      </w:pPr>
      <w:r w:rsidRPr="00D07E25">
        <w:rPr>
          <w:rStyle w:val="FootnoteReference"/>
        </w:rPr>
        <w:footnoteRef/>
      </w:r>
      <w:r w:rsidRPr="00D07E25">
        <w:t xml:space="preserve"> </w:t>
      </w:r>
      <w:r w:rsidRPr="00AF4CE1">
        <w:rPr>
          <w:i/>
          <w:iCs/>
        </w:rPr>
        <w:t>Expanding Flexible Use of the 3.7 to 4.2 GHz</w:t>
      </w:r>
      <w:r w:rsidR="00EF36A6">
        <w:rPr>
          <w:i/>
          <w:iCs/>
        </w:rPr>
        <w:t xml:space="preserve"> Band</w:t>
      </w:r>
      <w:r>
        <w:t xml:space="preserve">, GN Docket No. 18-122, Report and Order and Order of Proposed Modification, 35 FCC Rcd 2343, </w:t>
      </w:r>
      <w:r>
        <w:rPr>
          <w:rFonts w:eastAsia="Calibri"/>
        </w:rPr>
        <w:t>2345, 2413, paras. 3-4, 168 (2020) (</w:t>
      </w:r>
      <w:r>
        <w:rPr>
          <w:rFonts w:eastAsia="Calibri"/>
          <w:i/>
          <w:iCs/>
        </w:rPr>
        <w:t>3.7 GHz Report and Order</w:t>
      </w:r>
      <w:r>
        <w:rPr>
          <w:rFonts w:eastAsia="Calibri"/>
        </w:rPr>
        <w:t xml:space="preserve">); </w:t>
      </w:r>
      <w:r w:rsidRPr="00B37B2F">
        <w:rPr>
          <w:i/>
          <w:iCs/>
        </w:rPr>
        <w:t>Auction of Flexible-Use Service Licenses in the 3.7-3.98 GHz Band for Next-Generation Wireless Services; Notice and Filing Requirements, Minimum Opening Bids, Upfront Payments, and Other Procedures for Auction 107; Bidding in Auction 107 Scheduled to Begin December 8, 2020</w:t>
      </w:r>
      <w:r w:rsidRPr="00B37B2F">
        <w:t xml:space="preserve">, AU Docket No. 20-25, Public Notice, </w:t>
      </w:r>
      <w:r>
        <w:t>35 FCC Rcd 8404, 8406</w:t>
      </w:r>
      <w:r w:rsidRPr="00B37B2F">
        <w:t>, paras. 1-2 (Aug. 7, 2020)</w:t>
      </w:r>
      <w:r>
        <w:t xml:space="preserve">. </w:t>
      </w:r>
    </w:p>
  </w:footnote>
  <w:footnote w:id="40">
    <w:p w:rsidR="00F33151" w:rsidRPr="005979A7" w:rsidP="00F33151" w14:paraId="390739D5" w14:textId="77777777">
      <w:pPr>
        <w:pStyle w:val="FootnoteText"/>
      </w:pPr>
      <w:r>
        <w:rPr>
          <w:rStyle w:val="FootnoteReference"/>
        </w:rPr>
        <w:footnoteRef/>
      </w:r>
      <w:r>
        <w:t xml:space="preserve"> </w:t>
      </w:r>
      <w:r>
        <w:rPr>
          <w:i/>
          <w:iCs/>
        </w:rPr>
        <w:t>See 3.7 GHz Report and Order</w:t>
      </w:r>
      <w:r w:rsidRPr="00223A13">
        <w:t>,</w:t>
      </w:r>
      <w:r>
        <w:rPr>
          <w:i/>
          <w:iCs/>
        </w:rPr>
        <w:t xml:space="preserve"> </w:t>
      </w:r>
      <w:r>
        <w:t xml:space="preserve">35 FCC Rcd at 2383-84, para. 87-89. </w:t>
      </w:r>
    </w:p>
  </w:footnote>
  <w:footnote w:id="41">
    <w:p w:rsidR="00F33151" w:rsidP="00F33151" w14:paraId="4406B49E" w14:textId="5812D385">
      <w:pPr>
        <w:pStyle w:val="FootnoteText"/>
      </w:pPr>
      <w:r>
        <w:rPr>
          <w:rStyle w:val="FootnoteReference"/>
        </w:rPr>
        <w:footnoteRef/>
      </w:r>
      <w:r w:rsidR="00B66EFB">
        <w:rPr>
          <w:i/>
          <w:iCs/>
        </w:rPr>
        <w:t xml:space="preserve"> </w:t>
      </w:r>
      <w:r w:rsidRPr="00583CF7">
        <w:rPr>
          <w:i/>
          <w:iCs/>
        </w:rPr>
        <w:t>Facilita</w:t>
      </w:r>
      <w:r>
        <w:rPr>
          <w:i/>
          <w:iCs/>
        </w:rPr>
        <w:t>ting</w:t>
      </w:r>
      <w:r w:rsidRPr="00583CF7">
        <w:rPr>
          <w:i/>
          <w:iCs/>
        </w:rPr>
        <w:t xml:space="preserve"> Shared Use in the </w:t>
      </w:r>
      <w:r w:rsidRPr="00B6326F">
        <w:rPr>
          <w:i/>
          <w:iCs/>
        </w:rPr>
        <w:t>3100-3550 MHz Band</w:t>
      </w:r>
      <w:r>
        <w:t xml:space="preserve">, WT Docket No. 19-348, Report and Order and Further Notice of Proposed Rulemaking, 35 FCC Rcd 11078, 11079, 11110, paras. 4, 94 (2020). </w:t>
      </w:r>
      <w:r w:rsidR="001D6747">
        <w:t xml:space="preserve"> </w:t>
      </w:r>
      <w:r w:rsidRPr="005F0D4B" w:rsidR="005F0D4B">
        <w:t>Through these proceedings, the Commission is on track to have a contiguous 530-megahertz of spectrum made available from 3.45-3.98 GHz.</w:t>
      </w:r>
      <w:r w:rsidR="005F0D4B">
        <w:t xml:space="preserve">  </w:t>
      </w:r>
      <w:r w:rsidR="005F0D4B">
        <w:rPr>
          <w:i/>
          <w:iCs/>
        </w:rPr>
        <w:t>Remarks of FCC Chairman Ajit Pai to the CTIA 5G Summit</w:t>
      </w:r>
      <w:r w:rsidR="005F0D4B">
        <w:t xml:space="preserve">, </w:t>
      </w:r>
      <w:hyperlink r:id="rId4" w:history="1">
        <w:r w:rsidRPr="00953B87" w:rsidR="005F0D4B">
          <w:rPr>
            <w:rStyle w:val="Hyperlink"/>
          </w:rPr>
          <w:t>https://docs.fcc.gov/public/attachments/DOC-367849A1.pdf</w:t>
        </w:r>
      </w:hyperlink>
      <w:r w:rsidR="005F0D4B">
        <w:t xml:space="preserve"> (last visited Nov. 17, 2020).</w:t>
      </w:r>
    </w:p>
  </w:footnote>
  <w:footnote w:id="42">
    <w:p w:rsidR="000632E5" w:rsidRPr="00297A4C" w14:paraId="2FFFCE78" w14:textId="57A9B16D">
      <w:pPr>
        <w:pStyle w:val="FootnoteText"/>
      </w:pPr>
      <w:r>
        <w:rPr>
          <w:rStyle w:val="FootnoteReference"/>
        </w:rPr>
        <w:footnoteRef/>
      </w:r>
      <w:r>
        <w:t xml:space="preserve"> </w:t>
      </w:r>
      <w:r w:rsidR="00297A4C">
        <w:rPr>
          <w:i/>
          <w:iCs/>
        </w:rPr>
        <w:t>Amendment of Part 90 of the Commission’s Rules</w:t>
      </w:r>
      <w:r w:rsidR="00297A4C">
        <w:t xml:space="preserve">, WT Docket No. 07-100, Sixth Report and Order and Seventh Further Notice of Proposed Rulemaking, FCC 20-137 (rel. Oct. 2, 2020). </w:t>
      </w:r>
    </w:p>
  </w:footnote>
  <w:footnote w:id="43">
    <w:p w:rsidR="00F33151" w:rsidRPr="00744378" w:rsidP="00F33151" w14:paraId="0AD45D1D" w14:textId="6CF86399">
      <w:pPr>
        <w:pStyle w:val="FootnoteText"/>
      </w:pPr>
      <w:r w:rsidRPr="00744378">
        <w:rPr>
          <w:rStyle w:val="FootnoteReference"/>
        </w:rPr>
        <w:footnoteRef/>
      </w:r>
      <w:r>
        <w:t xml:space="preserve"> </w:t>
      </w:r>
      <w:r w:rsidRPr="00AA0FB3" w:rsidR="00AA0FB3">
        <w:t>Auctions 101, 102, and 103 collectively made available spectrum in the 28 GHz, 24 GHz, and Upper 37 GHz, 39 GHz, and 47 GHz bands</w:t>
      </w:r>
      <w:r w:rsidR="00537EE2">
        <w:t xml:space="preserve">. </w:t>
      </w:r>
      <w:r w:rsidRPr="00AA0FB3" w:rsidR="00AA0FB3">
        <w:rPr>
          <w:i/>
          <w:iCs/>
        </w:rPr>
        <w:t xml:space="preserve"> </w:t>
      </w:r>
      <w:r w:rsidRPr="001E2796">
        <w:rPr>
          <w:i/>
          <w:iCs/>
        </w:rPr>
        <w:t>Auction of 28 GHz Upper Microwave Flexible Use Service Licenses for Next-Generation Wireless Services Closes; Gross Winning Bids Amounts Announced for Auction 101</w:t>
      </w:r>
      <w:r>
        <w:t xml:space="preserve">, AU Docket No. 18-85, Public Notice, 34 FCC </w:t>
      </w:r>
      <w:r w:rsidRPr="00122DD1">
        <w:t>Rcd 75</w:t>
      </w:r>
      <w:r>
        <w:t xml:space="preserve"> (WTB 2019) (</w:t>
      </w:r>
      <w:r w:rsidRPr="00623644">
        <w:rPr>
          <w:i/>
          <w:iCs/>
        </w:rPr>
        <w:t>28 GHz Auction Public Notice</w:t>
      </w:r>
      <w:r>
        <w:t xml:space="preserve">); </w:t>
      </w:r>
      <w:r w:rsidRPr="00ED7961">
        <w:rPr>
          <w:i/>
          <w:iCs/>
        </w:rPr>
        <w:t xml:space="preserve">Auction of </w:t>
      </w:r>
      <w:r>
        <w:rPr>
          <w:i/>
          <w:iCs/>
        </w:rPr>
        <w:t>24 GHz Upper Microwave Flexible Use Service Licenses Closes, Winning Bidders Announced for Auction 102</w:t>
      </w:r>
      <w:r>
        <w:t xml:space="preserve">, </w:t>
      </w:r>
      <w:r w:rsidRPr="00061FB6">
        <w:t>AU Docket No. 18-85,</w:t>
      </w:r>
      <w:r>
        <w:t xml:space="preserve"> Public Notice, 34 FCC Rcd 4294 (OEA, WTB 2019) (</w:t>
      </w:r>
      <w:r w:rsidRPr="00623644">
        <w:rPr>
          <w:i/>
          <w:iCs/>
        </w:rPr>
        <w:t>24 GHz Auction Public Notice</w:t>
      </w:r>
      <w:r>
        <w:t>)</w:t>
      </w:r>
      <w:r w:rsidRPr="00744378">
        <w:t>;</w:t>
      </w:r>
      <w:r>
        <w:t xml:space="preserve"> </w:t>
      </w:r>
      <w:r w:rsidRPr="00301599">
        <w:rPr>
          <w:i/>
          <w:iCs/>
        </w:rPr>
        <w:t>Incentive Auction of Upper Microwave Flexible Use Service Licenses in the Upper 37 GHz, 39 GHz, and 47 GHz Bands for Next-Generation Wireless Services</w:t>
      </w:r>
      <w:r>
        <w:rPr>
          <w:i/>
          <w:iCs/>
        </w:rPr>
        <w:t>, Notice of Filing Requirements, Minimum Opening Bids, Upfront Payments, and Other Procedures for Auction 103</w:t>
      </w:r>
      <w:r>
        <w:t>, AU Docket No. 19-59, Public Notice, 34 FCC Rcd 5532 (2019) (</w:t>
      </w:r>
      <w:r w:rsidRPr="00301599">
        <w:rPr>
          <w:i/>
          <w:iCs/>
        </w:rPr>
        <w:t>37 GHz, 39 GHz, and 47 GHz</w:t>
      </w:r>
      <w:r>
        <w:rPr>
          <w:i/>
          <w:iCs/>
        </w:rPr>
        <w:t xml:space="preserve"> Auction Procedures Public Notice)</w:t>
      </w:r>
      <w:r>
        <w:t xml:space="preserve">; </w:t>
      </w:r>
      <w:r w:rsidRPr="00301599">
        <w:rPr>
          <w:i/>
          <w:iCs/>
        </w:rPr>
        <w:t>Incentive Auction of Upper Microwave Flexible Use Service Licenses in the Upper 37 GHz, 39 GHz, and 47 GHz Bands for Next-Generation Wireless Services</w:t>
      </w:r>
      <w:r>
        <w:rPr>
          <w:i/>
          <w:iCs/>
        </w:rPr>
        <w:t>, Winning Bidders Announced for Auction 103</w:t>
      </w:r>
      <w:r w:rsidRPr="00787D97">
        <w:t xml:space="preserve">, AU Docket No. 19-59, Public Notice, 35 FCC Rcd </w:t>
      </w:r>
      <w:r>
        <w:t>2015 (OEA, WTB 2020) (</w:t>
      </w:r>
      <w:r w:rsidRPr="00301599">
        <w:rPr>
          <w:i/>
          <w:iCs/>
        </w:rPr>
        <w:t>37 GHz, 39 GHz, and 47 GHz</w:t>
      </w:r>
      <w:r>
        <w:rPr>
          <w:i/>
          <w:iCs/>
        </w:rPr>
        <w:t xml:space="preserve"> Auction Public Notice</w:t>
      </w:r>
      <w:r w:rsidRPr="00623644">
        <w:t>)</w:t>
      </w:r>
      <w:r>
        <w:t>;</w:t>
      </w:r>
      <w:r w:rsidRPr="00744378">
        <w:t xml:space="preserve"> </w:t>
      </w:r>
      <w:r>
        <w:rPr>
          <w:i/>
          <w:iCs/>
        </w:rPr>
        <w:t xml:space="preserve">see also </w:t>
      </w:r>
      <w:r w:rsidRPr="00744378">
        <w:t xml:space="preserve">CTIA Comments at 59. </w:t>
      </w:r>
    </w:p>
  </w:footnote>
  <w:footnote w:id="44">
    <w:p w:rsidR="00655CCC" w:rsidP="00655CCC" w14:paraId="5C9ABDBE" w14:textId="77777777">
      <w:pPr>
        <w:pStyle w:val="FootnoteText"/>
      </w:pPr>
      <w:r>
        <w:rPr>
          <w:rStyle w:val="FootnoteReference"/>
        </w:rPr>
        <w:footnoteRef/>
      </w:r>
      <w:r>
        <w:t xml:space="preserve"> </w:t>
      </w:r>
      <w:r w:rsidRPr="0019130C">
        <w:rPr>
          <w:i/>
        </w:rPr>
        <w:t>Communications Marketplace Report et al</w:t>
      </w:r>
      <w:r w:rsidRPr="0019130C">
        <w:t xml:space="preserve">., Report, 33 FCC Rcd 12558, 12584-85, para. </w:t>
      </w:r>
      <w:r>
        <w:t>31</w:t>
      </w:r>
      <w:r w:rsidRPr="0019130C">
        <w:t xml:space="preserve"> (2018) (</w:t>
      </w:r>
      <w:r w:rsidRPr="0019130C">
        <w:rPr>
          <w:i/>
        </w:rPr>
        <w:t>Communications Marketplace Report</w:t>
      </w:r>
      <w:r>
        <w:t>).</w:t>
      </w:r>
    </w:p>
  </w:footnote>
  <w:footnote w:id="45">
    <w:p w:rsidR="006179F1" w:rsidP="006179F1" w14:paraId="3F39D689" w14:textId="20E83C58">
      <w:pPr>
        <w:pStyle w:val="FootnoteText"/>
      </w:pPr>
      <w:r>
        <w:rPr>
          <w:rStyle w:val="FootnoteReference"/>
        </w:rPr>
        <w:footnoteRef/>
      </w:r>
      <w:r>
        <w:t xml:space="preserve"> Public Interest Statement</w:t>
      </w:r>
      <w:r w:rsidR="00F62197">
        <w:t>s</w:t>
      </w:r>
      <w:r>
        <w:t xml:space="preserve"> at 8; Spectrum Aggregation Analysis at 1-12.</w:t>
      </w:r>
    </w:p>
  </w:footnote>
  <w:footnote w:id="46">
    <w:p w:rsidR="006179F1" w:rsidP="006179F1" w14:paraId="28E8187E" w14:textId="51FF7582">
      <w:pPr>
        <w:pStyle w:val="FootnoteText"/>
      </w:pPr>
      <w:r>
        <w:rPr>
          <w:rStyle w:val="FootnoteReference"/>
        </w:rPr>
        <w:footnoteRef/>
      </w:r>
      <w:r>
        <w:t xml:space="preserve"> Spectrum Aggregation Analysis at 1-12.</w:t>
      </w:r>
    </w:p>
  </w:footnote>
  <w:footnote w:id="47">
    <w:p w:rsidR="006179F1" w:rsidP="006179F1" w14:paraId="0E540542" w14:textId="085FC1F5">
      <w:pPr>
        <w:pStyle w:val="FootnoteText"/>
      </w:pPr>
      <w:r>
        <w:rPr>
          <w:rStyle w:val="FootnoteReference"/>
        </w:rPr>
        <w:footnoteRef/>
      </w:r>
      <w:r>
        <w:t xml:space="preserve"> Public Interest Statement</w:t>
      </w:r>
      <w:r w:rsidR="00F62197">
        <w:t>s</w:t>
      </w:r>
      <w:r>
        <w:t xml:space="preserve"> at 1</w:t>
      </w:r>
      <w:r w:rsidR="006421B0">
        <w:t xml:space="preserve">, </w:t>
      </w:r>
      <w:r w:rsidR="00766B48">
        <w:t>3-9</w:t>
      </w:r>
      <w:r>
        <w:t>.</w:t>
      </w:r>
    </w:p>
  </w:footnote>
  <w:footnote w:id="48">
    <w:p w:rsidR="00860C4E" w:rsidRPr="00B51162" w14:paraId="39DCE416" w14:textId="4DAF4024">
      <w:pPr>
        <w:pStyle w:val="FootnoteText"/>
        <w:rPr>
          <w:i/>
          <w:iCs/>
        </w:rPr>
      </w:pPr>
      <w:r>
        <w:rPr>
          <w:rStyle w:val="FootnoteReference"/>
        </w:rPr>
        <w:footnoteRef/>
      </w:r>
      <w:r>
        <w:t xml:space="preserve"> </w:t>
      </w:r>
      <w:r>
        <w:rPr>
          <w:i/>
          <w:iCs/>
        </w:rPr>
        <w:t xml:space="preserve">See T-Mobile/Sprint </w:t>
      </w:r>
      <w:r w:rsidRPr="008B4A08">
        <w:rPr>
          <w:i/>
          <w:iCs/>
        </w:rPr>
        <w:t>Order</w:t>
      </w:r>
      <w:r>
        <w:t xml:space="preserve">, 34 FCC Rcd at </w:t>
      </w:r>
      <w:r w:rsidR="00B145FD">
        <w:t xml:space="preserve">10620, </w:t>
      </w:r>
      <w:r>
        <w:t>para. 99</w:t>
      </w:r>
      <w:r w:rsidR="00B702A6">
        <w:t>.</w:t>
      </w:r>
    </w:p>
  </w:footnote>
  <w:footnote w:id="49">
    <w:p w:rsidR="005F5AAD" w:rsidP="00147FD6" w14:paraId="2013F260" w14:textId="5CA07A24">
      <w:pPr>
        <w:pStyle w:val="FootnoteText"/>
      </w:pPr>
      <w:r>
        <w:rPr>
          <w:rStyle w:val="FootnoteReference"/>
        </w:rPr>
        <w:footnoteRef/>
      </w:r>
      <w:r>
        <w:t xml:space="preserve"> Public Interest Statement</w:t>
      </w:r>
      <w:r w:rsidR="00F62197">
        <w:t>s</w:t>
      </w:r>
      <w:r>
        <w:t xml:space="preserve"> at 4</w:t>
      </w:r>
      <w:r w:rsidR="00001D42">
        <w:t>-</w:t>
      </w:r>
      <w:r w:rsidR="00A46A8C">
        <w:t>9</w:t>
      </w:r>
      <w:r>
        <w:t>.</w:t>
      </w:r>
    </w:p>
  </w:footnote>
  <w:footnote w:id="50">
    <w:p w:rsidR="005F5AAD" w:rsidRPr="009A0160" w:rsidP="00E934C9" w14:paraId="1F23F044" w14:textId="3B539204">
      <w:pPr>
        <w:pStyle w:val="FootnoteText"/>
      </w:pPr>
      <w:r>
        <w:rPr>
          <w:rStyle w:val="FootnoteReference"/>
        </w:rPr>
        <w:footnoteRef/>
      </w:r>
      <w:r>
        <w:t xml:space="preserve"> </w:t>
      </w:r>
      <w:r w:rsidRPr="0019130C">
        <w:rPr>
          <w:i/>
          <w:iCs/>
          <w:color w:val="010101"/>
        </w:rPr>
        <w:t>Mobile Spectrum Holdings Report and Order</w:t>
      </w:r>
      <w:r>
        <w:rPr>
          <w:color w:val="010101"/>
        </w:rPr>
        <w:t xml:space="preserve">, </w:t>
      </w:r>
      <w:r w:rsidRPr="0019130C">
        <w:rPr>
          <w:color w:val="010101"/>
        </w:rPr>
        <w:t>29 FCC Rcd</w:t>
      </w:r>
      <w:r>
        <w:rPr>
          <w:color w:val="010101"/>
        </w:rPr>
        <w:t xml:space="preserve"> at </w:t>
      </w:r>
      <w:r>
        <w:t xml:space="preserve">6238, para. 282; </w:t>
      </w:r>
      <w:r w:rsidR="0095427B">
        <w:rPr>
          <w:i/>
          <w:iCs/>
        </w:rPr>
        <w:t xml:space="preserve">AT&amp;T/Club 42 </w:t>
      </w:r>
      <w:r w:rsidRPr="00D304DF" w:rsidR="0095427B">
        <w:rPr>
          <w:i/>
        </w:rPr>
        <w:t>Order</w:t>
      </w:r>
      <w:r w:rsidR="0095427B">
        <w:t xml:space="preserve">, </w:t>
      </w:r>
      <w:r w:rsidR="00B74E2B">
        <w:t>30</w:t>
      </w:r>
      <w:r w:rsidR="00D304DF">
        <w:t xml:space="preserve"> FCC Rcd at </w:t>
      </w:r>
      <w:r w:rsidR="005319D7">
        <w:t>13076-77, paras.</w:t>
      </w:r>
      <w:r>
        <w:t xml:space="preserve"> </w:t>
      </w:r>
      <w:r w:rsidR="00D43F60">
        <w:t xml:space="preserve">46-47; </w:t>
      </w:r>
      <w:r w:rsidRPr="00D43F60">
        <w:rPr>
          <w:i/>
        </w:rPr>
        <w:t>Applications</w:t>
      </w:r>
      <w:r w:rsidRPr="000B42FD">
        <w:rPr>
          <w:i/>
        </w:rPr>
        <w:t xml:space="preserve"> of Cellco Partnership d/b/a Verizon Wireless and SpectrumCo LLC and Cox TMI, LLC for Consent </w:t>
      </w:r>
      <w:r>
        <w:rPr>
          <w:i/>
        </w:rPr>
        <w:t>T</w:t>
      </w:r>
      <w:r w:rsidRPr="000B42FD">
        <w:rPr>
          <w:i/>
        </w:rPr>
        <w:t>o Assign AWS-1 Licenses et al.</w:t>
      </w:r>
      <w:r>
        <w:t xml:space="preserve">, Memorandum Opinion and Order and Declaratory Ruling, 27 FCC Rcd 10698, 10715, para. 46 (2012) (finding that </w:t>
      </w:r>
      <w:r w:rsidRPr="009A0160">
        <w:t xml:space="preserve">the decision to move unused spectrum into the hands of a buyer that has the wherewithal to use the spectrum is an efficient use of spectrum).  As Applicants make clear, neither </w:t>
      </w:r>
      <w:r w:rsidR="005B57C8">
        <w:t>Channel 51</w:t>
      </w:r>
      <w:r w:rsidRPr="009A0160" w:rsidR="005B57C8">
        <w:t xml:space="preserve"> </w:t>
      </w:r>
      <w:r w:rsidRPr="009A0160">
        <w:t>nor LB License is currently providing services to end-user customers on the leased spectrum; thus, there was no discontinuance, reduction, loss or impairment of service to end-user customers and no loss of an existing service provider in any market.  Public Interest Statement</w:t>
      </w:r>
      <w:r w:rsidR="00F62197">
        <w:t>s</w:t>
      </w:r>
      <w:r w:rsidRPr="009A0160">
        <w:t xml:space="preserve"> at </w:t>
      </w:r>
      <w:r w:rsidRPr="009A0160">
        <w:rPr>
          <w:spacing w:val="-2"/>
        </w:rPr>
        <w:t>4.</w:t>
      </w:r>
    </w:p>
  </w:footnote>
  <w:footnote w:id="51">
    <w:p w:rsidR="005F5AAD" w14:paraId="1EBC7664" w14:textId="2DFBF86C">
      <w:pPr>
        <w:pStyle w:val="FootnoteText"/>
      </w:pPr>
      <w:r>
        <w:rPr>
          <w:rStyle w:val="FootnoteReference"/>
        </w:rPr>
        <w:footnoteRef/>
      </w:r>
      <w:r>
        <w:t xml:space="preserve"> Spectrum Aggregation Analysis at 1</w:t>
      </w:r>
      <w:r w:rsidR="003F1CBA">
        <w:t>-12</w:t>
      </w:r>
      <w:r>
        <w:t>.</w:t>
      </w:r>
    </w:p>
  </w:footnote>
  <w:footnote w:id="52">
    <w:p w:rsidR="005F5AAD" w14:paraId="4B3D8759" w14:textId="00F849D9">
      <w:pPr>
        <w:pStyle w:val="FootnoteText"/>
      </w:pPr>
      <w:r>
        <w:rPr>
          <w:rStyle w:val="FootnoteReference"/>
        </w:rPr>
        <w:footnoteRef/>
      </w:r>
      <w:r>
        <w:t xml:space="preserve"> </w:t>
      </w:r>
      <w:r w:rsidR="00835A8F">
        <w:rPr>
          <w:i/>
          <w:iCs/>
        </w:rPr>
        <w:t>Id.</w:t>
      </w:r>
      <w:r>
        <w:t>; Public Interest Statement</w:t>
      </w:r>
      <w:r w:rsidR="00F62197">
        <w:t>s</w:t>
      </w:r>
      <w:r>
        <w:t xml:space="preserve"> at</w:t>
      </w:r>
      <w:r>
        <w:rPr>
          <w:spacing w:val="-2"/>
        </w:rPr>
        <w:t xml:space="preserve"> </w:t>
      </w:r>
      <w:r w:rsidR="006E723E">
        <w:rPr>
          <w:spacing w:val="-2"/>
        </w:rPr>
        <w:t>3-6</w:t>
      </w:r>
      <w:r>
        <w:t>.</w:t>
      </w:r>
    </w:p>
  </w:footnote>
  <w:footnote w:id="53">
    <w:p w:rsidR="005F5AAD" w:rsidP="00FB5249" w14:paraId="16602C33" w14:textId="327934E9">
      <w:pPr>
        <w:pStyle w:val="FootnoteText"/>
      </w:pPr>
      <w:r>
        <w:rPr>
          <w:rStyle w:val="FootnoteReference"/>
        </w:rPr>
        <w:footnoteRef/>
      </w:r>
      <w:r>
        <w:t xml:space="preserve"> Public Interest Statement</w:t>
      </w:r>
      <w:r w:rsidR="00F62197">
        <w:t>s</w:t>
      </w:r>
      <w:r>
        <w:t xml:space="preserve"> at </w:t>
      </w:r>
      <w:r w:rsidR="009E1025">
        <w:t>4-</w:t>
      </w:r>
      <w:r>
        <w:t>5.</w:t>
      </w:r>
    </w:p>
  </w:footnote>
  <w:footnote w:id="54">
    <w:p w:rsidR="005F5AAD" w:rsidP="00CB3122" w14:paraId="021A1804" w14:textId="6EEFA76F">
      <w:pPr>
        <w:pStyle w:val="FootnoteText"/>
      </w:pPr>
      <w:r>
        <w:rPr>
          <w:rStyle w:val="FootnoteReference"/>
        </w:rPr>
        <w:footnoteRef/>
      </w:r>
      <w:r>
        <w:t xml:space="preserve"> Public Interest Statement</w:t>
      </w:r>
      <w:r w:rsidR="00F62197">
        <w:t>s</w:t>
      </w:r>
      <w:r>
        <w:t xml:space="preserve"> at 5-6. </w:t>
      </w:r>
    </w:p>
  </w:footnote>
  <w:footnote w:id="55">
    <w:p w:rsidR="005F5AAD" w:rsidP="00E934C9" w14:paraId="05E2155B" w14:textId="7FF9AE52">
      <w:pPr>
        <w:pStyle w:val="FootnoteText"/>
      </w:pPr>
      <w:r>
        <w:rPr>
          <w:rStyle w:val="FootnoteReference"/>
        </w:rPr>
        <w:footnoteRef/>
      </w:r>
      <w:r>
        <w:t xml:space="preserve"> </w:t>
      </w:r>
      <w:r w:rsidRPr="00210D24">
        <w:rPr>
          <w:i/>
          <w:iCs/>
        </w:rPr>
        <w:t>Verizon Wireless/Ne</w:t>
      </w:r>
      <w:r>
        <w:rPr>
          <w:i/>
          <w:iCs/>
        </w:rPr>
        <w:t>x</w:t>
      </w:r>
      <w:r w:rsidRPr="00210D24">
        <w:rPr>
          <w:i/>
          <w:iCs/>
        </w:rPr>
        <w:t>tlink Order</w:t>
      </w:r>
      <w:r w:rsidRPr="00EA4092">
        <w:t>,</w:t>
      </w:r>
      <w:r>
        <w:t xml:space="preserve"> </w:t>
      </w:r>
      <w:r w:rsidRPr="00210D24">
        <w:t xml:space="preserve">31 FCC Rcd </w:t>
      </w:r>
      <w:r>
        <w:t>at</w:t>
      </w:r>
      <w:r w:rsidRPr="00210D24">
        <w:t xml:space="preserve"> 7</w:t>
      </w:r>
      <w:r w:rsidR="00AD34AD">
        <w:t>7</w:t>
      </w:r>
      <w:r w:rsidRPr="00210D24">
        <w:t>7</w:t>
      </w:r>
      <w:r>
        <w:t>2</w:t>
      </w:r>
      <w:r w:rsidRPr="00210D24">
        <w:t>, para</w:t>
      </w:r>
      <w:r w:rsidR="008153EC">
        <w:t>.</w:t>
      </w:r>
      <w:r w:rsidRPr="00210D24">
        <w:t xml:space="preserve"> </w:t>
      </w:r>
      <w:r>
        <w:t>1</w:t>
      </w:r>
      <w:r w:rsidRPr="00210D24">
        <w:t>2</w:t>
      </w:r>
      <w:r>
        <w:t>.</w:t>
      </w:r>
    </w:p>
  </w:footnote>
  <w:footnote w:id="56">
    <w:p w:rsidR="0069348A" w14:paraId="0AEEAAB7" w14:textId="20B9E79A">
      <w:pPr>
        <w:pStyle w:val="FootnoteText"/>
      </w:pPr>
      <w:r>
        <w:rPr>
          <w:rStyle w:val="FootnoteReference"/>
        </w:rPr>
        <w:footnoteRef/>
      </w:r>
      <w:r>
        <w:t xml:space="preserve"> 47 CFR § </w:t>
      </w:r>
      <w:r w:rsidRPr="0069348A">
        <w:t>1.9020(g)</w:t>
      </w:r>
      <w:r>
        <w:t>.</w:t>
      </w:r>
    </w:p>
  </w:footnote>
  <w:footnote w:id="57">
    <w:p w:rsidR="004C41D9" w14:paraId="3044E940" w14:textId="01141EE9">
      <w:pPr>
        <w:pStyle w:val="FootnoteText"/>
      </w:pPr>
      <w:r>
        <w:rPr>
          <w:rStyle w:val="FootnoteReference"/>
        </w:rPr>
        <w:footnoteRef/>
      </w:r>
      <w:r>
        <w:t xml:space="preserve"> </w:t>
      </w:r>
      <w:r w:rsidRPr="00147355" w:rsidR="00147355">
        <w:rPr>
          <w:i/>
          <w:iCs/>
        </w:rPr>
        <w:t>See Mobile Spectrum Holdings Report and Order</w:t>
      </w:r>
      <w:r w:rsidRPr="00147355" w:rsidR="00147355">
        <w:t>, 29 FCC Rcd at 6245, para. 301</w:t>
      </w:r>
      <w:r w:rsidR="00147355">
        <w:t>.</w:t>
      </w:r>
    </w:p>
  </w:footnote>
  <w:footnote w:id="58">
    <w:p w:rsidR="005F5AAD" w14:paraId="0F828A3D" w14:textId="3E81DCCE">
      <w:pPr>
        <w:pStyle w:val="FootnoteText"/>
      </w:pPr>
      <w:r>
        <w:rPr>
          <w:rStyle w:val="FootnoteReference"/>
        </w:rPr>
        <w:footnoteRef/>
      </w:r>
      <w:r>
        <w:t xml:space="preserve"> </w:t>
      </w:r>
      <w:r w:rsidR="00DA77C5">
        <w:t>Pet</w:t>
      </w:r>
      <w:r w:rsidR="00304AD5">
        <w:t xml:space="preserve">ition at </w:t>
      </w:r>
      <w:r w:rsidR="00D40728">
        <w:t>1-2,</w:t>
      </w:r>
      <w:r w:rsidR="00F44E97">
        <w:t xml:space="preserve"> Verizo</w:t>
      </w:r>
      <w:r w:rsidR="00DB7A17">
        <w:t xml:space="preserve">n Reply at </w:t>
      </w:r>
      <w:r w:rsidR="00CA5B6A">
        <w:t>3-6</w:t>
      </w:r>
      <w:r w:rsidR="006B13E2">
        <w:t xml:space="preserve">; AT&amp;T Comments at 2-5, 7 (arguing that the combination of T-Mobile and Sprint has led to </w:t>
      </w:r>
      <w:r w:rsidRPr="00CD5F87" w:rsidR="006B13E2">
        <w:t xml:space="preserve">an </w:t>
      </w:r>
      <w:r w:rsidR="006B13E2">
        <w:t>excessive</w:t>
      </w:r>
      <w:r w:rsidRPr="00CD5F87" w:rsidR="006B13E2">
        <w:t xml:space="preserve"> concentration of spectrum in the hands of </w:t>
      </w:r>
      <w:r w:rsidR="006B13E2">
        <w:t>a single</w:t>
      </w:r>
      <w:r w:rsidRPr="00CD5F87" w:rsidR="006B13E2">
        <w:t xml:space="preserve"> carrier</w:t>
      </w:r>
      <w:r w:rsidR="006B13E2">
        <w:t xml:space="preserve"> and these leases will cause T-Mobile to further </w:t>
      </w:r>
      <w:r w:rsidRPr="00124707" w:rsidR="006B13E2">
        <w:rPr>
          <w:iCs/>
        </w:rPr>
        <w:t>exceed</w:t>
      </w:r>
      <w:r w:rsidR="006B13E2">
        <w:rPr>
          <w:i/>
        </w:rPr>
        <w:t xml:space="preserve"> </w:t>
      </w:r>
      <w:r w:rsidR="006B13E2">
        <w:t>the 250 megahertz screen by as much as 112 megahertz)</w:t>
      </w:r>
      <w:r w:rsidR="002172F9">
        <w:t>.</w:t>
      </w:r>
    </w:p>
  </w:footnote>
  <w:footnote w:id="59">
    <w:p w:rsidR="005F5AAD" w:rsidP="00962BE0" w14:paraId="0298BEBB" w14:textId="7F4B9EFD">
      <w:pPr>
        <w:pStyle w:val="FootnoteText"/>
      </w:pPr>
      <w:r>
        <w:rPr>
          <w:rStyle w:val="FootnoteReference"/>
        </w:rPr>
        <w:footnoteRef/>
      </w:r>
      <w:r>
        <w:t xml:space="preserve"> Petition at 4</w:t>
      </w:r>
      <w:r w:rsidR="00F743EF">
        <w:t xml:space="preserve">; </w:t>
      </w:r>
      <w:r w:rsidR="00F743EF">
        <w:rPr>
          <w:i/>
          <w:iCs/>
        </w:rPr>
        <w:t xml:space="preserve">see also </w:t>
      </w:r>
      <w:r w:rsidRPr="007F012D" w:rsidR="00A56402">
        <w:t>Verizon</w:t>
      </w:r>
      <w:r w:rsidR="00A56402">
        <w:t xml:space="preserve"> Reply at 1-6 </w:t>
      </w:r>
      <w:r w:rsidR="00F743EF">
        <w:t>(asserting that</w:t>
      </w:r>
      <w:r w:rsidRPr="00327B28" w:rsidR="00F743EF">
        <w:t xml:space="preserve"> competitive concerns arise from T-Mobile’s acknowledged</w:t>
      </w:r>
      <w:r w:rsidR="00F743EF">
        <w:t xml:space="preserve">, </w:t>
      </w:r>
      <w:r w:rsidRPr="00327B28" w:rsidR="00F743EF">
        <w:t>and now increasing</w:t>
      </w:r>
      <w:r w:rsidR="00F743EF">
        <w:t>, l</w:t>
      </w:r>
      <w:r w:rsidRPr="00327B28" w:rsidR="00F743EF">
        <w:t xml:space="preserve">ead in mid-and low-band spectrum over its nearest competitors, both nationwide and in the most populated </w:t>
      </w:r>
      <w:r w:rsidR="00F743EF">
        <w:t>p</w:t>
      </w:r>
      <w:r w:rsidRPr="00327B28" w:rsidR="00F743EF">
        <w:t xml:space="preserve">artial </w:t>
      </w:r>
      <w:r w:rsidR="00F743EF">
        <w:t>e</w:t>
      </w:r>
      <w:r w:rsidRPr="00327B28" w:rsidR="00F743EF">
        <w:t xml:space="preserve">conomic </w:t>
      </w:r>
      <w:r w:rsidR="00F743EF">
        <w:t>a</w:t>
      </w:r>
      <w:r w:rsidRPr="00327B28" w:rsidR="00F743EF">
        <w:t>reas in which T-Mobile is obtaining even more spectrum through these arrangements</w:t>
      </w:r>
      <w:r w:rsidR="00F743EF">
        <w:t>)</w:t>
      </w:r>
      <w:r>
        <w:t>.</w:t>
      </w:r>
    </w:p>
  </w:footnote>
  <w:footnote w:id="60">
    <w:p w:rsidR="005F5AAD" w14:paraId="1DB44C98" w14:textId="151E01E5">
      <w:pPr>
        <w:pStyle w:val="FootnoteText"/>
      </w:pPr>
      <w:r>
        <w:rPr>
          <w:rStyle w:val="FootnoteReference"/>
        </w:rPr>
        <w:footnoteRef/>
      </w:r>
      <w:r>
        <w:t xml:space="preserve"> </w:t>
      </w:r>
      <w:r w:rsidRPr="0019130C" w:rsidR="00657625">
        <w:rPr>
          <w:i/>
          <w:iCs/>
          <w:color w:val="010101"/>
        </w:rPr>
        <w:t>Mobile Spectrum Holdings Report and Order</w:t>
      </w:r>
      <w:r w:rsidR="00657625">
        <w:rPr>
          <w:color w:val="010101"/>
        </w:rPr>
        <w:t xml:space="preserve">, </w:t>
      </w:r>
      <w:r w:rsidRPr="0019130C" w:rsidR="00657625">
        <w:rPr>
          <w:color w:val="010101"/>
        </w:rPr>
        <w:t>29 FCC Rcd</w:t>
      </w:r>
      <w:r w:rsidR="00657625">
        <w:rPr>
          <w:color w:val="010101"/>
        </w:rPr>
        <w:t xml:space="preserve"> at </w:t>
      </w:r>
      <w:r w:rsidR="00657625">
        <w:t>62</w:t>
      </w:r>
      <w:r w:rsidR="00257C98">
        <w:t>23</w:t>
      </w:r>
      <w:r w:rsidR="00657625">
        <w:t xml:space="preserve">, para. </w:t>
      </w:r>
      <w:r w:rsidR="00984E1C">
        <w:t>231.</w:t>
      </w:r>
    </w:p>
  </w:footnote>
  <w:footnote w:id="61">
    <w:p w:rsidR="005F5AAD" w14:paraId="5C34DBB3" w14:textId="4411E484">
      <w:pPr>
        <w:pStyle w:val="FootnoteText"/>
      </w:pPr>
      <w:r>
        <w:rPr>
          <w:rStyle w:val="FootnoteReference"/>
        </w:rPr>
        <w:footnoteRef/>
      </w:r>
      <w:r>
        <w:t xml:space="preserve"> </w:t>
      </w:r>
      <w:r w:rsidR="003B32F6">
        <w:rPr>
          <w:i/>
          <w:iCs/>
          <w:color w:val="010101"/>
        </w:rPr>
        <w:t>Id.</w:t>
      </w:r>
      <w:r>
        <w:rPr>
          <w:color w:val="010101"/>
        </w:rPr>
        <w:t xml:space="preserve"> at </w:t>
      </w:r>
      <w:r>
        <w:t>6229-31, paras. 252-58.</w:t>
      </w:r>
    </w:p>
  </w:footnote>
  <w:footnote w:id="62">
    <w:p w:rsidR="005F5AAD" w14:paraId="4D916660" w14:textId="38F9B405">
      <w:pPr>
        <w:pStyle w:val="FootnoteText"/>
      </w:pPr>
      <w:r>
        <w:rPr>
          <w:rStyle w:val="FootnoteReference"/>
        </w:rPr>
        <w:footnoteRef/>
      </w:r>
      <w:r>
        <w:t xml:space="preserve"> Petition at 4.</w:t>
      </w:r>
      <w:r w:rsidRPr="008D7682" w:rsidR="008D7682">
        <w:t xml:space="preserve"> </w:t>
      </w:r>
    </w:p>
  </w:footnote>
  <w:footnote w:id="63">
    <w:p w:rsidR="005F5AAD" w:rsidP="00E0158E" w14:paraId="46D18125" w14:textId="6EC17434">
      <w:pPr>
        <w:pStyle w:val="FootnoteText"/>
      </w:pPr>
      <w:r>
        <w:rPr>
          <w:rStyle w:val="FootnoteReference"/>
        </w:rPr>
        <w:footnoteRef/>
      </w:r>
      <w:r>
        <w:t xml:space="preserve"> T-Mobile Opposition at 5-7 (arguing that </w:t>
      </w:r>
      <w:r w:rsidRPr="00817864">
        <w:t xml:space="preserve">the public </w:t>
      </w:r>
      <w:r>
        <w:t xml:space="preserve">interest </w:t>
      </w:r>
      <w:r w:rsidRPr="00817864">
        <w:t>benefit of these leases extends to rural Americans as the leased spectrum will be deployed on over 900 sites in rural areas</w:t>
      </w:r>
      <w:r>
        <w:t xml:space="preserve">); Public Knowledge Oct. 20 </w:t>
      </w:r>
      <w:r w:rsidRPr="0074030A">
        <w:rPr>
          <w:i/>
          <w:iCs/>
        </w:rPr>
        <w:t>Ex Parte</w:t>
      </w:r>
      <w:r>
        <w:t xml:space="preserve"> Letter at 1-3.  Further, we agree with the Applicants that the spectrum aggregation screen does not account for all available spectrum used by mobile providers.  T-Mobile Reply to AT&amp;T at 6.</w:t>
      </w:r>
    </w:p>
  </w:footnote>
  <w:footnote w:id="64">
    <w:p w:rsidR="00C44672" w:rsidP="00C44672" w14:paraId="2D8F4C4C" w14:textId="151FCBBD">
      <w:pPr>
        <w:pStyle w:val="FootnoteText"/>
      </w:pPr>
      <w:r>
        <w:rPr>
          <w:rStyle w:val="FootnoteReference"/>
        </w:rPr>
        <w:footnoteRef/>
      </w:r>
      <w:r>
        <w:t xml:space="preserve"> </w:t>
      </w:r>
      <w:r w:rsidRPr="0048710B">
        <w:t>AT&amp;T Comments at 1-2, 5</w:t>
      </w:r>
      <w:r>
        <w:t>, 8-11</w:t>
      </w:r>
      <w:r w:rsidRPr="0048710B">
        <w:t xml:space="preserve">; T-Mobile Reply to AT&amp;T at </w:t>
      </w:r>
      <w:r>
        <w:t xml:space="preserve">5-10; Public Knowledge Oct. 20 </w:t>
      </w:r>
      <w:r w:rsidRPr="006E45C2">
        <w:rPr>
          <w:i/>
          <w:iCs/>
        </w:rPr>
        <w:t>Ex Parte</w:t>
      </w:r>
      <w:r>
        <w:t xml:space="preserve"> Letter at 3</w:t>
      </w:r>
      <w:r w:rsidRPr="0048710B">
        <w:t>.</w:t>
      </w:r>
    </w:p>
  </w:footnote>
  <w:footnote w:id="65">
    <w:p w:rsidR="00C44672" w:rsidP="00C44672" w14:paraId="6D6EC238" w14:textId="77777777">
      <w:pPr>
        <w:pStyle w:val="FootnoteText"/>
      </w:pPr>
      <w:r>
        <w:rPr>
          <w:rStyle w:val="FootnoteReference"/>
        </w:rPr>
        <w:footnoteRef/>
      </w:r>
      <w:r>
        <w:t xml:space="preserve"> AT&amp;T Comments at 8-10 (asserting that the aggregation of spectrum by T-Mobile</w:t>
      </w:r>
      <w:r w:rsidRPr="005B3DF2">
        <w:t xml:space="preserve"> compels a revised approach to the spectrum screen</w:t>
      </w:r>
      <w:r>
        <w:t xml:space="preserve"> with a higher</w:t>
      </w:r>
      <w:r w:rsidRPr="00244323">
        <w:t xml:space="preserve"> standard of review where an applicant’s holdings already exceed the spectrum screen</w:t>
      </w:r>
      <w:r>
        <w:t xml:space="preserve">).  We note that in the T-Mobile/Sprint transaction, AT&amp;T filed comments asserting that it did not take a position on whether the Commission should approve the T-Mobile/Sprint merger; further, AT&amp;T did not request revisions to the spectrum aggregation screen or spectrum divestitures in that proceeding.  Comments by AT&amp;T Services Inc., WT Docket 18-197 (filed Aug. 27, 2018).  </w:t>
      </w:r>
    </w:p>
  </w:footnote>
  <w:footnote w:id="66">
    <w:p w:rsidR="00C44672" w:rsidP="00C44672" w14:paraId="4D1DCA8A" w14:textId="77777777">
      <w:pPr>
        <w:pStyle w:val="FootnoteText"/>
      </w:pPr>
      <w:r>
        <w:rPr>
          <w:rStyle w:val="FootnoteReference"/>
        </w:rPr>
        <w:footnoteRef/>
      </w:r>
      <w:r>
        <w:t xml:space="preserve"> AT&amp;T Comments at 8-11; T-Mobile Reply to AT&amp;T at 8-10 (asserting that the Commission should revisit the </w:t>
      </w:r>
      <w:r w:rsidRPr="00077E74">
        <w:t xml:space="preserve">spectrum aggregation policies </w:t>
      </w:r>
      <w:r>
        <w:t>applicable to</w:t>
      </w:r>
      <w:r w:rsidRPr="00077E74">
        <w:t xml:space="preserve"> </w:t>
      </w:r>
      <w:r>
        <w:t xml:space="preserve">Auction 107 to find that </w:t>
      </w:r>
      <w:r w:rsidRPr="00077E74">
        <w:t>there is a presumption of no competitive harm where the spectrum won by any auction participant does not exceed more than one-third of the auctioned spectrum in a local market</w:t>
      </w:r>
      <w:r>
        <w:t xml:space="preserve">).  </w:t>
      </w:r>
      <w:r w:rsidRPr="000A632A">
        <w:rPr>
          <w:i/>
          <w:iCs/>
        </w:rPr>
        <w:t>Id</w:t>
      </w:r>
      <w:r>
        <w:t>. at 10-11.</w:t>
      </w:r>
    </w:p>
  </w:footnote>
  <w:footnote w:id="67">
    <w:p w:rsidR="00C44672" w:rsidP="00C44672" w14:paraId="0AEFF511" w14:textId="77777777">
      <w:pPr>
        <w:pStyle w:val="FootnoteText"/>
      </w:pPr>
      <w:r>
        <w:rPr>
          <w:rStyle w:val="FootnoteReference"/>
        </w:rPr>
        <w:footnoteRef/>
      </w:r>
      <w:r>
        <w:t xml:space="preserve"> </w:t>
      </w:r>
      <w:r w:rsidRPr="008726CE">
        <w:t>47 CFR § 1.106(</w:t>
      </w:r>
      <w:r>
        <w:t>p</w:t>
      </w:r>
      <w:r w:rsidRPr="008726CE">
        <w:t>)</w:t>
      </w:r>
      <w:r>
        <w:t xml:space="preserve">(5). </w:t>
      </w:r>
    </w:p>
  </w:footnote>
  <w:footnote w:id="68">
    <w:p w:rsidR="00C44672" w:rsidRPr="00A06244" w:rsidP="00C44672" w14:paraId="329933FD" w14:textId="77777777">
      <w:pPr>
        <w:pStyle w:val="FootnoteText"/>
      </w:pPr>
      <w:r>
        <w:rPr>
          <w:rStyle w:val="FootnoteReference"/>
        </w:rPr>
        <w:footnoteRef/>
      </w:r>
      <w:r>
        <w:t xml:space="preserve"> </w:t>
      </w:r>
      <w:r>
        <w:rPr>
          <w:i/>
          <w:iCs/>
        </w:rPr>
        <w:t>See, e.g.</w:t>
      </w:r>
      <w:r>
        <w:t xml:space="preserve">, </w:t>
      </w:r>
      <w:r>
        <w:rPr>
          <w:i/>
          <w:iCs/>
        </w:rPr>
        <w:t>SprintCom, Inc., Shenandoah Personal Communications, LLC, and NTELOS Holdings Corp. For Consent to Assign Licenses and Spectrum Lease Authorizations and to Transfer Control of Spectrum Lease Authorizations and an International Section 214 Authorization</w:t>
      </w:r>
      <w:r>
        <w:t xml:space="preserve">, Memorandum Opinion and Order, </w:t>
      </w:r>
      <w:r w:rsidRPr="00A06244">
        <w:t>31 FCC Rcd 3631</w:t>
      </w:r>
      <w:r>
        <w:t>, 3638, para. 15 (WTB 2016).</w:t>
      </w:r>
    </w:p>
  </w:footnote>
  <w:footnote w:id="69">
    <w:p w:rsidR="00C44672" w:rsidP="00C44672" w14:paraId="3A6C4E32" w14:textId="77777777">
      <w:pPr>
        <w:pStyle w:val="FootnoteText"/>
      </w:pPr>
      <w:r>
        <w:rPr>
          <w:rStyle w:val="FootnoteReference"/>
        </w:rPr>
        <w:footnoteRef/>
      </w:r>
      <w:r>
        <w:t xml:space="preserve"> </w:t>
      </w:r>
      <w:r w:rsidRPr="00234567">
        <w:rPr>
          <w:i/>
          <w:iCs/>
        </w:rPr>
        <w:t xml:space="preserve">See </w:t>
      </w:r>
      <w:r>
        <w:t xml:space="preserve">Public Knowledge Oct. 20 </w:t>
      </w:r>
      <w:r w:rsidRPr="006E45C2">
        <w:rPr>
          <w:i/>
          <w:iCs/>
        </w:rPr>
        <w:t>Ex Parte</w:t>
      </w:r>
      <w:r>
        <w:t xml:space="preserve"> Letter at 2-3 (urging the Commission to deny the Verizon Petition and consider initiating a proceeding to explore possible updates to the spectrum aggregation screen)</w:t>
      </w:r>
      <w:r w:rsidRPr="00B812CA">
        <w:t>.</w:t>
      </w:r>
    </w:p>
  </w:footnote>
  <w:footnote w:id="70">
    <w:p w:rsidR="00C44672" w:rsidP="00C44672" w14:paraId="7DF20497" w14:textId="77777777">
      <w:pPr>
        <w:pStyle w:val="FootnoteText"/>
      </w:pPr>
      <w:r>
        <w:rPr>
          <w:rStyle w:val="FootnoteReference"/>
        </w:rPr>
        <w:footnoteRef/>
      </w:r>
      <w:r>
        <w:t xml:space="preserve"> </w:t>
      </w:r>
      <w:r w:rsidRPr="00554A74">
        <w:rPr>
          <w:i/>
          <w:iCs/>
        </w:rPr>
        <w:t>T-Mobile/Sprint Order</w:t>
      </w:r>
      <w:r>
        <w:t>,</w:t>
      </w:r>
      <w:r w:rsidRPr="00554A74">
        <w:t xml:space="preserve"> </w:t>
      </w:r>
      <w:r>
        <w:t xml:space="preserve">34 FCC Rcd at 10745, paras. 384-85.    </w:t>
      </w:r>
    </w:p>
  </w:footnote>
  <w:footnote w:id="71">
    <w:p w:rsidR="00C44672" w:rsidP="00C44672" w14:paraId="48A71AAD" w14:textId="77777777">
      <w:pPr>
        <w:pStyle w:val="FootnoteText"/>
      </w:pPr>
      <w:r>
        <w:rPr>
          <w:rStyle w:val="FootnoteReference"/>
        </w:rPr>
        <w:footnoteRef/>
      </w:r>
      <w:r>
        <w:t xml:space="preserve"> </w:t>
      </w:r>
      <w:r w:rsidRPr="005E5CE4">
        <w:rPr>
          <w:i/>
          <w:iCs/>
        </w:rPr>
        <w:t>3.7 GHz Report and Order</w:t>
      </w:r>
      <w:r w:rsidRPr="005E5CE4">
        <w:t>,</w:t>
      </w:r>
      <w:r w:rsidRPr="005E5CE4">
        <w:rPr>
          <w:i/>
          <w:iCs/>
        </w:rPr>
        <w:t xml:space="preserve"> </w:t>
      </w:r>
      <w:r w:rsidRPr="005E5CE4">
        <w:t>35 FCC Rcd at 23</w:t>
      </w:r>
      <w:r>
        <w:t xml:space="preserve">81, 2382-84 paras. 83, 86, 89; </w:t>
      </w:r>
      <w:r w:rsidRPr="00224457">
        <w:rPr>
          <w:i/>
          <w:iCs/>
        </w:rPr>
        <w:t>C-Band Auction Public Notice</w:t>
      </w:r>
      <w:r>
        <w:t xml:space="preserve">, </w:t>
      </w:r>
      <w:r w:rsidRPr="00840008">
        <w:t xml:space="preserve">35 FCC Rcd </w:t>
      </w:r>
      <w:r>
        <w:t>at 8441, para. 112.</w:t>
      </w:r>
      <w:r w:rsidRPr="00840008">
        <w:t xml:space="preserve"> </w:t>
      </w:r>
      <w:r>
        <w:t xml:space="preserve">   </w:t>
      </w:r>
    </w:p>
  </w:footnote>
  <w:footnote w:id="72">
    <w:p w:rsidR="00AA5570" w:rsidP="00AA5570" w14:paraId="5C4FF399" w14:textId="10884737">
      <w:pPr>
        <w:pStyle w:val="FootnoteText"/>
      </w:pPr>
      <w:r>
        <w:rPr>
          <w:rStyle w:val="FootnoteReference"/>
        </w:rPr>
        <w:footnoteRef/>
      </w:r>
      <w:r>
        <w:t xml:space="preserve"> </w:t>
      </w:r>
      <w:r w:rsidRPr="005E5CE4">
        <w:rPr>
          <w:i/>
          <w:iCs/>
        </w:rPr>
        <w:t>3.7 GHz Report and Order</w:t>
      </w:r>
      <w:r w:rsidRPr="005E5CE4">
        <w:t>,</w:t>
      </w:r>
      <w:r w:rsidRPr="005E5CE4">
        <w:rPr>
          <w:i/>
          <w:iCs/>
        </w:rPr>
        <w:t xml:space="preserve"> </w:t>
      </w:r>
      <w:r w:rsidRPr="005E5CE4">
        <w:t>35 FCC Rcd at 23</w:t>
      </w:r>
      <w:r>
        <w:t>84, para. 89.</w:t>
      </w:r>
      <w:r w:rsidRPr="00840008">
        <w:t xml:space="preserve"> </w:t>
      </w:r>
      <w:r>
        <w:t xml:space="preserve"> In particular, “the Commission may allow a license applicant . . . ‘to exceed the threshold if it finds that this would not foreclose other competitors from acquiring similar’ spectrum . . . .”  </w:t>
      </w:r>
      <w:r>
        <w:rPr>
          <w:i/>
          <w:iCs/>
        </w:rPr>
        <w:t>Id.</w:t>
      </w:r>
      <w:r w:rsidRPr="005E5CE4">
        <w:rPr>
          <w:i/>
          <w:iCs/>
        </w:rPr>
        <w:t xml:space="preserve"> </w:t>
      </w:r>
      <w:r w:rsidRPr="005E5CE4">
        <w:t>at 23</w:t>
      </w:r>
      <w:r>
        <w:t xml:space="preserve">84, para. 89 n.373 (quoting </w:t>
      </w:r>
      <w:r>
        <w:rPr>
          <w:i/>
          <w:iCs/>
        </w:rPr>
        <w:t>2018 Spectrum Frontiers Order and FNPRM</w:t>
      </w:r>
      <w:r>
        <w:t xml:space="preserve">, 33 FCC Rcd at 5591, para. 35); </w:t>
      </w:r>
      <w:r>
        <w:rPr>
          <w:i/>
          <w:iCs/>
        </w:rPr>
        <w:t xml:space="preserve">see also id. </w:t>
      </w:r>
      <w:r>
        <w:t xml:space="preserve">(“Further, in the event that a divestiture is required before issuing any new licenses, an applicant would have greater flexibility to choose which spectrum to divest among its existing spectrum holdings already in the screen, in a manner that nevertheless would address competitive concerns.”) (internal quotations omitted).  </w:t>
      </w:r>
    </w:p>
  </w:footnote>
  <w:footnote w:id="73">
    <w:p w:rsidR="00C44672" w:rsidP="00C44672" w14:paraId="4DB74892" w14:textId="5ADAB164">
      <w:pPr>
        <w:pStyle w:val="FootnoteText"/>
      </w:pPr>
      <w:r>
        <w:rPr>
          <w:rStyle w:val="FootnoteReference"/>
        </w:rPr>
        <w:footnoteRef/>
      </w:r>
      <w:r>
        <w:t xml:space="preserve"> 47 CFR § 1.106(f).</w:t>
      </w:r>
    </w:p>
  </w:footnote>
  <w:footnote w:id="74">
    <w:p w:rsidR="00C44672" w:rsidP="00C44672" w14:paraId="0B67EE32" w14:textId="3C52FA09">
      <w:pPr>
        <w:pStyle w:val="FootnoteText"/>
      </w:pPr>
      <w:r>
        <w:rPr>
          <w:rStyle w:val="FootnoteReference"/>
        </w:rPr>
        <w:footnoteRef/>
      </w:r>
      <w:r>
        <w:t xml:space="preserve"> 47 CFR § 1.429(d).</w:t>
      </w:r>
    </w:p>
  </w:footnote>
  <w:footnote w:id="75">
    <w:p w:rsidR="009B4C28" w:rsidRPr="00816B57" w:rsidP="0013554E" w14:paraId="22A87B1D" w14:textId="6B354E86">
      <w:pPr>
        <w:pStyle w:val="FootnoteText"/>
      </w:pPr>
      <w:r>
        <w:rPr>
          <w:rStyle w:val="FootnoteReference"/>
        </w:rPr>
        <w:footnoteRef/>
      </w:r>
      <w:r w:rsidR="00581414">
        <w:t xml:space="preserve"> </w:t>
      </w:r>
      <w:r w:rsidR="00581414">
        <w:rPr>
          <w:i/>
          <w:iCs/>
        </w:rPr>
        <w:t xml:space="preserve">See </w:t>
      </w:r>
      <w:r w:rsidR="00B702A6">
        <w:rPr>
          <w:i/>
          <w:iCs/>
        </w:rPr>
        <w:t xml:space="preserve">T-Mobile/Sprint </w:t>
      </w:r>
      <w:r w:rsidRPr="008B4A08" w:rsidR="00B702A6">
        <w:rPr>
          <w:i/>
          <w:iCs/>
        </w:rPr>
        <w:t>Order</w:t>
      </w:r>
      <w:r w:rsidR="00B702A6">
        <w:t>, 34 FCC Rcd at 10620, para. 99</w:t>
      </w:r>
      <w:r w:rsidR="00581414">
        <w:rPr>
          <w:i/>
          <w:iCs/>
        </w:rPr>
        <w:t xml:space="preserve">.  </w:t>
      </w:r>
    </w:p>
  </w:footnote>
  <w:footnote w:id="76">
    <w:p w:rsidR="00C720BC" w14:paraId="3E164E3B" w14:textId="482654BA">
      <w:pPr>
        <w:pStyle w:val="FootnoteText"/>
      </w:pPr>
      <w:r>
        <w:rPr>
          <w:rStyle w:val="FootnoteReference"/>
        </w:rPr>
        <w:footnoteRef/>
      </w:r>
      <w:r>
        <w:t xml:space="preserve"> </w:t>
      </w:r>
      <w:r w:rsidRPr="0019130C" w:rsidR="001231B1">
        <w:rPr>
          <w:i/>
          <w:iCs/>
          <w:color w:val="010101"/>
        </w:rPr>
        <w:t>Mobile Spectrum Holdings Report and Order</w:t>
      </w:r>
      <w:r w:rsidR="001231B1">
        <w:rPr>
          <w:color w:val="010101"/>
        </w:rPr>
        <w:t xml:space="preserve">, </w:t>
      </w:r>
      <w:r w:rsidRPr="0019130C" w:rsidR="001231B1">
        <w:rPr>
          <w:color w:val="010101"/>
        </w:rPr>
        <w:t>29 FCC Rcd</w:t>
      </w:r>
      <w:r w:rsidR="001231B1">
        <w:rPr>
          <w:color w:val="010101"/>
        </w:rPr>
        <w:t xml:space="preserve"> at </w:t>
      </w:r>
      <w:r w:rsidR="001231B1">
        <w:t>6223, para. 231.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AAD" w:rsidP="00810B6F" w14:paraId="2CA0C7D0" w14:textId="12F92356">
    <w:pPr>
      <w:pStyle w:val="Header"/>
      <w:rPr>
        <w:b w:val="0"/>
      </w:rPr>
    </w:pPr>
    <w:r>
      <w:tab/>
      <w:t>Federal Communications Commission</w:t>
    </w:r>
    <w:r>
      <w:tab/>
    </w:r>
    <w:r w:rsidR="00E02C53">
      <w:t>DA 20-1442</w:t>
    </w:r>
  </w:p>
  <w:p w:rsidR="005F5AAD" w14:paraId="2F1E2FA9" w14:textId="6881323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5F5AAD" w14:paraId="3417299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AAD" w:rsidP="00810B6F" w14:paraId="60CE6003" w14:textId="7D43CE1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8D6F48"/>
    <w:multiLevelType w:val="hybridMultilevel"/>
    <w:tmpl w:val="DA044E8C"/>
    <w:lvl w:ilvl="0">
      <w:start w:val="1"/>
      <w:numFmt w:val="bullet"/>
      <w:lvlText w:val=""/>
      <w:lvlJc w:val="left"/>
      <w:pPr>
        <w:ind w:left="820" w:hanging="360"/>
      </w:pPr>
      <w:rPr>
        <w:rFonts w:ascii="Symbol" w:hAnsi="Symbol" w:hint="default"/>
      </w:rPr>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1">
    <w:nsid w:val="25D2100E"/>
    <w:multiLevelType w:val="hybridMultilevel"/>
    <w:tmpl w:val="29EA59D6"/>
    <w:lvl w:ilvl="0">
      <w:start w:val="1"/>
      <w:numFmt w:val="decimal"/>
      <w:lvlText w:val="%1."/>
      <w:lvlJc w:val="left"/>
      <w:pPr>
        <w:ind w:left="770" w:hanging="360"/>
      </w:pPr>
    </w:lvl>
    <w:lvl w:ilvl="1" w:tentative="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2">
    <w:nsid w:val="27E06CBB"/>
    <w:multiLevelType w:val="hybridMultilevel"/>
    <w:tmpl w:val="A0BE152C"/>
    <w:lvl w:ilvl="0">
      <w:start w:val="1"/>
      <w:numFmt w:val="upperRoman"/>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313C7BB2"/>
    <w:multiLevelType w:val="hybridMultilevel"/>
    <w:tmpl w:val="833AF156"/>
    <w:lvl w:ilvl="0">
      <w:start w:val="3"/>
      <w:numFmt w:val="decimal"/>
      <w:lvlText w:val="%1."/>
      <w:lvlJc w:val="left"/>
      <w:pPr>
        <w:ind w:left="216" w:hanging="648"/>
      </w:pPr>
      <w:rPr>
        <w:rFonts w:ascii="Times New Roman" w:eastAsia="Times New Roman" w:hAnsi="Times New Roman" w:cs="Times New Roman" w:hint="default"/>
        <w:color w:val="020100"/>
        <w:w w:val="99"/>
        <w:sz w:val="20"/>
        <w:szCs w:val="20"/>
      </w:rPr>
    </w:lvl>
    <w:lvl w:ilvl="1">
      <w:start w:val="0"/>
      <w:numFmt w:val="bullet"/>
      <w:lvlText w:val="•"/>
      <w:lvlJc w:val="left"/>
      <w:pPr>
        <w:ind w:left="1078" w:hanging="648"/>
      </w:pPr>
      <w:rPr>
        <w:rFonts w:hint="default"/>
      </w:rPr>
    </w:lvl>
    <w:lvl w:ilvl="2">
      <w:start w:val="0"/>
      <w:numFmt w:val="bullet"/>
      <w:lvlText w:val="•"/>
      <w:lvlJc w:val="left"/>
      <w:pPr>
        <w:ind w:left="1936" w:hanging="648"/>
      </w:pPr>
      <w:rPr>
        <w:rFonts w:hint="default"/>
      </w:rPr>
    </w:lvl>
    <w:lvl w:ilvl="3">
      <w:start w:val="0"/>
      <w:numFmt w:val="bullet"/>
      <w:lvlText w:val="•"/>
      <w:lvlJc w:val="left"/>
      <w:pPr>
        <w:ind w:left="2794" w:hanging="648"/>
      </w:pPr>
      <w:rPr>
        <w:rFonts w:hint="default"/>
      </w:rPr>
    </w:lvl>
    <w:lvl w:ilvl="4">
      <w:start w:val="0"/>
      <w:numFmt w:val="bullet"/>
      <w:lvlText w:val="•"/>
      <w:lvlJc w:val="left"/>
      <w:pPr>
        <w:ind w:left="3652" w:hanging="648"/>
      </w:pPr>
      <w:rPr>
        <w:rFonts w:hint="default"/>
      </w:rPr>
    </w:lvl>
    <w:lvl w:ilvl="5">
      <w:start w:val="0"/>
      <w:numFmt w:val="bullet"/>
      <w:lvlText w:val="•"/>
      <w:lvlJc w:val="left"/>
      <w:pPr>
        <w:ind w:left="4510" w:hanging="648"/>
      </w:pPr>
      <w:rPr>
        <w:rFonts w:hint="default"/>
      </w:rPr>
    </w:lvl>
    <w:lvl w:ilvl="6">
      <w:start w:val="0"/>
      <w:numFmt w:val="bullet"/>
      <w:lvlText w:val="•"/>
      <w:lvlJc w:val="left"/>
      <w:pPr>
        <w:ind w:left="5368" w:hanging="648"/>
      </w:pPr>
      <w:rPr>
        <w:rFonts w:hint="default"/>
      </w:rPr>
    </w:lvl>
    <w:lvl w:ilvl="7">
      <w:start w:val="0"/>
      <w:numFmt w:val="bullet"/>
      <w:lvlText w:val="•"/>
      <w:lvlJc w:val="left"/>
      <w:pPr>
        <w:ind w:left="6226" w:hanging="648"/>
      </w:pPr>
      <w:rPr>
        <w:rFonts w:hint="default"/>
      </w:rPr>
    </w:lvl>
    <w:lvl w:ilvl="8">
      <w:start w:val="0"/>
      <w:numFmt w:val="bullet"/>
      <w:lvlText w:val="•"/>
      <w:lvlJc w:val="left"/>
      <w:pPr>
        <w:ind w:left="7084" w:hanging="648"/>
      </w:pPr>
      <w:rPr>
        <w:rFonts w:hint="default"/>
      </w:rPr>
    </w:lvl>
  </w:abstractNum>
  <w:abstractNum w:abstractNumId="4">
    <w:nsid w:val="495B6A51"/>
    <w:multiLevelType w:val="hybridMultilevel"/>
    <w:tmpl w:val="C6C897A6"/>
    <w:lvl w:ilvl="0">
      <w:start w:val="1"/>
      <w:numFmt w:val="upperLetter"/>
      <w:lvlText w:val="%1."/>
      <w:lvlJc w:val="left"/>
      <w:pPr>
        <w:ind w:left="1512" w:hanging="648"/>
      </w:pPr>
      <w:rPr>
        <w:rFonts w:ascii="Times New Roman" w:eastAsia="Times New Roman" w:hAnsi="Times New Roman" w:cs="Times New Roman" w:hint="default"/>
        <w:b/>
        <w:bCs/>
        <w:color w:val="020100"/>
        <w:spacing w:val="-1"/>
        <w:w w:val="99"/>
        <w:sz w:val="20"/>
        <w:szCs w:val="20"/>
      </w:rPr>
    </w:lvl>
    <w:lvl w:ilvl="1">
      <w:start w:val="0"/>
      <w:numFmt w:val="bullet"/>
      <w:lvlText w:val="•"/>
      <w:lvlJc w:val="left"/>
      <w:pPr>
        <w:ind w:left="2248" w:hanging="648"/>
      </w:pPr>
      <w:rPr>
        <w:rFonts w:hint="default"/>
      </w:rPr>
    </w:lvl>
    <w:lvl w:ilvl="2">
      <w:start w:val="0"/>
      <w:numFmt w:val="bullet"/>
      <w:lvlText w:val="•"/>
      <w:lvlJc w:val="left"/>
      <w:pPr>
        <w:ind w:left="2976" w:hanging="648"/>
      </w:pPr>
      <w:rPr>
        <w:rFonts w:hint="default"/>
      </w:rPr>
    </w:lvl>
    <w:lvl w:ilvl="3">
      <w:start w:val="0"/>
      <w:numFmt w:val="bullet"/>
      <w:lvlText w:val="•"/>
      <w:lvlJc w:val="left"/>
      <w:pPr>
        <w:ind w:left="3704" w:hanging="648"/>
      </w:pPr>
      <w:rPr>
        <w:rFonts w:hint="default"/>
      </w:rPr>
    </w:lvl>
    <w:lvl w:ilvl="4">
      <w:start w:val="0"/>
      <w:numFmt w:val="bullet"/>
      <w:lvlText w:val="•"/>
      <w:lvlJc w:val="left"/>
      <w:pPr>
        <w:ind w:left="4432" w:hanging="648"/>
      </w:pPr>
      <w:rPr>
        <w:rFonts w:hint="default"/>
      </w:rPr>
    </w:lvl>
    <w:lvl w:ilvl="5">
      <w:start w:val="0"/>
      <w:numFmt w:val="bullet"/>
      <w:lvlText w:val="•"/>
      <w:lvlJc w:val="left"/>
      <w:pPr>
        <w:ind w:left="5160" w:hanging="648"/>
      </w:pPr>
      <w:rPr>
        <w:rFonts w:hint="default"/>
      </w:rPr>
    </w:lvl>
    <w:lvl w:ilvl="6">
      <w:start w:val="0"/>
      <w:numFmt w:val="bullet"/>
      <w:lvlText w:val="•"/>
      <w:lvlJc w:val="left"/>
      <w:pPr>
        <w:ind w:left="5888" w:hanging="648"/>
      </w:pPr>
      <w:rPr>
        <w:rFonts w:hint="default"/>
      </w:rPr>
    </w:lvl>
    <w:lvl w:ilvl="7">
      <w:start w:val="0"/>
      <w:numFmt w:val="bullet"/>
      <w:lvlText w:val="•"/>
      <w:lvlJc w:val="left"/>
      <w:pPr>
        <w:ind w:left="6616" w:hanging="648"/>
      </w:pPr>
      <w:rPr>
        <w:rFonts w:hint="default"/>
      </w:rPr>
    </w:lvl>
    <w:lvl w:ilvl="8">
      <w:start w:val="0"/>
      <w:numFmt w:val="bullet"/>
      <w:lvlText w:val="•"/>
      <w:lvlJc w:val="left"/>
      <w:pPr>
        <w:ind w:left="7344" w:hanging="648"/>
      </w:pPr>
      <w:rPr>
        <w:rFonts w:hint="default"/>
      </w:rPr>
    </w:lvl>
  </w:abstractNum>
  <w:abstractNum w:abstractNumId="5">
    <w:nsid w:val="58A21376"/>
    <w:multiLevelType w:val="hybridMultilevel"/>
    <w:tmpl w:val="B5041306"/>
    <w:lvl w:ilvl="0">
      <w:start w:val="1"/>
      <w:numFmt w:val="upperLetter"/>
      <w:lvlText w:val="%1."/>
      <w:lvlJc w:val="left"/>
      <w:pPr>
        <w:ind w:left="1512" w:hanging="648"/>
      </w:pPr>
      <w:rPr>
        <w:rFonts w:ascii="Times New Roman" w:eastAsia="Times New Roman" w:hAnsi="Times New Roman" w:cs="Times New Roman" w:hint="default"/>
        <w:b/>
        <w:bCs/>
        <w:color w:val="020100"/>
        <w:spacing w:val="-1"/>
        <w:w w:val="99"/>
        <w:sz w:val="20"/>
        <w:szCs w:val="20"/>
      </w:rPr>
    </w:lvl>
    <w:lvl w:ilvl="1">
      <w:start w:val="1"/>
      <w:numFmt w:val="decimal"/>
      <w:lvlText w:val="%2."/>
      <w:lvlJc w:val="left"/>
      <w:pPr>
        <w:ind w:left="2160" w:hanging="648"/>
      </w:pPr>
      <w:rPr>
        <w:rFonts w:ascii="Times New Roman" w:eastAsia="Times New Roman" w:hAnsi="Times New Roman" w:cs="Times New Roman" w:hint="default"/>
        <w:b/>
        <w:bCs/>
        <w:color w:val="020100"/>
        <w:w w:val="99"/>
        <w:sz w:val="20"/>
        <w:szCs w:val="20"/>
      </w:rPr>
    </w:lvl>
    <w:lvl w:ilvl="2">
      <w:start w:val="0"/>
      <w:numFmt w:val="bullet"/>
      <w:lvlText w:val="•"/>
      <w:lvlJc w:val="left"/>
      <w:pPr>
        <w:ind w:left="2897" w:hanging="648"/>
      </w:pPr>
      <w:rPr>
        <w:rFonts w:hint="default"/>
      </w:rPr>
    </w:lvl>
    <w:lvl w:ilvl="3">
      <w:start w:val="0"/>
      <w:numFmt w:val="bullet"/>
      <w:lvlText w:val="•"/>
      <w:lvlJc w:val="left"/>
      <w:pPr>
        <w:ind w:left="3635" w:hanging="648"/>
      </w:pPr>
      <w:rPr>
        <w:rFonts w:hint="default"/>
      </w:rPr>
    </w:lvl>
    <w:lvl w:ilvl="4">
      <w:start w:val="0"/>
      <w:numFmt w:val="bullet"/>
      <w:lvlText w:val="•"/>
      <w:lvlJc w:val="left"/>
      <w:pPr>
        <w:ind w:left="4373" w:hanging="648"/>
      </w:pPr>
      <w:rPr>
        <w:rFonts w:hint="default"/>
      </w:rPr>
    </w:lvl>
    <w:lvl w:ilvl="5">
      <w:start w:val="0"/>
      <w:numFmt w:val="bullet"/>
      <w:lvlText w:val="•"/>
      <w:lvlJc w:val="left"/>
      <w:pPr>
        <w:ind w:left="5111" w:hanging="648"/>
      </w:pPr>
      <w:rPr>
        <w:rFonts w:hint="default"/>
      </w:rPr>
    </w:lvl>
    <w:lvl w:ilvl="6">
      <w:start w:val="0"/>
      <w:numFmt w:val="bullet"/>
      <w:lvlText w:val="•"/>
      <w:lvlJc w:val="left"/>
      <w:pPr>
        <w:ind w:left="5848" w:hanging="648"/>
      </w:pPr>
      <w:rPr>
        <w:rFonts w:hint="default"/>
      </w:rPr>
    </w:lvl>
    <w:lvl w:ilvl="7">
      <w:start w:val="0"/>
      <w:numFmt w:val="bullet"/>
      <w:lvlText w:val="•"/>
      <w:lvlJc w:val="left"/>
      <w:pPr>
        <w:ind w:left="6586" w:hanging="648"/>
      </w:pPr>
      <w:rPr>
        <w:rFonts w:hint="default"/>
      </w:rPr>
    </w:lvl>
    <w:lvl w:ilvl="8">
      <w:start w:val="0"/>
      <w:numFmt w:val="bullet"/>
      <w:lvlText w:val="•"/>
      <w:lvlJc w:val="left"/>
      <w:pPr>
        <w:ind w:left="7324" w:hanging="648"/>
      </w:pPr>
      <w:rPr>
        <w:rFonts w:hint="default"/>
      </w:rPr>
    </w:lvl>
  </w:abstractNum>
  <w:abstractNum w:abstractNumId="6">
    <w:nsid w:val="61182925"/>
    <w:multiLevelType w:val="hybridMultilevel"/>
    <w:tmpl w:val="93C43E96"/>
    <w:lvl w:ilvl="0">
      <w:start w:val="1"/>
      <w:numFmt w:val="decimal"/>
      <w:pStyle w:val="ParaNum"/>
      <w:lvlText w:val="%1."/>
      <w:lvlJc w:val="left"/>
      <w:pPr>
        <w:tabs>
          <w:tab w:val="num" w:pos="1080"/>
        </w:tabs>
        <w:ind w:left="0" w:firstLine="720"/>
      </w:pPr>
      <w:rPr>
        <w:i w:val="0"/>
        <w:iCs w:val="0"/>
        <w:sz w:val="22"/>
        <w:szCs w:val="22"/>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63551126"/>
    <w:multiLevelType w:val="hybridMultilevel"/>
    <w:tmpl w:val="008077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6CB3DEC"/>
    <w:multiLevelType w:val="hybridMultilevel"/>
    <w:tmpl w:val="A8D43762"/>
    <w:lvl w:ilvl="0">
      <w:start w:val="1"/>
      <w:numFmt w:val="upperRoman"/>
      <w:lvlText w:val="%1."/>
      <w:lvlJc w:val="left"/>
      <w:pPr>
        <w:ind w:left="864" w:hanging="648"/>
      </w:pPr>
      <w:rPr>
        <w:rFonts w:ascii="Times New Roman" w:eastAsia="Times New Roman" w:hAnsi="Times New Roman" w:cs="Times New Roman" w:hint="default"/>
        <w:b/>
        <w:bCs/>
        <w:color w:val="020100"/>
        <w:w w:val="99"/>
        <w:sz w:val="20"/>
        <w:szCs w:val="20"/>
      </w:rPr>
    </w:lvl>
    <w:lvl w:ilvl="1">
      <w:start w:val="1"/>
      <w:numFmt w:val="decimal"/>
      <w:lvlText w:val="%2."/>
      <w:lvlJc w:val="left"/>
      <w:pPr>
        <w:ind w:left="216" w:hanging="648"/>
      </w:pPr>
      <w:rPr>
        <w:rFonts w:ascii="Times New Roman" w:eastAsia="Times New Roman" w:hAnsi="Times New Roman" w:cs="Times New Roman" w:hint="default"/>
        <w:color w:val="020100"/>
        <w:w w:val="99"/>
        <w:sz w:val="20"/>
        <w:szCs w:val="20"/>
      </w:rPr>
    </w:lvl>
    <w:lvl w:ilvl="2">
      <w:start w:val="0"/>
      <w:numFmt w:val="bullet"/>
      <w:lvlText w:val="•"/>
      <w:lvlJc w:val="left"/>
      <w:pPr>
        <w:ind w:left="1742" w:hanging="648"/>
      </w:pPr>
      <w:rPr>
        <w:rFonts w:hint="default"/>
      </w:rPr>
    </w:lvl>
    <w:lvl w:ilvl="3">
      <w:start w:val="0"/>
      <w:numFmt w:val="bullet"/>
      <w:lvlText w:val="•"/>
      <w:lvlJc w:val="left"/>
      <w:pPr>
        <w:ind w:left="2624" w:hanging="648"/>
      </w:pPr>
      <w:rPr>
        <w:rFonts w:hint="default"/>
      </w:rPr>
    </w:lvl>
    <w:lvl w:ilvl="4">
      <w:start w:val="0"/>
      <w:numFmt w:val="bullet"/>
      <w:lvlText w:val="•"/>
      <w:lvlJc w:val="left"/>
      <w:pPr>
        <w:ind w:left="3506" w:hanging="648"/>
      </w:pPr>
      <w:rPr>
        <w:rFonts w:hint="default"/>
      </w:rPr>
    </w:lvl>
    <w:lvl w:ilvl="5">
      <w:start w:val="0"/>
      <w:numFmt w:val="bullet"/>
      <w:lvlText w:val="•"/>
      <w:lvlJc w:val="left"/>
      <w:pPr>
        <w:ind w:left="4388" w:hanging="648"/>
      </w:pPr>
      <w:rPr>
        <w:rFonts w:hint="default"/>
      </w:rPr>
    </w:lvl>
    <w:lvl w:ilvl="6">
      <w:start w:val="0"/>
      <w:numFmt w:val="bullet"/>
      <w:lvlText w:val="•"/>
      <w:lvlJc w:val="left"/>
      <w:pPr>
        <w:ind w:left="5271" w:hanging="648"/>
      </w:pPr>
      <w:rPr>
        <w:rFonts w:hint="default"/>
      </w:rPr>
    </w:lvl>
    <w:lvl w:ilvl="7">
      <w:start w:val="0"/>
      <w:numFmt w:val="bullet"/>
      <w:lvlText w:val="•"/>
      <w:lvlJc w:val="left"/>
      <w:pPr>
        <w:ind w:left="6153" w:hanging="648"/>
      </w:pPr>
      <w:rPr>
        <w:rFonts w:hint="default"/>
      </w:rPr>
    </w:lvl>
    <w:lvl w:ilvl="8">
      <w:start w:val="0"/>
      <w:numFmt w:val="bullet"/>
      <w:lvlText w:val="•"/>
      <w:lvlJc w:val="left"/>
      <w:pPr>
        <w:ind w:left="7035" w:hanging="648"/>
      </w:pPr>
      <w:rPr>
        <w:rFonts w:hint="default"/>
      </w:rPr>
    </w:lvl>
  </w:abstractNum>
  <w:abstractNum w:abstractNumId="9">
    <w:nsid w:val="70F24C1F"/>
    <w:multiLevelType w:val="hybridMultilevel"/>
    <w:tmpl w:val="0B922E46"/>
    <w:lvl w:ilvl="0">
      <w:start w:val="1"/>
      <w:numFmt w:val="upperRoman"/>
      <w:lvlText w:val="%1."/>
      <w:lvlJc w:val="right"/>
      <w:pPr>
        <w:ind w:left="936" w:hanging="360"/>
      </w:pPr>
    </w:lvl>
    <w:lvl w:ilvl="1" w:tentative="1">
      <w:start w:val="1"/>
      <w:numFmt w:val="lowerLetter"/>
      <w:lvlText w:val="%2."/>
      <w:lvlJc w:val="left"/>
      <w:pPr>
        <w:ind w:left="1656" w:hanging="360"/>
      </w:pPr>
    </w:lvl>
    <w:lvl w:ilvl="2" w:tentative="1">
      <w:start w:val="1"/>
      <w:numFmt w:val="lowerRoman"/>
      <w:lvlText w:val="%3."/>
      <w:lvlJc w:val="right"/>
      <w:pPr>
        <w:ind w:left="2376" w:hanging="180"/>
      </w:p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num w:numId="1">
    <w:abstractNumId w:val="2"/>
  </w:num>
  <w:num w:numId="2">
    <w:abstractNumId w:val="6"/>
  </w:num>
  <w:num w:numId="3">
    <w:abstractNumId w:val="4"/>
  </w:num>
  <w:num w:numId="4">
    <w:abstractNumId w:val="6"/>
  </w:num>
  <w:num w:numId="5">
    <w:abstractNumId w:val="3"/>
  </w:num>
  <w:num w:numId="6">
    <w:abstractNumId w:val="8"/>
  </w:num>
  <w:num w:numId="7">
    <w:abstractNumId w:val="2"/>
  </w:num>
  <w:num w:numId="8">
    <w:abstractNumId w:val="6"/>
  </w:num>
  <w:num w:numId="9">
    <w:abstractNumId w:val="6"/>
  </w:num>
  <w:num w:numId="10">
    <w:abstractNumId w:val="5"/>
  </w:num>
  <w:num w:numId="11">
    <w:abstractNumId w:val="6"/>
  </w:num>
  <w:num w:numId="12">
    <w:abstractNumId w:val="6"/>
  </w:num>
  <w:num w:numId="13">
    <w:abstractNumId w:val="6"/>
  </w:num>
  <w:num w:numId="14">
    <w:abstractNumId w:val="9"/>
  </w:num>
  <w:num w:numId="15">
    <w:abstractNumId w:val="6"/>
  </w:num>
  <w:num w:numId="16">
    <w:abstractNumId w:val="6"/>
  </w:num>
  <w:num w:numId="17">
    <w:abstractNumId w:val="6"/>
  </w:num>
  <w:num w:numId="18">
    <w:abstractNumId w:val="6"/>
  </w:num>
  <w:num w:numId="19">
    <w:abstractNumId w:val="7"/>
  </w:num>
  <w:num w:numId="20">
    <w:abstractNumId w:val="1"/>
  </w:num>
  <w:num w:numId="21">
    <w:abstractNumId w:val="6"/>
    <w:lvlOverride w:ilvl="0">
      <w:startOverride w:val="1"/>
    </w:lvlOverride>
  </w:num>
  <w:num w:numId="22">
    <w:abstractNumId w:val="6"/>
  </w:num>
  <w:num w:numId="23">
    <w:abstractNumId w:val="6"/>
  </w:num>
  <w:num w:numId="24">
    <w:abstractNumId w:val="0"/>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B0"/>
    <w:rsid w:val="0000026A"/>
    <w:rsid w:val="000004C0"/>
    <w:rsid w:val="00000513"/>
    <w:rsid w:val="000007AB"/>
    <w:rsid w:val="000011E1"/>
    <w:rsid w:val="00001D42"/>
    <w:rsid w:val="000033F9"/>
    <w:rsid w:val="00003BD3"/>
    <w:rsid w:val="00004A7E"/>
    <w:rsid w:val="00004C94"/>
    <w:rsid w:val="00005361"/>
    <w:rsid w:val="00005E7D"/>
    <w:rsid w:val="00006099"/>
    <w:rsid w:val="00006C63"/>
    <w:rsid w:val="00006CA6"/>
    <w:rsid w:val="00006E34"/>
    <w:rsid w:val="00006FD6"/>
    <w:rsid w:val="00007440"/>
    <w:rsid w:val="000075BA"/>
    <w:rsid w:val="000077B5"/>
    <w:rsid w:val="00007EB5"/>
    <w:rsid w:val="00010488"/>
    <w:rsid w:val="00010D40"/>
    <w:rsid w:val="0001190C"/>
    <w:rsid w:val="00011BBC"/>
    <w:rsid w:val="000123D0"/>
    <w:rsid w:val="00012679"/>
    <w:rsid w:val="00012E13"/>
    <w:rsid w:val="00013D3B"/>
    <w:rsid w:val="00013D9B"/>
    <w:rsid w:val="00015BA0"/>
    <w:rsid w:val="00015FD3"/>
    <w:rsid w:val="000171CE"/>
    <w:rsid w:val="00017227"/>
    <w:rsid w:val="000179D6"/>
    <w:rsid w:val="00017C9E"/>
    <w:rsid w:val="00017D66"/>
    <w:rsid w:val="00017DDD"/>
    <w:rsid w:val="00020531"/>
    <w:rsid w:val="00020E83"/>
    <w:rsid w:val="0002102C"/>
    <w:rsid w:val="00021F67"/>
    <w:rsid w:val="00022152"/>
    <w:rsid w:val="0002251C"/>
    <w:rsid w:val="000225F4"/>
    <w:rsid w:val="00022B96"/>
    <w:rsid w:val="00023139"/>
    <w:rsid w:val="000231A9"/>
    <w:rsid w:val="00024107"/>
    <w:rsid w:val="000243AD"/>
    <w:rsid w:val="00024778"/>
    <w:rsid w:val="0002499A"/>
    <w:rsid w:val="000249ED"/>
    <w:rsid w:val="0002519A"/>
    <w:rsid w:val="000251E1"/>
    <w:rsid w:val="000253A1"/>
    <w:rsid w:val="00025C7A"/>
    <w:rsid w:val="000275C1"/>
    <w:rsid w:val="00027650"/>
    <w:rsid w:val="00027BD1"/>
    <w:rsid w:val="00030F37"/>
    <w:rsid w:val="0003124D"/>
    <w:rsid w:val="00031475"/>
    <w:rsid w:val="0003149D"/>
    <w:rsid w:val="00031621"/>
    <w:rsid w:val="00031B53"/>
    <w:rsid w:val="00031CBC"/>
    <w:rsid w:val="000322CF"/>
    <w:rsid w:val="000338E9"/>
    <w:rsid w:val="00033978"/>
    <w:rsid w:val="00034879"/>
    <w:rsid w:val="00036039"/>
    <w:rsid w:val="00037037"/>
    <w:rsid w:val="0003755F"/>
    <w:rsid w:val="00037E8A"/>
    <w:rsid w:val="00037F4E"/>
    <w:rsid w:val="00037F90"/>
    <w:rsid w:val="0004057A"/>
    <w:rsid w:val="00040822"/>
    <w:rsid w:val="000409B4"/>
    <w:rsid w:val="000409D5"/>
    <w:rsid w:val="00040A1F"/>
    <w:rsid w:val="00040D49"/>
    <w:rsid w:val="000415C6"/>
    <w:rsid w:val="00041CC6"/>
    <w:rsid w:val="00042865"/>
    <w:rsid w:val="00042A59"/>
    <w:rsid w:val="00043685"/>
    <w:rsid w:val="0004373C"/>
    <w:rsid w:val="000438FC"/>
    <w:rsid w:val="00043F00"/>
    <w:rsid w:val="00044011"/>
    <w:rsid w:val="00044A22"/>
    <w:rsid w:val="00046635"/>
    <w:rsid w:val="00047862"/>
    <w:rsid w:val="00051221"/>
    <w:rsid w:val="000518EA"/>
    <w:rsid w:val="00051B4E"/>
    <w:rsid w:val="00051C1D"/>
    <w:rsid w:val="00052AB6"/>
    <w:rsid w:val="00053890"/>
    <w:rsid w:val="00054915"/>
    <w:rsid w:val="00055518"/>
    <w:rsid w:val="00055724"/>
    <w:rsid w:val="00056BC5"/>
    <w:rsid w:val="00056C00"/>
    <w:rsid w:val="00056DB0"/>
    <w:rsid w:val="00056E30"/>
    <w:rsid w:val="00056E8A"/>
    <w:rsid w:val="000578F3"/>
    <w:rsid w:val="00057B51"/>
    <w:rsid w:val="00060860"/>
    <w:rsid w:val="00061149"/>
    <w:rsid w:val="00061B8C"/>
    <w:rsid w:val="00061FB6"/>
    <w:rsid w:val="00061FC0"/>
    <w:rsid w:val="00062A7A"/>
    <w:rsid w:val="00062C04"/>
    <w:rsid w:val="0006302D"/>
    <w:rsid w:val="000632E5"/>
    <w:rsid w:val="00063567"/>
    <w:rsid w:val="000637DE"/>
    <w:rsid w:val="0006495B"/>
    <w:rsid w:val="000649FB"/>
    <w:rsid w:val="000659FF"/>
    <w:rsid w:val="00065D07"/>
    <w:rsid w:val="000664BF"/>
    <w:rsid w:val="000666C6"/>
    <w:rsid w:val="000679F1"/>
    <w:rsid w:val="00067B44"/>
    <w:rsid w:val="00070020"/>
    <w:rsid w:val="00070BE0"/>
    <w:rsid w:val="00070EC1"/>
    <w:rsid w:val="000712B4"/>
    <w:rsid w:val="00071A66"/>
    <w:rsid w:val="00072E8A"/>
    <w:rsid w:val="00072F6A"/>
    <w:rsid w:val="000732A3"/>
    <w:rsid w:val="00073433"/>
    <w:rsid w:val="00073EC6"/>
    <w:rsid w:val="00075478"/>
    <w:rsid w:val="000755F6"/>
    <w:rsid w:val="0007641D"/>
    <w:rsid w:val="00076680"/>
    <w:rsid w:val="000773EA"/>
    <w:rsid w:val="00077E74"/>
    <w:rsid w:val="00080027"/>
    <w:rsid w:val="000804D4"/>
    <w:rsid w:val="00080B7E"/>
    <w:rsid w:val="00080BDC"/>
    <w:rsid w:val="000812E0"/>
    <w:rsid w:val="0008373E"/>
    <w:rsid w:val="0008388B"/>
    <w:rsid w:val="000847FC"/>
    <w:rsid w:val="00084A24"/>
    <w:rsid w:val="00084CC6"/>
    <w:rsid w:val="000865A6"/>
    <w:rsid w:val="00086833"/>
    <w:rsid w:val="00086C19"/>
    <w:rsid w:val="000875BF"/>
    <w:rsid w:val="000877DD"/>
    <w:rsid w:val="00087A3E"/>
    <w:rsid w:val="00087EC1"/>
    <w:rsid w:val="00090063"/>
    <w:rsid w:val="0009038B"/>
    <w:rsid w:val="00090447"/>
    <w:rsid w:val="00090DE5"/>
    <w:rsid w:val="000912C2"/>
    <w:rsid w:val="000912F5"/>
    <w:rsid w:val="00091CF4"/>
    <w:rsid w:val="00091DD9"/>
    <w:rsid w:val="00091E7B"/>
    <w:rsid w:val="00091E83"/>
    <w:rsid w:val="00091E94"/>
    <w:rsid w:val="000921A2"/>
    <w:rsid w:val="00092526"/>
    <w:rsid w:val="00092E5D"/>
    <w:rsid w:val="00093A6D"/>
    <w:rsid w:val="00095436"/>
    <w:rsid w:val="00095616"/>
    <w:rsid w:val="00095D63"/>
    <w:rsid w:val="0009660A"/>
    <w:rsid w:val="00096C12"/>
    <w:rsid w:val="00096C14"/>
    <w:rsid w:val="00096D8C"/>
    <w:rsid w:val="00097A8F"/>
    <w:rsid w:val="000A00E2"/>
    <w:rsid w:val="000A05B4"/>
    <w:rsid w:val="000A0BE5"/>
    <w:rsid w:val="000A0D1E"/>
    <w:rsid w:val="000A15C9"/>
    <w:rsid w:val="000A226C"/>
    <w:rsid w:val="000A3305"/>
    <w:rsid w:val="000A36A3"/>
    <w:rsid w:val="000A3CF9"/>
    <w:rsid w:val="000A442B"/>
    <w:rsid w:val="000A4F65"/>
    <w:rsid w:val="000A5109"/>
    <w:rsid w:val="000A5400"/>
    <w:rsid w:val="000A54E6"/>
    <w:rsid w:val="000A632A"/>
    <w:rsid w:val="000A693E"/>
    <w:rsid w:val="000A72D7"/>
    <w:rsid w:val="000A782E"/>
    <w:rsid w:val="000A7EAB"/>
    <w:rsid w:val="000B0110"/>
    <w:rsid w:val="000B07AD"/>
    <w:rsid w:val="000B08C4"/>
    <w:rsid w:val="000B10CE"/>
    <w:rsid w:val="000B2223"/>
    <w:rsid w:val="000B274F"/>
    <w:rsid w:val="000B28E6"/>
    <w:rsid w:val="000B3090"/>
    <w:rsid w:val="000B3701"/>
    <w:rsid w:val="000B386A"/>
    <w:rsid w:val="000B3A95"/>
    <w:rsid w:val="000B4102"/>
    <w:rsid w:val="000B42FD"/>
    <w:rsid w:val="000B4BEA"/>
    <w:rsid w:val="000B4CC3"/>
    <w:rsid w:val="000B508B"/>
    <w:rsid w:val="000B57E6"/>
    <w:rsid w:val="000B6F8E"/>
    <w:rsid w:val="000B7404"/>
    <w:rsid w:val="000B7963"/>
    <w:rsid w:val="000C0B65"/>
    <w:rsid w:val="000C159F"/>
    <w:rsid w:val="000C23B7"/>
    <w:rsid w:val="000C25E8"/>
    <w:rsid w:val="000C2B71"/>
    <w:rsid w:val="000C2C9D"/>
    <w:rsid w:val="000C3439"/>
    <w:rsid w:val="000C37D4"/>
    <w:rsid w:val="000C3E5B"/>
    <w:rsid w:val="000C4385"/>
    <w:rsid w:val="000C457D"/>
    <w:rsid w:val="000C46C9"/>
    <w:rsid w:val="000C490C"/>
    <w:rsid w:val="000C4ECC"/>
    <w:rsid w:val="000C555D"/>
    <w:rsid w:val="000C6168"/>
    <w:rsid w:val="000C6393"/>
    <w:rsid w:val="000C6511"/>
    <w:rsid w:val="000C6AEA"/>
    <w:rsid w:val="000C6D43"/>
    <w:rsid w:val="000C6F92"/>
    <w:rsid w:val="000C79D5"/>
    <w:rsid w:val="000C7D4B"/>
    <w:rsid w:val="000D03E6"/>
    <w:rsid w:val="000D0674"/>
    <w:rsid w:val="000D074D"/>
    <w:rsid w:val="000D1654"/>
    <w:rsid w:val="000D1D4F"/>
    <w:rsid w:val="000D2DEE"/>
    <w:rsid w:val="000D2F5F"/>
    <w:rsid w:val="000D3267"/>
    <w:rsid w:val="000D4381"/>
    <w:rsid w:val="000D4D92"/>
    <w:rsid w:val="000D52EF"/>
    <w:rsid w:val="000D552C"/>
    <w:rsid w:val="000D6EC0"/>
    <w:rsid w:val="000D6F12"/>
    <w:rsid w:val="000D71C5"/>
    <w:rsid w:val="000E0009"/>
    <w:rsid w:val="000E05FE"/>
    <w:rsid w:val="000E097D"/>
    <w:rsid w:val="000E112D"/>
    <w:rsid w:val="000E1BBB"/>
    <w:rsid w:val="000E1DC6"/>
    <w:rsid w:val="000E2028"/>
    <w:rsid w:val="000E2703"/>
    <w:rsid w:val="000E276E"/>
    <w:rsid w:val="000E27BF"/>
    <w:rsid w:val="000E28A2"/>
    <w:rsid w:val="000E2D42"/>
    <w:rsid w:val="000E3417"/>
    <w:rsid w:val="000E3D42"/>
    <w:rsid w:val="000E424E"/>
    <w:rsid w:val="000E468A"/>
    <w:rsid w:val="000E4906"/>
    <w:rsid w:val="000E4B0B"/>
    <w:rsid w:val="000E4FBF"/>
    <w:rsid w:val="000E5098"/>
    <w:rsid w:val="000E59B4"/>
    <w:rsid w:val="000E5A04"/>
    <w:rsid w:val="000E6A50"/>
    <w:rsid w:val="000E6C5B"/>
    <w:rsid w:val="000E6CB4"/>
    <w:rsid w:val="000E6EDD"/>
    <w:rsid w:val="000E77EC"/>
    <w:rsid w:val="000E7861"/>
    <w:rsid w:val="000E78E9"/>
    <w:rsid w:val="000E7D92"/>
    <w:rsid w:val="000F0865"/>
    <w:rsid w:val="000F08C5"/>
    <w:rsid w:val="000F095C"/>
    <w:rsid w:val="000F0A4C"/>
    <w:rsid w:val="000F131E"/>
    <w:rsid w:val="000F14C2"/>
    <w:rsid w:val="000F18DB"/>
    <w:rsid w:val="000F19CA"/>
    <w:rsid w:val="000F1AE8"/>
    <w:rsid w:val="000F1B46"/>
    <w:rsid w:val="000F1CB6"/>
    <w:rsid w:val="000F29EE"/>
    <w:rsid w:val="000F304E"/>
    <w:rsid w:val="000F339E"/>
    <w:rsid w:val="000F346D"/>
    <w:rsid w:val="000F362E"/>
    <w:rsid w:val="000F3654"/>
    <w:rsid w:val="000F3A90"/>
    <w:rsid w:val="000F49E8"/>
    <w:rsid w:val="000F4F54"/>
    <w:rsid w:val="000F51C1"/>
    <w:rsid w:val="000F5C5E"/>
    <w:rsid w:val="000F631C"/>
    <w:rsid w:val="000F6347"/>
    <w:rsid w:val="000F6FDF"/>
    <w:rsid w:val="001010EF"/>
    <w:rsid w:val="001018B8"/>
    <w:rsid w:val="00101F01"/>
    <w:rsid w:val="00102088"/>
    <w:rsid w:val="00102377"/>
    <w:rsid w:val="0010250D"/>
    <w:rsid w:val="00102618"/>
    <w:rsid w:val="0010265F"/>
    <w:rsid w:val="00102DC0"/>
    <w:rsid w:val="00102EB0"/>
    <w:rsid w:val="00103073"/>
    <w:rsid w:val="00103232"/>
    <w:rsid w:val="00103983"/>
    <w:rsid w:val="00103D83"/>
    <w:rsid w:val="00103F21"/>
    <w:rsid w:val="001045FC"/>
    <w:rsid w:val="00104D5B"/>
    <w:rsid w:val="001051A4"/>
    <w:rsid w:val="00105402"/>
    <w:rsid w:val="0010549F"/>
    <w:rsid w:val="00106516"/>
    <w:rsid w:val="00106E12"/>
    <w:rsid w:val="00106F43"/>
    <w:rsid w:val="00110798"/>
    <w:rsid w:val="00110DC6"/>
    <w:rsid w:val="0011122A"/>
    <w:rsid w:val="001112EA"/>
    <w:rsid w:val="00111467"/>
    <w:rsid w:val="0011146F"/>
    <w:rsid w:val="001114CE"/>
    <w:rsid w:val="00112596"/>
    <w:rsid w:val="001129F0"/>
    <w:rsid w:val="00112A8C"/>
    <w:rsid w:val="001140AF"/>
    <w:rsid w:val="0011421C"/>
    <w:rsid w:val="001154AF"/>
    <w:rsid w:val="00115C86"/>
    <w:rsid w:val="001161EA"/>
    <w:rsid w:val="0011644C"/>
    <w:rsid w:val="001165A9"/>
    <w:rsid w:val="0011689C"/>
    <w:rsid w:val="00116BE7"/>
    <w:rsid w:val="0011724E"/>
    <w:rsid w:val="001215D3"/>
    <w:rsid w:val="00121BEB"/>
    <w:rsid w:val="00121DC2"/>
    <w:rsid w:val="00122026"/>
    <w:rsid w:val="00122156"/>
    <w:rsid w:val="00122913"/>
    <w:rsid w:val="00122BD5"/>
    <w:rsid w:val="00122DD1"/>
    <w:rsid w:val="0012310F"/>
    <w:rsid w:val="001231B1"/>
    <w:rsid w:val="00123AAB"/>
    <w:rsid w:val="001241E2"/>
    <w:rsid w:val="00124707"/>
    <w:rsid w:val="00124752"/>
    <w:rsid w:val="001248D6"/>
    <w:rsid w:val="00124DC5"/>
    <w:rsid w:val="00125011"/>
    <w:rsid w:val="001250B0"/>
    <w:rsid w:val="00125CDB"/>
    <w:rsid w:val="001267AF"/>
    <w:rsid w:val="001267D4"/>
    <w:rsid w:val="00126D71"/>
    <w:rsid w:val="0012790F"/>
    <w:rsid w:val="001279EA"/>
    <w:rsid w:val="00127E20"/>
    <w:rsid w:val="0013012C"/>
    <w:rsid w:val="00130806"/>
    <w:rsid w:val="001319C8"/>
    <w:rsid w:val="00131AF2"/>
    <w:rsid w:val="00131CB9"/>
    <w:rsid w:val="00131F33"/>
    <w:rsid w:val="00133C53"/>
    <w:rsid w:val="00133F79"/>
    <w:rsid w:val="0013426E"/>
    <w:rsid w:val="001342F5"/>
    <w:rsid w:val="00135167"/>
    <w:rsid w:val="0013554E"/>
    <w:rsid w:val="00136B27"/>
    <w:rsid w:val="00137230"/>
    <w:rsid w:val="0014060D"/>
    <w:rsid w:val="00141CCF"/>
    <w:rsid w:val="001426D7"/>
    <w:rsid w:val="001435E3"/>
    <w:rsid w:val="00143997"/>
    <w:rsid w:val="00143B7B"/>
    <w:rsid w:val="00144189"/>
    <w:rsid w:val="001442FC"/>
    <w:rsid w:val="0014458C"/>
    <w:rsid w:val="00144CDF"/>
    <w:rsid w:val="00144D99"/>
    <w:rsid w:val="0014517B"/>
    <w:rsid w:val="001452B3"/>
    <w:rsid w:val="001453D0"/>
    <w:rsid w:val="0014644A"/>
    <w:rsid w:val="0014692F"/>
    <w:rsid w:val="00146C56"/>
    <w:rsid w:val="00147355"/>
    <w:rsid w:val="0014767D"/>
    <w:rsid w:val="00147FD6"/>
    <w:rsid w:val="001504F3"/>
    <w:rsid w:val="001507A0"/>
    <w:rsid w:val="00150933"/>
    <w:rsid w:val="00151173"/>
    <w:rsid w:val="0015125C"/>
    <w:rsid w:val="0015158B"/>
    <w:rsid w:val="0015190F"/>
    <w:rsid w:val="00152ABF"/>
    <w:rsid w:val="00152FDC"/>
    <w:rsid w:val="00153C27"/>
    <w:rsid w:val="00153E70"/>
    <w:rsid w:val="00154256"/>
    <w:rsid w:val="001546D5"/>
    <w:rsid w:val="00155252"/>
    <w:rsid w:val="0015533E"/>
    <w:rsid w:val="001553D0"/>
    <w:rsid w:val="00155B23"/>
    <w:rsid w:val="00155BE5"/>
    <w:rsid w:val="00155C13"/>
    <w:rsid w:val="00156936"/>
    <w:rsid w:val="00157537"/>
    <w:rsid w:val="00160211"/>
    <w:rsid w:val="0016086F"/>
    <w:rsid w:val="00160EA4"/>
    <w:rsid w:val="001611AC"/>
    <w:rsid w:val="0016122E"/>
    <w:rsid w:val="00161F4E"/>
    <w:rsid w:val="001637B5"/>
    <w:rsid w:val="00163D00"/>
    <w:rsid w:val="00163E05"/>
    <w:rsid w:val="00163F2C"/>
    <w:rsid w:val="00163F41"/>
    <w:rsid w:val="00164DAA"/>
    <w:rsid w:val="00165218"/>
    <w:rsid w:val="00165428"/>
    <w:rsid w:val="00165A10"/>
    <w:rsid w:val="00165E76"/>
    <w:rsid w:val="0016607A"/>
    <w:rsid w:val="001665E7"/>
    <w:rsid w:val="001668D2"/>
    <w:rsid w:val="001669DE"/>
    <w:rsid w:val="00167982"/>
    <w:rsid w:val="00170080"/>
    <w:rsid w:val="0017045E"/>
    <w:rsid w:val="0017087B"/>
    <w:rsid w:val="00170E13"/>
    <w:rsid w:val="0017181E"/>
    <w:rsid w:val="001738D8"/>
    <w:rsid w:val="00173B20"/>
    <w:rsid w:val="00173D86"/>
    <w:rsid w:val="001740F8"/>
    <w:rsid w:val="0017429B"/>
    <w:rsid w:val="00174AA6"/>
    <w:rsid w:val="00175D77"/>
    <w:rsid w:val="0017615F"/>
    <w:rsid w:val="001764AC"/>
    <w:rsid w:val="00176E0B"/>
    <w:rsid w:val="001779C5"/>
    <w:rsid w:val="001803D9"/>
    <w:rsid w:val="00180447"/>
    <w:rsid w:val="0018131C"/>
    <w:rsid w:val="001816FD"/>
    <w:rsid w:val="00182439"/>
    <w:rsid w:val="00182E3C"/>
    <w:rsid w:val="00182F01"/>
    <w:rsid w:val="001838C3"/>
    <w:rsid w:val="001838F0"/>
    <w:rsid w:val="00183C92"/>
    <w:rsid w:val="00183FFC"/>
    <w:rsid w:val="00184981"/>
    <w:rsid w:val="00185242"/>
    <w:rsid w:val="001853C9"/>
    <w:rsid w:val="00185487"/>
    <w:rsid w:val="00185B8E"/>
    <w:rsid w:val="00185E82"/>
    <w:rsid w:val="00186214"/>
    <w:rsid w:val="00186436"/>
    <w:rsid w:val="00186FA4"/>
    <w:rsid w:val="00187A7F"/>
    <w:rsid w:val="00187B61"/>
    <w:rsid w:val="00190896"/>
    <w:rsid w:val="0019130C"/>
    <w:rsid w:val="001916DD"/>
    <w:rsid w:val="001922E7"/>
    <w:rsid w:val="0019230B"/>
    <w:rsid w:val="0019259C"/>
    <w:rsid w:val="00192C39"/>
    <w:rsid w:val="001939DF"/>
    <w:rsid w:val="00193BED"/>
    <w:rsid w:val="0019437F"/>
    <w:rsid w:val="00194567"/>
    <w:rsid w:val="001947BA"/>
    <w:rsid w:val="00194833"/>
    <w:rsid w:val="00194A66"/>
    <w:rsid w:val="00195B19"/>
    <w:rsid w:val="00195BE9"/>
    <w:rsid w:val="00195C3A"/>
    <w:rsid w:val="0019643C"/>
    <w:rsid w:val="00196C27"/>
    <w:rsid w:val="00196DBA"/>
    <w:rsid w:val="00197A3D"/>
    <w:rsid w:val="00197D78"/>
    <w:rsid w:val="00197E0A"/>
    <w:rsid w:val="001A1529"/>
    <w:rsid w:val="001A19B5"/>
    <w:rsid w:val="001A1EF3"/>
    <w:rsid w:val="001A22BB"/>
    <w:rsid w:val="001A2B15"/>
    <w:rsid w:val="001A2B91"/>
    <w:rsid w:val="001A2D2E"/>
    <w:rsid w:val="001A4059"/>
    <w:rsid w:val="001A491D"/>
    <w:rsid w:val="001A49EA"/>
    <w:rsid w:val="001A4A73"/>
    <w:rsid w:val="001A4DA5"/>
    <w:rsid w:val="001A570E"/>
    <w:rsid w:val="001A5B17"/>
    <w:rsid w:val="001A5D9C"/>
    <w:rsid w:val="001A5DF3"/>
    <w:rsid w:val="001A69E0"/>
    <w:rsid w:val="001A6C04"/>
    <w:rsid w:val="001A7842"/>
    <w:rsid w:val="001B01FC"/>
    <w:rsid w:val="001B030B"/>
    <w:rsid w:val="001B04FB"/>
    <w:rsid w:val="001B070F"/>
    <w:rsid w:val="001B0AEB"/>
    <w:rsid w:val="001B141D"/>
    <w:rsid w:val="001B28EE"/>
    <w:rsid w:val="001B375A"/>
    <w:rsid w:val="001B3CBE"/>
    <w:rsid w:val="001B3EF4"/>
    <w:rsid w:val="001B402A"/>
    <w:rsid w:val="001B445E"/>
    <w:rsid w:val="001B454B"/>
    <w:rsid w:val="001B4579"/>
    <w:rsid w:val="001B46E2"/>
    <w:rsid w:val="001B5588"/>
    <w:rsid w:val="001B5B78"/>
    <w:rsid w:val="001B5C5E"/>
    <w:rsid w:val="001B61A7"/>
    <w:rsid w:val="001B63C2"/>
    <w:rsid w:val="001B661D"/>
    <w:rsid w:val="001B6677"/>
    <w:rsid w:val="001B684D"/>
    <w:rsid w:val="001B6E98"/>
    <w:rsid w:val="001B7192"/>
    <w:rsid w:val="001B7480"/>
    <w:rsid w:val="001B7584"/>
    <w:rsid w:val="001B7901"/>
    <w:rsid w:val="001B7C4A"/>
    <w:rsid w:val="001C03AD"/>
    <w:rsid w:val="001C058C"/>
    <w:rsid w:val="001C07FC"/>
    <w:rsid w:val="001C1739"/>
    <w:rsid w:val="001C1A6B"/>
    <w:rsid w:val="001C2360"/>
    <w:rsid w:val="001C2594"/>
    <w:rsid w:val="001C2D50"/>
    <w:rsid w:val="001C3D14"/>
    <w:rsid w:val="001C3E4D"/>
    <w:rsid w:val="001C430C"/>
    <w:rsid w:val="001C4968"/>
    <w:rsid w:val="001C5456"/>
    <w:rsid w:val="001C57EE"/>
    <w:rsid w:val="001C59E8"/>
    <w:rsid w:val="001C6C34"/>
    <w:rsid w:val="001C79CF"/>
    <w:rsid w:val="001C7D7A"/>
    <w:rsid w:val="001D003C"/>
    <w:rsid w:val="001D00FB"/>
    <w:rsid w:val="001D07E3"/>
    <w:rsid w:val="001D0C21"/>
    <w:rsid w:val="001D1C4C"/>
    <w:rsid w:val="001D2694"/>
    <w:rsid w:val="001D3478"/>
    <w:rsid w:val="001D35AA"/>
    <w:rsid w:val="001D380E"/>
    <w:rsid w:val="001D3B8D"/>
    <w:rsid w:val="001D4E7A"/>
    <w:rsid w:val="001D504B"/>
    <w:rsid w:val="001D5633"/>
    <w:rsid w:val="001D6243"/>
    <w:rsid w:val="001D63C1"/>
    <w:rsid w:val="001D6747"/>
    <w:rsid w:val="001D6BBA"/>
    <w:rsid w:val="001D6BCA"/>
    <w:rsid w:val="001D6BCF"/>
    <w:rsid w:val="001D6EF4"/>
    <w:rsid w:val="001D7053"/>
    <w:rsid w:val="001D77A8"/>
    <w:rsid w:val="001D7B91"/>
    <w:rsid w:val="001D7BC2"/>
    <w:rsid w:val="001D7CE8"/>
    <w:rsid w:val="001E01CA"/>
    <w:rsid w:val="001E0867"/>
    <w:rsid w:val="001E0CEA"/>
    <w:rsid w:val="001E1071"/>
    <w:rsid w:val="001E144E"/>
    <w:rsid w:val="001E1558"/>
    <w:rsid w:val="001E1E5E"/>
    <w:rsid w:val="001E26BB"/>
    <w:rsid w:val="001E2796"/>
    <w:rsid w:val="001E2CFA"/>
    <w:rsid w:val="001E3D35"/>
    <w:rsid w:val="001E405E"/>
    <w:rsid w:val="001E50DA"/>
    <w:rsid w:val="001E5B20"/>
    <w:rsid w:val="001E71BA"/>
    <w:rsid w:val="001E7AC2"/>
    <w:rsid w:val="001E7C59"/>
    <w:rsid w:val="001F055A"/>
    <w:rsid w:val="001F09B6"/>
    <w:rsid w:val="001F0FA9"/>
    <w:rsid w:val="001F1047"/>
    <w:rsid w:val="001F10F3"/>
    <w:rsid w:val="001F112E"/>
    <w:rsid w:val="001F17C0"/>
    <w:rsid w:val="001F1B26"/>
    <w:rsid w:val="001F1B39"/>
    <w:rsid w:val="001F1EBD"/>
    <w:rsid w:val="001F2362"/>
    <w:rsid w:val="001F26EB"/>
    <w:rsid w:val="001F2882"/>
    <w:rsid w:val="001F30A9"/>
    <w:rsid w:val="001F388A"/>
    <w:rsid w:val="001F5896"/>
    <w:rsid w:val="001F6469"/>
    <w:rsid w:val="001F6537"/>
    <w:rsid w:val="001F6867"/>
    <w:rsid w:val="001F6CEB"/>
    <w:rsid w:val="001F6FE1"/>
    <w:rsid w:val="001F7012"/>
    <w:rsid w:val="001F7521"/>
    <w:rsid w:val="001F77BC"/>
    <w:rsid w:val="001F7EBC"/>
    <w:rsid w:val="00200368"/>
    <w:rsid w:val="002003DA"/>
    <w:rsid w:val="002006B0"/>
    <w:rsid w:val="00201927"/>
    <w:rsid w:val="00201EBF"/>
    <w:rsid w:val="00202021"/>
    <w:rsid w:val="00202CA2"/>
    <w:rsid w:val="00203161"/>
    <w:rsid w:val="0020455B"/>
    <w:rsid w:val="00204C40"/>
    <w:rsid w:val="00205716"/>
    <w:rsid w:val="002059FB"/>
    <w:rsid w:val="002060D4"/>
    <w:rsid w:val="002076B5"/>
    <w:rsid w:val="00207EDB"/>
    <w:rsid w:val="00210605"/>
    <w:rsid w:val="00210889"/>
    <w:rsid w:val="00210D24"/>
    <w:rsid w:val="00210F03"/>
    <w:rsid w:val="00211074"/>
    <w:rsid w:val="00211951"/>
    <w:rsid w:val="00211E51"/>
    <w:rsid w:val="00212F14"/>
    <w:rsid w:val="002138D3"/>
    <w:rsid w:val="00213AFF"/>
    <w:rsid w:val="00213F62"/>
    <w:rsid w:val="00214691"/>
    <w:rsid w:val="0021494C"/>
    <w:rsid w:val="002149DB"/>
    <w:rsid w:val="002157EA"/>
    <w:rsid w:val="00215E29"/>
    <w:rsid w:val="00215E35"/>
    <w:rsid w:val="00215E96"/>
    <w:rsid w:val="00216097"/>
    <w:rsid w:val="002161B2"/>
    <w:rsid w:val="00216495"/>
    <w:rsid w:val="00216754"/>
    <w:rsid w:val="002167EB"/>
    <w:rsid w:val="002167FF"/>
    <w:rsid w:val="0021724B"/>
    <w:rsid w:val="002172F9"/>
    <w:rsid w:val="00217C07"/>
    <w:rsid w:val="00220686"/>
    <w:rsid w:val="002207E5"/>
    <w:rsid w:val="002211D9"/>
    <w:rsid w:val="002218BB"/>
    <w:rsid w:val="00221A60"/>
    <w:rsid w:val="00222383"/>
    <w:rsid w:val="00222E49"/>
    <w:rsid w:val="0022364D"/>
    <w:rsid w:val="00223A13"/>
    <w:rsid w:val="00223AE5"/>
    <w:rsid w:val="00223C64"/>
    <w:rsid w:val="0022423E"/>
    <w:rsid w:val="00224457"/>
    <w:rsid w:val="0022523C"/>
    <w:rsid w:val="0022592F"/>
    <w:rsid w:val="00225D2B"/>
    <w:rsid w:val="00225DF7"/>
    <w:rsid w:val="0022608E"/>
    <w:rsid w:val="00226F96"/>
    <w:rsid w:val="002275D6"/>
    <w:rsid w:val="00227D22"/>
    <w:rsid w:val="002302E7"/>
    <w:rsid w:val="002306E3"/>
    <w:rsid w:val="002308BB"/>
    <w:rsid w:val="00230AEA"/>
    <w:rsid w:val="00230C00"/>
    <w:rsid w:val="00230C50"/>
    <w:rsid w:val="00230EF3"/>
    <w:rsid w:val="0023145C"/>
    <w:rsid w:val="00231627"/>
    <w:rsid w:val="002323E4"/>
    <w:rsid w:val="002326C0"/>
    <w:rsid w:val="00232AC5"/>
    <w:rsid w:val="002343D8"/>
    <w:rsid w:val="00234567"/>
    <w:rsid w:val="00234873"/>
    <w:rsid w:val="00234F89"/>
    <w:rsid w:val="00235348"/>
    <w:rsid w:val="00235AFC"/>
    <w:rsid w:val="00235C51"/>
    <w:rsid w:val="00235CF8"/>
    <w:rsid w:val="002378B1"/>
    <w:rsid w:val="0023790F"/>
    <w:rsid w:val="0024003F"/>
    <w:rsid w:val="00240D4B"/>
    <w:rsid w:val="0024197A"/>
    <w:rsid w:val="002426B2"/>
    <w:rsid w:val="00242BC8"/>
    <w:rsid w:val="00242CA9"/>
    <w:rsid w:val="002432E1"/>
    <w:rsid w:val="00243D6C"/>
    <w:rsid w:val="00244323"/>
    <w:rsid w:val="0024466A"/>
    <w:rsid w:val="002446F9"/>
    <w:rsid w:val="00244825"/>
    <w:rsid w:val="00244ADC"/>
    <w:rsid w:val="0024573A"/>
    <w:rsid w:val="00245CE0"/>
    <w:rsid w:val="002460A9"/>
    <w:rsid w:val="00246903"/>
    <w:rsid w:val="00246AD8"/>
    <w:rsid w:val="00246C42"/>
    <w:rsid w:val="00246F13"/>
    <w:rsid w:val="00247253"/>
    <w:rsid w:val="00247527"/>
    <w:rsid w:val="0024762D"/>
    <w:rsid w:val="00247C55"/>
    <w:rsid w:val="00247E4C"/>
    <w:rsid w:val="0025060E"/>
    <w:rsid w:val="0025077E"/>
    <w:rsid w:val="00251FF3"/>
    <w:rsid w:val="00252B7F"/>
    <w:rsid w:val="00252C40"/>
    <w:rsid w:val="00252F3B"/>
    <w:rsid w:val="002531D2"/>
    <w:rsid w:val="0025364A"/>
    <w:rsid w:val="00253668"/>
    <w:rsid w:val="002538EC"/>
    <w:rsid w:val="00254A3D"/>
    <w:rsid w:val="00254BB6"/>
    <w:rsid w:val="00254BD7"/>
    <w:rsid w:val="00254C1C"/>
    <w:rsid w:val="00254C54"/>
    <w:rsid w:val="00254DD6"/>
    <w:rsid w:val="00254F37"/>
    <w:rsid w:val="0025509C"/>
    <w:rsid w:val="00255A73"/>
    <w:rsid w:val="00256B13"/>
    <w:rsid w:val="00257C98"/>
    <w:rsid w:val="00260E0D"/>
    <w:rsid w:val="00260F8C"/>
    <w:rsid w:val="00260FA1"/>
    <w:rsid w:val="002613F7"/>
    <w:rsid w:val="00261611"/>
    <w:rsid w:val="00261A84"/>
    <w:rsid w:val="00262157"/>
    <w:rsid w:val="00262269"/>
    <w:rsid w:val="00262668"/>
    <w:rsid w:val="00262798"/>
    <w:rsid w:val="00262A2A"/>
    <w:rsid w:val="00262E3E"/>
    <w:rsid w:val="002637CB"/>
    <w:rsid w:val="00263DE1"/>
    <w:rsid w:val="0026401B"/>
    <w:rsid w:val="0026420B"/>
    <w:rsid w:val="00264462"/>
    <w:rsid w:val="00266355"/>
    <w:rsid w:val="002666AF"/>
    <w:rsid w:val="00267676"/>
    <w:rsid w:val="00267CF3"/>
    <w:rsid w:val="0027002B"/>
    <w:rsid w:val="0027101D"/>
    <w:rsid w:val="00272392"/>
    <w:rsid w:val="0027248C"/>
    <w:rsid w:val="00272633"/>
    <w:rsid w:val="00272BB7"/>
    <w:rsid w:val="00272DD5"/>
    <w:rsid w:val="00272DD7"/>
    <w:rsid w:val="00272E44"/>
    <w:rsid w:val="00272FBF"/>
    <w:rsid w:val="002730A5"/>
    <w:rsid w:val="002736ED"/>
    <w:rsid w:val="00273FF2"/>
    <w:rsid w:val="00274639"/>
    <w:rsid w:val="00274B10"/>
    <w:rsid w:val="00274BC6"/>
    <w:rsid w:val="00274D0D"/>
    <w:rsid w:val="0027530F"/>
    <w:rsid w:val="002758C6"/>
    <w:rsid w:val="00275CF5"/>
    <w:rsid w:val="00275E2D"/>
    <w:rsid w:val="002766FB"/>
    <w:rsid w:val="00276789"/>
    <w:rsid w:val="002769CC"/>
    <w:rsid w:val="00276D43"/>
    <w:rsid w:val="00276F1B"/>
    <w:rsid w:val="0028056A"/>
    <w:rsid w:val="002809B6"/>
    <w:rsid w:val="002809FB"/>
    <w:rsid w:val="00280DC7"/>
    <w:rsid w:val="0028185D"/>
    <w:rsid w:val="00281AB4"/>
    <w:rsid w:val="00281DCA"/>
    <w:rsid w:val="002824CC"/>
    <w:rsid w:val="00282CCC"/>
    <w:rsid w:val="00282DB6"/>
    <w:rsid w:val="00282FAD"/>
    <w:rsid w:val="0028301F"/>
    <w:rsid w:val="00283059"/>
    <w:rsid w:val="00284770"/>
    <w:rsid w:val="00284C18"/>
    <w:rsid w:val="00284F30"/>
    <w:rsid w:val="00285017"/>
    <w:rsid w:val="002850AF"/>
    <w:rsid w:val="002852B2"/>
    <w:rsid w:val="002856A4"/>
    <w:rsid w:val="002902A3"/>
    <w:rsid w:val="00290429"/>
    <w:rsid w:val="00290523"/>
    <w:rsid w:val="0029131C"/>
    <w:rsid w:val="00291937"/>
    <w:rsid w:val="00292801"/>
    <w:rsid w:val="00292D8C"/>
    <w:rsid w:val="00293322"/>
    <w:rsid w:val="00293A4C"/>
    <w:rsid w:val="0029446A"/>
    <w:rsid w:val="00294794"/>
    <w:rsid w:val="00294A04"/>
    <w:rsid w:val="00295634"/>
    <w:rsid w:val="00295A02"/>
    <w:rsid w:val="00296192"/>
    <w:rsid w:val="002965CC"/>
    <w:rsid w:val="00296CDE"/>
    <w:rsid w:val="00296CDF"/>
    <w:rsid w:val="00297A4C"/>
    <w:rsid w:val="00297E09"/>
    <w:rsid w:val="00297ED2"/>
    <w:rsid w:val="002A02DC"/>
    <w:rsid w:val="002A08BE"/>
    <w:rsid w:val="002A160E"/>
    <w:rsid w:val="002A2213"/>
    <w:rsid w:val="002A246C"/>
    <w:rsid w:val="002A2630"/>
    <w:rsid w:val="002A2D22"/>
    <w:rsid w:val="002A2D2E"/>
    <w:rsid w:val="002A3509"/>
    <w:rsid w:val="002A398B"/>
    <w:rsid w:val="002A3FB7"/>
    <w:rsid w:val="002A42A9"/>
    <w:rsid w:val="002A4DCA"/>
    <w:rsid w:val="002A54D7"/>
    <w:rsid w:val="002A571D"/>
    <w:rsid w:val="002A59C3"/>
    <w:rsid w:val="002A64D6"/>
    <w:rsid w:val="002A65EF"/>
    <w:rsid w:val="002A69A4"/>
    <w:rsid w:val="002A6E02"/>
    <w:rsid w:val="002A7159"/>
    <w:rsid w:val="002A7D29"/>
    <w:rsid w:val="002B06F7"/>
    <w:rsid w:val="002B0720"/>
    <w:rsid w:val="002B0E04"/>
    <w:rsid w:val="002B1871"/>
    <w:rsid w:val="002B1C55"/>
    <w:rsid w:val="002B2372"/>
    <w:rsid w:val="002B3FAA"/>
    <w:rsid w:val="002B4D71"/>
    <w:rsid w:val="002B4EC3"/>
    <w:rsid w:val="002B4FF6"/>
    <w:rsid w:val="002B5E12"/>
    <w:rsid w:val="002B63B1"/>
    <w:rsid w:val="002B63DB"/>
    <w:rsid w:val="002B6600"/>
    <w:rsid w:val="002B7099"/>
    <w:rsid w:val="002B70D4"/>
    <w:rsid w:val="002B7326"/>
    <w:rsid w:val="002B7358"/>
    <w:rsid w:val="002B7494"/>
    <w:rsid w:val="002B75F3"/>
    <w:rsid w:val="002B7969"/>
    <w:rsid w:val="002B7FAE"/>
    <w:rsid w:val="002C00E8"/>
    <w:rsid w:val="002C00F0"/>
    <w:rsid w:val="002C0A20"/>
    <w:rsid w:val="002C0EC1"/>
    <w:rsid w:val="002C13A9"/>
    <w:rsid w:val="002C1718"/>
    <w:rsid w:val="002C2829"/>
    <w:rsid w:val="002C2B1A"/>
    <w:rsid w:val="002C33FD"/>
    <w:rsid w:val="002C3FF6"/>
    <w:rsid w:val="002C42C3"/>
    <w:rsid w:val="002C5CAF"/>
    <w:rsid w:val="002C5FDA"/>
    <w:rsid w:val="002C6020"/>
    <w:rsid w:val="002C62B9"/>
    <w:rsid w:val="002C65FC"/>
    <w:rsid w:val="002C68D8"/>
    <w:rsid w:val="002D0D17"/>
    <w:rsid w:val="002D22B9"/>
    <w:rsid w:val="002D2604"/>
    <w:rsid w:val="002D30B9"/>
    <w:rsid w:val="002D37B3"/>
    <w:rsid w:val="002D4DDA"/>
    <w:rsid w:val="002D542D"/>
    <w:rsid w:val="002D59CD"/>
    <w:rsid w:val="002D5AD1"/>
    <w:rsid w:val="002D6229"/>
    <w:rsid w:val="002D6C75"/>
    <w:rsid w:val="002D6F8C"/>
    <w:rsid w:val="002D7278"/>
    <w:rsid w:val="002D7EE5"/>
    <w:rsid w:val="002E013E"/>
    <w:rsid w:val="002E01B0"/>
    <w:rsid w:val="002E0943"/>
    <w:rsid w:val="002E0959"/>
    <w:rsid w:val="002E0E4C"/>
    <w:rsid w:val="002E0F48"/>
    <w:rsid w:val="002E0FEA"/>
    <w:rsid w:val="002E1037"/>
    <w:rsid w:val="002E1C40"/>
    <w:rsid w:val="002E1CB9"/>
    <w:rsid w:val="002E2033"/>
    <w:rsid w:val="002E2069"/>
    <w:rsid w:val="002E397A"/>
    <w:rsid w:val="002E3D23"/>
    <w:rsid w:val="002E49A1"/>
    <w:rsid w:val="002E49AA"/>
    <w:rsid w:val="002E6078"/>
    <w:rsid w:val="002E6927"/>
    <w:rsid w:val="002E6C75"/>
    <w:rsid w:val="002E7551"/>
    <w:rsid w:val="002E7A0D"/>
    <w:rsid w:val="002F0093"/>
    <w:rsid w:val="002F0105"/>
    <w:rsid w:val="002F047E"/>
    <w:rsid w:val="002F13DC"/>
    <w:rsid w:val="002F14AD"/>
    <w:rsid w:val="002F16D3"/>
    <w:rsid w:val="002F1878"/>
    <w:rsid w:val="002F18FB"/>
    <w:rsid w:val="002F1B58"/>
    <w:rsid w:val="002F20F8"/>
    <w:rsid w:val="002F4192"/>
    <w:rsid w:val="002F4198"/>
    <w:rsid w:val="002F4B00"/>
    <w:rsid w:val="002F502D"/>
    <w:rsid w:val="002F6763"/>
    <w:rsid w:val="002F6A3A"/>
    <w:rsid w:val="002F7071"/>
    <w:rsid w:val="002F77B4"/>
    <w:rsid w:val="002F7D36"/>
    <w:rsid w:val="00300918"/>
    <w:rsid w:val="00300B76"/>
    <w:rsid w:val="00300F87"/>
    <w:rsid w:val="00301319"/>
    <w:rsid w:val="00301583"/>
    <w:rsid w:val="00301599"/>
    <w:rsid w:val="003021FE"/>
    <w:rsid w:val="003029FE"/>
    <w:rsid w:val="0030430B"/>
    <w:rsid w:val="00304759"/>
    <w:rsid w:val="00304AD5"/>
    <w:rsid w:val="0030500E"/>
    <w:rsid w:val="003052F6"/>
    <w:rsid w:val="00305E97"/>
    <w:rsid w:val="003075E5"/>
    <w:rsid w:val="00310AD0"/>
    <w:rsid w:val="00310FB2"/>
    <w:rsid w:val="003111ED"/>
    <w:rsid w:val="0031127F"/>
    <w:rsid w:val="003128FB"/>
    <w:rsid w:val="00312B4C"/>
    <w:rsid w:val="00313529"/>
    <w:rsid w:val="0031392A"/>
    <w:rsid w:val="003146F4"/>
    <w:rsid w:val="00314ADB"/>
    <w:rsid w:val="00314AE7"/>
    <w:rsid w:val="00315497"/>
    <w:rsid w:val="003154CF"/>
    <w:rsid w:val="00315707"/>
    <w:rsid w:val="00315868"/>
    <w:rsid w:val="003169DA"/>
    <w:rsid w:val="00316C42"/>
    <w:rsid w:val="00316D44"/>
    <w:rsid w:val="00316F11"/>
    <w:rsid w:val="003172BC"/>
    <w:rsid w:val="003172F0"/>
    <w:rsid w:val="0032001A"/>
    <w:rsid w:val="00320084"/>
    <w:rsid w:val="003213B8"/>
    <w:rsid w:val="0032175A"/>
    <w:rsid w:val="00321B1E"/>
    <w:rsid w:val="00322D50"/>
    <w:rsid w:val="00323075"/>
    <w:rsid w:val="00323239"/>
    <w:rsid w:val="003236C4"/>
    <w:rsid w:val="0032485A"/>
    <w:rsid w:val="00324C6F"/>
    <w:rsid w:val="003255F1"/>
    <w:rsid w:val="0032586E"/>
    <w:rsid w:val="00325C69"/>
    <w:rsid w:val="0032654E"/>
    <w:rsid w:val="00326C84"/>
    <w:rsid w:val="00326DB4"/>
    <w:rsid w:val="00326E4C"/>
    <w:rsid w:val="00327442"/>
    <w:rsid w:val="003274AA"/>
    <w:rsid w:val="00327855"/>
    <w:rsid w:val="0032791A"/>
    <w:rsid w:val="00327983"/>
    <w:rsid w:val="00327B28"/>
    <w:rsid w:val="00327CBE"/>
    <w:rsid w:val="00327F92"/>
    <w:rsid w:val="00331035"/>
    <w:rsid w:val="00331818"/>
    <w:rsid w:val="00331DA8"/>
    <w:rsid w:val="0033373B"/>
    <w:rsid w:val="00333895"/>
    <w:rsid w:val="00333F86"/>
    <w:rsid w:val="0033410A"/>
    <w:rsid w:val="00334A85"/>
    <w:rsid w:val="00335177"/>
    <w:rsid w:val="00335856"/>
    <w:rsid w:val="00335D76"/>
    <w:rsid w:val="00336D85"/>
    <w:rsid w:val="00340985"/>
    <w:rsid w:val="00341697"/>
    <w:rsid w:val="00341ED8"/>
    <w:rsid w:val="00341FD2"/>
    <w:rsid w:val="00342304"/>
    <w:rsid w:val="003423C4"/>
    <w:rsid w:val="00343749"/>
    <w:rsid w:val="00343E7C"/>
    <w:rsid w:val="00344760"/>
    <w:rsid w:val="0034494C"/>
    <w:rsid w:val="00344B13"/>
    <w:rsid w:val="00345CCB"/>
    <w:rsid w:val="00346B39"/>
    <w:rsid w:val="003474F1"/>
    <w:rsid w:val="00347C64"/>
    <w:rsid w:val="0035076E"/>
    <w:rsid w:val="003507E4"/>
    <w:rsid w:val="00350942"/>
    <w:rsid w:val="00350D9B"/>
    <w:rsid w:val="00351027"/>
    <w:rsid w:val="003516CE"/>
    <w:rsid w:val="00351F36"/>
    <w:rsid w:val="00352B5D"/>
    <w:rsid w:val="003532B6"/>
    <w:rsid w:val="0035361D"/>
    <w:rsid w:val="003541E7"/>
    <w:rsid w:val="0035534D"/>
    <w:rsid w:val="003561B0"/>
    <w:rsid w:val="0035653C"/>
    <w:rsid w:val="0035653D"/>
    <w:rsid w:val="003565EC"/>
    <w:rsid w:val="0035663B"/>
    <w:rsid w:val="003567D3"/>
    <w:rsid w:val="00356AA7"/>
    <w:rsid w:val="00356C4C"/>
    <w:rsid w:val="00357159"/>
    <w:rsid w:val="00357D4D"/>
    <w:rsid w:val="0036006A"/>
    <w:rsid w:val="003600AD"/>
    <w:rsid w:val="00360529"/>
    <w:rsid w:val="00360C02"/>
    <w:rsid w:val="00360F68"/>
    <w:rsid w:val="00360FC7"/>
    <w:rsid w:val="003610D1"/>
    <w:rsid w:val="00361710"/>
    <w:rsid w:val="00361B66"/>
    <w:rsid w:val="00362111"/>
    <w:rsid w:val="00362142"/>
    <w:rsid w:val="0036235C"/>
    <w:rsid w:val="00362EC8"/>
    <w:rsid w:val="00363293"/>
    <w:rsid w:val="00364138"/>
    <w:rsid w:val="003642F6"/>
    <w:rsid w:val="00364694"/>
    <w:rsid w:val="0036499A"/>
    <w:rsid w:val="00365800"/>
    <w:rsid w:val="00365877"/>
    <w:rsid w:val="00365E5E"/>
    <w:rsid w:val="00365F8B"/>
    <w:rsid w:val="003660ED"/>
    <w:rsid w:val="00366981"/>
    <w:rsid w:val="0036704A"/>
    <w:rsid w:val="00367664"/>
    <w:rsid w:val="00367955"/>
    <w:rsid w:val="00367CDA"/>
    <w:rsid w:val="00367D90"/>
    <w:rsid w:val="00367E37"/>
    <w:rsid w:val="0037007E"/>
    <w:rsid w:val="003700F1"/>
    <w:rsid w:val="00370E2D"/>
    <w:rsid w:val="00370FC1"/>
    <w:rsid w:val="00371462"/>
    <w:rsid w:val="003717B8"/>
    <w:rsid w:val="003720F6"/>
    <w:rsid w:val="00372C5E"/>
    <w:rsid w:val="003731E1"/>
    <w:rsid w:val="00373807"/>
    <w:rsid w:val="003741E1"/>
    <w:rsid w:val="00374850"/>
    <w:rsid w:val="003753E2"/>
    <w:rsid w:val="00376F88"/>
    <w:rsid w:val="003771F2"/>
    <w:rsid w:val="00377313"/>
    <w:rsid w:val="0037743E"/>
    <w:rsid w:val="00377C5D"/>
    <w:rsid w:val="00377CED"/>
    <w:rsid w:val="00377E72"/>
    <w:rsid w:val="00377EB0"/>
    <w:rsid w:val="00380314"/>
    <w:rsid w:val="0038060D"/>
    <w:rsid w:val="00380847"/>
    <w:rsid w:val="0038089B"/>
    <w:rsid w:val="00380980"/>
    <w:rsid w:val="00380D77"/>
    <w:rsid w:val="0038126F"/>
    <w:rsid w:val="00381E66"/>
    <w:rsid w:val="0038234F"/>
    <w:rsid w:val="00382FC0"/>
    <w:rsid w:val="00383888"/>
    <w:rsid w:val="003838FB"/>
    <w:rsid w:val="00383B6C"/>
    <w:rsid w:val="00384D79"/>
    <w:rsid w:val="00385E3A"/>
    <w:rsid w:val="00386175"/>
    <w:rsid w:val="00386938"/>
    <w:rsid w:val="003903BF"/>
    <w:rsid w:val="00390BE4"/>
    <w:rsid w:val="003910D4"/>
    <w:rsid w:val="003916B2"/>
    <w:rsid w:val="003926FD"/>
    <w:rsid w:val="00392DBD"/>
    <w:rsid w:val="00392FC5"/>
    <w:rsid w:val="00393880"/>
    <w:rsid w:val="00393C2A"/>
    <w:rsid w:val="00393EBD"/>
    <w:rsid w:val="00393F5C"/>
    <w:rsid w:val="00394424"/>
    <w:rsid w:val="003947C1"/>
    <w:rsid w:val="003947E7"/>
    <w:rsid w:val="003949DD"/>
    <w:rsid w:val="00394DF8"/>
    <w:rsid w:val="0039582B"/>
    <w:rsid w:val="00395C35"/>
    <w:rsid w:val="00395DB0"/>
    <w:rsid w:val="003962B0"/>
    <w:rsid w:val="003967DD"/>
    <w:rsid w:val="003969C1"/>
    <w:rsid w:val="00397064"/>
    <w:rsid w:val="003974DC"/>
    <w:rsid w:val="00397844"/>
    <w:rsid w:val="00397C6C"/>
    <w:rsid w:val="00397FBD"/>
    <w:rsid w:val="003A027C"/>
    <w:rsid w:val="003A09B8"/>
    <w:rsid w:val="003A1252"/>
    <w:rsid w:val="003A23C3"/>
    <w:rsid w:val="003A27C2"/>
    <w:rsid w:val="003A348E"/>
    <w:rsid w:val="003A4A13"/>
    <w:rsid w:val="003A571B"/>
    <w:rsid w:val="003A593D"/>
    <w:rsid w:val="003A6A5A"/>
    <w:rsid w:val="003A6FA1"/>
    <w:rsid w:val="003B00BF"/>
    <w:rsid w:val="003B00FD"/>
    <w:rsid w:val="003B0550"/>
    <w:rsid w:val="003B0B0C"/>
    <w:rsid w:val="003B1062"/>
    <w:rsid w:val="003B1F5E"/>
    <w:rsid w:val="003B219E"/>
    <w:rsid w:val="003B2AE8"/>
    <w:rsid w:val="003B2F5F"/>
    <w:rsid w:val="003B32F6"/>
    <w:rsid w:val="003B3A89"/>
    <w:rsid w:val="003B3D1E"/>
    <w:rsid w:val="003B3E0E"/>
    <w:rsid w:val="003B3F7B"/>
    <w:rsid w:val="003B4EFD"/>
    <w:rsid w:val="003B5690"/>
    <w:rsid w:val="003B5991"/>
    <w:rsid w:val="003B60E8"/>
    <w:rsid w:val="003B63C5"/>
    <w:rsid w:val="003B694F"/>
    <w:rsid w:val="003B6952"/>
    <w:rsid w:val="003B73BA"/>
    <w:rsid w:val="003B7F54"/>
    <w:rsid w:val="003C017B"/>
    <w:rsid w:val="003C047A"/>
    <w:rsid w:val="003C0489"/>
    <w:rsid w:val="003C0B7C"/>
    <w:rsid w:val="003C1791"/>
    <w:rsid w:val="003C19DC"/>
    <w:rsid w:val="003C25D4"/>
    <w:rsid w:val="003C2996"/>
    <w:rsid w:val="003C2E65"/>
    <w:rsid w:val="003C341E"/>
    <w:rsid w:val="003C3638"/>
    <w:rsid w:val="003C3DEE"/>
    <w:rsid w:val="003C431D"/>
    <w:rsid w:val="003C494A"/>
    <w:rsid w:val="003C4A73"/>
    <w:rsid w:val="003C5BF0"/>
    <w:rsid w:val="003C5E08"/>
    <w:rsid w:val="003C603F"/>
    <w:rsid w:val="003C6D62"/>
    <w:rsid w:val="003C6DE7"/>
    <w:rsid w:val="003C7149"/>
    <w:rsid w:val="003C7816"/>
    <w:rsid w:val="003C79B8"/>
    <w:rsid w:val="003C7E14"/>
    <w:rsid w:val="003C7FDB"/>
    <w:rsid w:val="003D0EB0"/>
    <w:rsid w:val="003D100B"/>
    <w:rsid w:val="003D105E"/>
    <w:rsid w:val="003D11F9"/>
    <w:rsid w:val="003D16B1"/>
    <w:rsid w:val="003D1949"/>
    <w:rsid w:val="003D2254"/>
    <w:rsid w:val="003D25FB"/>
    <w:rsid w:val="003D2D32"/>
    <w:rsid w:val="003D2D4D"/>
    <w:rsid w:val="003D331B"/>
    <w:rsid w:val="003D3377"/>
    <w:rsid w:val="003D365C"/>
    <w:rsid w:val="003D398E"/>
    <w:rsid w:val="003D3A69"/>
    <w:rsid w:val="003D3D28"/>
    <w:rsid w:val="003D3E36"/>
    <w:rsid w:val="003D4333"/>
    <w:rsid w:val="003D482C"/>
    <w:rsid w:val="003D4FAD"/>
    <w:rsid w:val="003D551A"/>
    <w:rsid w:val="003D5881"/>
    <w:rsid w:val="003D6421"/>
    <w:rsid w:val="003D6613"/>
    <w:rsid w:val="003D6B53"/>
    <w:rsid w:val="003D6E88"/>
    <w:rsid w:val="003D7017"/>
    <w:rsid w:val="003D7A9E"/>
    <w:rsid w:val="003D7BB5"/>
    <w:rsid w:val="003D7EE2"/>
    <w:rsid w:val="003E0232"/>
    <w:rsid w:val="003E0B1F"/>
    <w:rsid w:val="003E0C7E"/>
    <w:rsid w:val="003E0FA2"/>
    <w:rsid w:val="003E110B"/>
    <w:rsid w:val="003E126F"/>
    <w:rsid w:val="003E1549"/>
    <w:rsid w:val="003E177F"/>
    <w:rsid w:val="003E1D84"/>
    <w:rsid w:val="003E2437"/>
    <w:rsid w:val="003E3891"/>
    <w:rsid w:val="003E38B5"/>
    <w:rsid w:val="003E397F"/>
    <w:rsid w:val="003E3C34"/>
    <w:rsid w:val="003E4175"/>
    <w:rsid w:val="003E4328"/>
    <w:rsid w:val="003E485A"/>
    <w:rsid w:val="003E48B6"/>
    <w:rsid w:val="003E4DCE"/>
    <w:rsid w:val="003E535D"/>
    <w:rsid w:val="003E618E"/>
    <w:rsid w:val="003E6684"/>
    <w:rsid w:val="003E70A0"/>
    <w:rsid w:val="003E7AAE"/>
    <w:rsid w:val="003E7CF1"/>
    <w:rsid w:val="003F0C08"/>
    <w:rsid w:val="003F0C52"/>
    <w:rsid w:val="003F171C"/>
    <w:rsid w:val="003F1CBA"/>
    <w:rsid w:val="003F337B"/>
    <w:rsid w:val="003F39A3"/>
    <w:rsid w:val="003F3A9D"/>
    <w:rsid w:val="003F3EDE"/>
    <w:rsid w:val="003F454E"/>
    <w:rsid w:val="003F4813"/>
    <w:rsid w:val="003F5A31"/>
    <w:rsid w:val="003F5B0F"/>
    <w:rsid w:val="003F5D10"/>
    <w:rsid w:val="003F6906"/>
    <w:rsid w:val="003F7072"/>
    <w:rsid w:val="003F7296"/>
    <w:rsid w:val="003F7396"/>
    <w:rsid w:val="003F79A7"/>
    <w:rsid w:val="003F7CBF"/>
    <w:rsid w:val="0040095E"/>
    <w:rsid w:val="0040116D"/>
    <w:rsid w:val="00401BF3"/>
    <w:rsid w:val="00401D94"/>
    <w:rsid w:val="004026D7"/>
    <w:rsid w:val="004027CB"/>
    <w:rsid w:val="0040282F"/>
    <w:rsid w:val="00402E36"/>
    <w:rsid w:val="00402F4A"/>
    <w:rsid w:val="0040315A"/>
    <w:rsid w:val="0040322B"/>
    <w:rsid w:val="004035AF"/>
    <w:rsid w:val="0040495A"/>
    <w:rsid w:val="0040580F"/>
    <w:rsid w:val="00405933"/>
    <w:rsid w:val="004059CB"/>
    <w:rsid w:val="00405FE7"/>
    <w:rsid w:val="00406119"/>
    <w:rsid w:val="0040652E"/>
    <w:rsid w:val="0040667D"/>
    <w:rsid w:val="0040667E"/>
    <w:rsid w:val="00407910"/>
    <w:rsid w:val="00411408"/>
    <w:rsid w:val="00411B70"/>
    <w:rsid w:val="004128B1"/>
    <w:rsid w:val="00412FC5"/>
    <w:rsid w:val="004137EC"/>
    <w:rsid w:val="00413855"/>
    <w:rsid w:val="00413CBE"/>
    <w:rsid w:val="004140C0"/>
    <w:rsid w:val="00414404"/>
    <w:rsid w:val="00414A8F"/>
    <w:rsid w:val="0041541D"/>
    <w:rsid w:val="0041570A"/>
    <w:rsid w:val="00416A53"/>
    <w:rsid w:val="00416BF6"/>
    <w:rsid w:val="00417077"/>
    <w:rsid w:val="0041750D"/>
    <w:rsid w:val="004200D1"/>
    <w:rsid w:val="00420549"/>
    <w:rsid w:val="00420B76"/>
    <w:rsid w:val="00420F4D"/>
    <w:rsid w:val="00422276"/>
    <w:rsid w:val="00422354"/>
    <w:rsid w:val="004228FA"/>
    <w:rsid w:val="004229AC"/>
    <w:rsid w:val="00423CB9"/>
    <w:rsid w:val="004242F1"/>
    <w:rsid w:val="004245FA"/>
    <w:rsid w:val="00424FB3"/>
    <w:rsid w:val="004252FC"/>
    <w:rsid w:val="00426E58"/>
    <w:rsid w:val="00427152"/>
    <w:rsid w:val="00427D5B"/>
    <w:rsid w:val="00430086"/>
    <w:rsid w:val="00431384"/>
    <w:rsid w:val="00432847"/>
    <w:rsid w:val="004333E6"/>
    <w:rsid w:val="00433841"/>
    <w:rsid w:val="004339FC"/>
    <w:rsid w:val="00434796"/>
    <w:rsid w:val="00434E2D"/>
    <w:rsid w:val="00435587"/>
    <w:rsid w:val="004355E3"/>
    <w:rsid w:val="0043637D"/>
    <w:rsid w:val="00436ADD"/>
    <w:rsid w:val="00436E27"/>
    <w:rsid w:val="00436F64"/>
    <w:rsid w:val="00437482"/>
    <w:rsid w:val="00440199"/>
    <w:rsid w:val="004406C0"/>
    <w:rsid w:val="00440B8F"/>
    <w:rsid w:val="00440D42"/>
    <w:rsid w:val="0044113A"/>
    <w:rsid w:val="0044130A"/>
    <w:rsid w:val="0044159D"/>
    <w:rsid w:val="00441720"/>
    <w:rsid w:val="00441D4A"/>
    <w:rsid w:val="00441FCA"/>
    <w:rsid w:val="00442825"/>
    <w:rsid w:val="00442C46"/>
    <w:rsid w:val="00442D74"/>
    <w:rsid w:val="00442FDA"/>
    <w:rsid w:val="00443A5B"/>
    <w:rsid w:val="00443F2B"/>
    <w:rsid w:val="00444504"/>
    <w:rsid w:val="0044463E"/>
    <w:rsid w:val="00444719"/>
    <w:rsid w:val="00444A78"/>
    <w:rsid w:val="00444B12"/>
    <w:rsid w:val="00444FFC"/>
    <w:rsid w:val="0044599A"/>
    <w:rsid w:val="00445A00"/>
    <w:rsid w:val="0044623A"/>
    <w:rsid w:val="00446501"/>
    <w:rsid w:val="00446A7C"/>
    <w:rsid w:val="00446C5B"/>
    <w:rsid w:val="00447C14"/>
    <w:rsid w:val="00447D5B"/>
    <w:rsid w:val="00450003"/>
    <w:rsid w:val="0045005C"/>
    <w:rsid w:val="00451B0F"/>
    <w:rsid w:val="00451FAE"/>
    <w:rsid w:val="004526E8"/>
    <w:rsid w:val="004532EB"/>
    <w:rsid w:val="004539AF"/>
    <w:rsid w:val="004539F3"/>
    <w:rsid w:val="00453E65"/>
    <w:rsid w:val="004557CA"/>
    <w:rsid w:val="0045595F"/>
    <w:rsid w:val="00455BE0"/>
    <w:rsid w:val="004560E4"/>
    <w:rsid w:val="00456366"/>
    <w:rsid w:val="004569FD"/>
    <w:rsid w:val="00456AAF"/>
    <w:rsid w:val="004576FA"/>
    <w:rsid w:val="00457D2A"/>
    <w:rsid w:val="00457FB9"/>
    <w:rsid w:val="00460AD0"/>
    <w:rsid w:val="00461982"/>
    <w:rsid w:val="00462070"/>
    <w:rsid w:val="00462599"/>
    <w:rsid w:val="004628F1"/>
    <w:rsid w:val="00462D38"/>
    <w:rsid w:val="00463465"/>
    <w:rsid w:val="0046365F"/>
    <w:rsid w:val="00463822"/>
    <w:rsid w:val="00463C1E"/>
    <w:rsid w:val="00464146"/>
    <w:rsid w:val="004641C2"/>
    <w:rsid w:val="00464C2A"/>
    <w:rsid w:val="004661FD"/>
    <w:rsid w:val="00466591"/>
    <w:rsid w:val="00466EAD"/>
    <w:rsid w:val="0046710D"/>
    <w:rsid w:val="00467309"/>
    <w:rsid w:val="00467520"/>
    <w:rsid w:val="00467A65"/>
    <w:rsid w:val="00467EAA"/>
    <w:rsid w:val="00467F21"/>
    <w:rsid w:val="00470225"/>
    <w:rsid w:val="004716DC"/>
    <w:rsid w:val="0047214E"/>
    <w:rsid w:val="004728C5"/>
    <w:rsid w:val="00472B05"/>
    <w:rsid w:val="00472D64"/>
    <w:rsid w:val="004736D3"/>
    <w:rsid w:val="004738C1"/>
    <w:rsid w:val="004748B2"/>
    <w:rsid w:val="004748F0"/>
    <w:rsid w:val="00474AC8"/>
    <w:rsid w:val="00474D63"/>
    <w:rsid w:val="00475195"/>
    <w:rsid w:val="004757FD"/>
    <w:rsid w:val="004759E5"/>
    <w:rsid w:val="00476368"/>
    <w:rsid w:val="00476428"/>
    <w:rsid w:val="00476714"/>
    <w:rsid w:val="004768DC"/>
    <w:rsid w:val="00477731"/>
    <w:rsid w:val="004778A3"/>
    <w:rsid w:val="00477CC1"/>
    <w:rsid w:val="004814AA"/>
    <w:rsid w:val="00481552"/>
    <w:rsid w:val="004816D4"/>
    <w:rsid w:val="004817D8"/>
    <w:rsid w:val="00481999"/>
    <w:rsid w:val="0048249D"/>
    <w:rsid w:val="004829D0"/>
    <w:rsid w:val="004834B9"/>
    <w:rsid w:val="00483948"/>
    <w:rsid w:val="00483EB1"/>
    <w:rsid w:val="004840C6"/>
    <w:rsid w:val="00484261"/>
    <w:rsid w:val="0048459D"/>
    <w:rsid w:val="00484855"/>
    <w:rsid w:val="0048543F"/>
    <w:rsid w:val="00485557"/>
    <w:rsid w:val="00485D8E"/>
    <w:rsid w:val="004860E3"/>
    <w:rsid w:val="0048617B"/>
    <w:rsid w:val="004863F8"/>
    <w:rsid w:val="00486EE6"/>
    <w:rsid w:val="00486F67"/>
    <w:rsid w:val="0048710B"/>
    <w:rsid w:val="00487D63"/>
    <w:rsid w:val="00487DB3"/>
    <w:rsid w:val="00487FC2"/>
    <w:rsid w:val="004907F7"/>
    <w:rsid w:val="0049098D"/>
    <w:rsid w:val="00490AE9"/>
    <w:rsid w:val="004911B3"/>
    <w:rsid w:val="00491733"/>
    <w:rsid w:val="00491913"/>
    <w:rsid w:val="00492840"/>
    <w:rsid w:val="004928CE"/>
    <w:rsid w:val="00492C87"/>
    <w:rsid w:val="0049363D"/>
    <w:rsid w:val="00493B1E"/>
    <w:rsid w:val="004949A9"/>
    <w:rsid w:val="00495275"/>
    <w:rsid w:val="004956B4"/>
    <w:rsid w:val="00495CD3"/>
    <w:rsid w:val="00495E94"/>
    <w:rsid w:val="0049670C"/>
    <w:rsid w:val="004969B4"/>
    <w:rsid w:val="00496D1B"/>
    <w:rsid w:val="00497369"/>
    <w:rsid w:val="00497A27"/>
    <w:rsid w:val="00497C7D"/>
    <w:rsid w:val="004A050E"/>
    <w:rsid w:val="004A079A"/>
    <w:rsid w:val="004A17B2"/>
    <w:rsid w:val="004A1DE3"/>
    <w:rsid w:val="004A27D3"/>
    <w:rsid w:val="004A2922"/>
    <w:rsid w:val="004A2E75"/>
    <w:rsid w:val="004A344E"/>
    <w:rsid w:val="004A38AF"/>
    <w:rsid w:val="004A4047"/>
    <w:rsid w:val="004A410F"/>
    <w:rsid w:val="004A41FE"/>
    <w:rsid w:val="004A4251"/>
    <w:rsid w:val="004A4629"/>
    <w:rsid w:val="004A4AEC"/>
    <w:rsid w:val="004A5278"/>
    <w:rsid w:val="004A5C37"/>
    <w:rsid w:val="004A67EB"/>
    <w:rsid w:val="004A7031"/>
    <w:rsid w:val="004B0072"/>
    <w:rsid w:val="004B0654"/>
    <w:rsid w:val="004B09B5"/>
    <w:rsid w:val="004B0A6D"/>
    <w:rsid w:val="004B1022"/>
    <w:rsid w:val="004B141A"/>
    <w:rsid w:val="004B233C"/>
    <w:rsid w:val="004B35AD"/>
    <w:rsid w:val="004B3EE3"/>
    <w:rsid w:val="004B4F71"/>
    <w:rsid w:val="004B50F7"/>
    <w:rsid w:val="004B57BA"/>
    <w:rsid w:val="004B599E"/>
    <w:rsid w:val="004B59E4"/>
    <w:rsid w:val="004B5E70"/>
    <w:rsid w:val="004B6FCE"/>
    <w:rsid w:val="004B6FD7"/>
    <w:rsid w:val="004B721B"/>
    <w:rsid w:val="004B7FA0"/>
    <w:rsid w:val="004C01D0"/>
    <w:rsid w:val="004C19F5"/>
    <w:rsid w:val="004C1B22"/>
    <w:rsid w:val="004C2EE3"/>
    <w:rsid w:val="004C33FE"/>
    <w:rsid w:val="004C41D9"/>
    <w:rsid w:val="004C4346"/>
    <w:rsid w:val="004C4554"/>
    <w:rsid w:val="004C474D"/>
    <w:rsid w:val="004C5486"/>
    <w:rsid w:val="004C5493"/>
    <w:rsid w:val="004C567D"/>
    <w:rsid w:val="004C5C2E"/>
    <w:rsid w:val="004C5ECE"/>
    <w:rsid w:val="004C5FC0"/>
    <w:rsid w:val="004C5FC6"/>
    <w:rsid w:val="004C6031"/>
    <w:rsid w:val="004C645E"/>
    <w:rsid w:val="004C67EC"/>
    <w:rsid w:val="004C70E9"/>
    <w:rsid w:val="004C72C9"/>
    <w:rsid w:val="004C7319"/>
    <w:rsid w:val="004D114A"/>
    <w:rsid w:val="004D11F6"/>
    <w:rsid w:val="004D3661"/>
    <w:rsid w:val="004D4050"/>
    <w:rsid w:val="004D43E3"/>
    <w:rsid w:val="004D4E76"/>
    <w:rsid w:val="004D4E89"/>
    <w:rsid w:val="004D53DA"/>
    <w:rsid w:val="004D5C9B"/>
    <w:rsid w:val="004D5D57"/>
    <w:rsid w:val="004D6A6F"/>
    <w:rsid w:val="004D6FA1"/>
    <w:rsid w:val="004D7112"/>
    <w:rsid w:val="004E13DC"/>
    <w:rsid w:val="004E14F2"/>
    <w:rsid w:val="004E1709"/>
    <w:rsid w:val="004E1BE0"/>
    <w:rsid w:val="004E25E9"/>
    <w:rsid w:val="004E2C2E"/>
    <w:rsid w:val="004E2DA9"/>
    <w:rsid w:val="004E2FD4"/>
    <w:rsid w:val="004E33C9"/>
    <w:rsid w:val="004E45DE"/>
    <w:rsid w:val="004E4A22"/>
    <w:rsid w:val="004E4E72"/>
    <w:rsid w:val="004E59F1"/>
    <w:rsid w:val="004E5B86"/>
    <w:rsid w:val="004E61D4"/>
    <w:rsid w:val="004E6AE6"/>
    <w:rsid w:val="004E6EDB"/>
    <w:rsid w:val="004E721B"/>
    <w:rsid w:val="004E728E"/>
    <w:rsid w:val="004E767B"/>
    <w:rsid w:val="004F0165"/>
    <w:rsid w:val="004F096A"/>
    <w:rsid w:val="004F0997"/>
    <w:rsid w:val="004F202D"/>
    <w:rsid w:val="004F2BE3"/>
    <w:rsid w:val="004F3420"/>
    <w:rsid w:val="004F36B4"/>
    <w:rsid w:val="004F3B41"/>
    <w:rsid w:val="004F3E27"/>
    <w:rsid w:val="004F533D"/>
    <w:rsid w:val="004F5412"/>
    <w:rsid w:val="004F58E7"/>
    <w:rsid w:val="004F5A63"/>
    <w:rsid w:val="004F5C2C"/>
    <w:rsid w:val="004F6282"/>
    <w:rsid w:val="004F66AC"/>
    <w:rsid w:val="004F6FF1"/>
    <w:rsid w:val="004F71E9"/>
    <w:rsid w:val="004F7339"/>
    <w:rsid w:val="004F7D7B"/>
    <w:rsid w:val="00501D78"/>
    <w:rsid w:val="00501FC5"/>
    <w:rsid w:val="005026C6"/>
    <w:rsid w:val="00502D5C"/>
    <w:rsid w:val="005033D1"/>
    <w:rsid w:val="00503C80"/>
    <w:rsid w:val="0050450D"/>
    <w:rsid w:val="00504CF0"/>
    <w:rsid w:val="00504E47"/>
    <w:rsid w:val="005051E3"/>
    <w:rsid w:val="0050608D"/>
    <w:rsid w:val="00506997"/>
    <w:rsid w:val="00506D27"/>
    <w:rsid w:val="005077BF"/>
    <w:rsid w:val="00507A3E"/>
    <w:rsid w:val="0051037B"/>
    <w:rsid w:val="00510715"/>
    <w:rsid w:val="00510764"/>
    <w:rsid w:val="00510D0A"/>
    <w:rsid w:val="00510FB4"/>
    <w:rsid w:val="0051149D"/>
    <w:rsid w:val="0051193B"/>
    <w:rsid w:val="00511968"/>
    <w:rsid w:val="00511A82"/>
    <w:rsid w:val="00511C4F"/>
    <w:rsid w:val="005125A5"/>
    <w:rsid w:val="00512B59"/>
    <w:rsid w:val="00512CA1"/>
    <w:rsid w:val="00514E29"/>
    <w:rsid w:val="00515ED3"/>
    <w:rsid w:val="00516466"/>
    <w:rsid w:val="0051669D"/>
    <w:rsid w:val="00516992"/>
    <w:rsid w:val="005169DF"/>
    <w:rsid w:val="005174B3"/>
    <w:rsid w:val="00520AE1"/>
    <w:rsid w:val="00520C89"/>
    <w:rsid w:val="00520FE6"/>
    <w:rsid w:val="005211DB"/>
    <w:rsid w:val="0052134A"/>
    <w:rsid w:val="00521912"/>
    <w:rsid w:val="00521DB2"/>
    <w:rsid w:val="0052207B"/>
    <w:rsid w:val="00522178"/>
    <w:rsid w:val="00522213"/>
    <w:rsid w:val="00523381"/>
    <w:rsid w:val="00524989"/>
    <w:rsid w:val="00524C08"/>
    <w:rsid w:val="00524F2E"/>
    <w:rsid w:val="005262B4"/>
    <w:rsid w:val="00527021"/>
    <w:rsid w:val="00527360"/>
    <w:rsid w:val="00527485"/>
    <w:rsid w:val="005275D2"/>
    <w:rsid w:val="0053132A"/>
    <w:rsid w:val="005319D7"/>
    <w:rsid w:val="005326C3"/>
    <w:rsid w:val="00532CFF"/>
    <w:rsid w:val="00532DBB"/>
    <w:rsid w:val="005336FB"/>
    <w:rsid w:val="00533741"/>
    <w:rsid w:val="00534253"/>
    <w:rsid w:val="00534548"/>
    <w:rsid w:val="0053476A"/>
    <w:rsid w:val="0053538D"/>
    <w:rsid w:val="00535501"/>
    <w:rsid w:val="0053588B"/>
    <w:rsid w:val="00536B93"/>
    <w:rsid w:val="00537262"/>
    <w:rsid w:val="0053730E"/>
    <w:rsid w:val="00537943"/>
    <w:rsid w:val="00537D22"/>
    <w:rsid w:val="00537EE2"/>
    <w:rsid w:val="0054021F"/>
    <w:rsid w:val="00540B1E"/>
    <w:rsid w:val="00540FFB"/>
    <w:rsid w:val="00541339"/>
    <w:rsid w:val="005416D3"/>
    <w:rsid w:val="00541A3A"/>
    <w:rsid w:val="00541A7A"/>
    <w:rsid w:val="00542D8D"/>
    <w:rsid w:val="00542E8F"/>
    <w:rsid w:val="005431B9"/>
    <w:rsid w:val="00543D30"/>
    <w:rsid w:val="00543DB4"/>
    <w:rsid w:val="00543F77"/>
    <w:rsid w:val="00544065"/>
    <w:rsid w:val="00544792"/>
    <w:rsid w:val="005447E2"/>
    <w:rsid w:val="00544B5F"/>
    <w:rsid w:val="00544E7A"/>
    <w:rsid w:val="0054561F"/>
    <w:rsid w:val="00545C66"/>
    <w:rsid w:val="00545C70"/>
    <w:rsid w:val="005465F6"/>
    <w:rsid w:val="00546F4C"/>
    <w:rsid w:val="00547E01"/>
    <w:rsid w:val="005502D7"/>
    <w:rsid w:val="00550364"/>
    <w:rsid w:val="0055070F"/>
    <w:rsid w:val="00550983"/>
    <w:rsid w:val="00550BDA"/>
    <w:rsid w:val="00550FF4"/>
    <w:rsid w:val="005512EA"/>
    <w:rsid w:val="005519B5"/>
    <w:rsid w:val="00552535"/>
    <w:rsid w:val="00552862"/>
    <w:rsid w:val="00552AEC"/>
    <w:rsid w:val="00552DCA"/>
    <w:rsid w:val="0055306B"/>
    <w:rsid w:val="00553184"/>
    <w:rsid w:val="005533DE"/>
    <w:rsid w:val="0055364D"/>
    <w:rsid w:val="005537DC"/>
    <w:rsid w:val="00553A84"/>
    <w:rsid w:val="00554478"/>
    <w:rsid w:val="00554674"/>
    <w:rsid w:val="00554A74"/>
    <w:rsid w:val="0055614C"/>
    <w:rsid w:val="005563DF"/>
    <w:rsid w:val="00556452"/>
    <w:rsid w:val="00556920"/>
    <w:rsid w:val="00556C82"/>
    <w:rsid w:val="00556D27"/>
    <w:rsid w:val="00557662"/>
    <w:rsid w:val="0056073C"/>
    <w:rsid w:val="0056118A"/>
    <w:rsid w:val="00561656"/>
    <w:rsid w:val="0056166A"/>
    <w:rsid w:val="005617A1"/>
    <w:rsid w:val="00562BDA"/>
    <w:rsid w:val="00562C0A"/>
    <w:rsid w:val="005640FA"/>
    <w:rsid w:val="00564F21"/>
    <w:rsid w:val="005651AE"/>
    <w:rsid w:val="005654F2"/>
    <w:rsid w:val="00565939"/>
    <w:rsid w:val="00565BB8"/>
    <w:rsid w:val="00566020"/>
    <w:rsid w:val="00566440"/>
    <w:rsid w:val="00566724"/>
    <w:rsid w:val="00566794"/>
    <w:rsid w:val="00566AAB"/>
    <w:rsid w:val="00566D06"/>
    <w:rsid w:val="005670FF"/>
    <w:rsid w:val="005673FD"/>
    <w:rsid w:val="00567469"/>
    <w:rsid w:val="005675A6"/>
    <w:rsid w:val="00567E27"/>
    <w:rsid w:val="005710C2"/>
    <w:rsid w:val="005710E6"/>
    <w:rsid w:val="00571393"/>
    <w:rsid w:val="00571B55"/>
    <w:rsid w:val="00571EF8"/>
    <w:rsid w:val="005723AA"/>
    <w:rsid w:val="005727E9"/>
    <w:rsid w:val="005729A1"/>
    <w:rsid w:val="00572EC8"/>
    <w:rsid w:val="005731D0"/>
    <w:rsid w:val="00573345"/>
    <w:rsid w:val="0057373F"/>
    <w:rsid w:val="00574AD6"/>
    <w:rsid w:val="00574D1E"/>
    <w:rsid w:val="00574EE4"/>
    <w:rsid w:val="0057582C"/>
    <w:rsid w:val="00576BFD"/>
    <w:rsid w:val="00576F86"/>
    <w:rsid w:val="00580A8A"/>
    <w:rsid w:val="00580E9A"/>
    <w:rsid w:val="00581400"/>
    <w:rsid w:val="00581414"/>
    <w:rsid w:val="00581667"/>
    <w:rsid w:val="00581B2E"/>
    <w:rsid w:val="00582C40"/>
    <w:rsid w:val="00582D7B"/>
    <w:rsid w:val="00582E58"/>
    <w:rsid w:val="00582F0E"/>
    <w:rsid w:val="00583655"/>
    <w:rsid w:val="0058387A"/>
    <w:rsid w:val="00583CF7"/>
    <w:rsid w:val="005845DC"/>
    <w:rsid w:val="00584E84"/>
    <w:rsid w:val="005852F0"/>
    <w:rsid w:val="00585AB0"/>
    <w:rsid w:val="00585EEF"/>
    <w:rsid w:val="005862C8"/>
    <w:rsid w:val="005863BD"/>
    <w:rsid w:val="00586A15"/>
    <w:rsid w:val="00586DD1"/>
    <w:rsid w:val="0058762B"/>
    <w:rsid w:val="00587900"/>
    <w:rsid w:val="005879D9"/>
    <w:rsid w:val="005904C5"/>
    <w:rsid w:val="00590EAD"/>
    <w:rsid w:val="0059189A"/>
    <w:rsid w:val="00591E0C"/>
    <w:rsid w:val="005933D1"/>
    <w:rsid w:val="00593C64"/>
    <w:rsid w:val="00594289"/>
    <w:rsid w:val="00594D14"/>
    <w:rsid w:val="005953BA"/>
    <w:rsid w:val="00595552"/>
    <w:rsid w:val="00595876"/>
    <w:rsid w:val="00595A1C"/>
    <w:rsid w:val="00595F3F"/>
    <w:rsid w:val="00596230"/>
    <w:rsid w:val="00596A32"/>
    <w:rsid w:val="00597191"/>
    <w:rsid w:val="005979A7"/>
    <w:rsid w:val="00597B87"/>
    <w:rsid w:val="00597C5F"/>
    <w:rsid w:val="005A0B77"/>
    <w:rsid w:val="005A14CF"/>
    <w:rsid w:val="005A1725"/>
    <w:rsid w:val="005A1B51"/>
    <w:rsid w:val="005A1C80"/>
    <w:rsid w:val="005A2129"/>
    <w:rsid w:val="005A295B"/>
    <w:rsid w:val="005A30E6"/>
    <w:rsid w:val="005A3B70"/>
    <w:rsid w:val="005A3D64"/>
    <w:rsid w:val="005A3DA9"/>
    <w:rsid w:val="005A693D"/>
    <w:rsid w:val="005A69D0"/>
    <w:rsid w:val="005A7218"/>
    <w:rsid w:val="005A7A6C"/>
    <w:rsid w:val="005A7AF4"/>
    <w:rsid w:val="005A7D64"/>
    <w:rsid w:val="005B046C"/>
    <w:rsid w:val="005B0820"/>
    <w:rsid w:val="005B08BD"/>
    <w:rsid w:val="005B1054"/>
    <w:rsid w:val="005B151D"/>
    <w:rsid w:val="005B1D43"/>
    <w:rsid w:val="005B1DE5"/>
    <w:rsid w:val="005B2701"/>
    <w:rsid w:val="005B2C2E"/>
    <w:rsid w:val="005B308F"/>
    <w:rsid w:val="005B3AAB"/>
    <w:rsid w:val="005B3DEE"/>
    <w:rsid w:val="005B3DF2"/>
    <w:rsid w:val="005B448C"/>
    <w:rsid w:val="005B4578"/>
    <w:rsid w:val="005B472C"/>
    <w:rsid w:val="005B57C8"/>
    <w:rsid w:val="005B6605"/>
    <w:rsid w:val="005B6641"/>
    <w:rsid w:val="005B66D1"/>
    <w:rsid w:val="005B7B1F"/>
    <w:rsid w:val="005C09DF"/>
    <w:rsid w:val="005C113C"/>
    <w:rsid w:val="005C1B3B"/>
    <w:rsid w:val="005C1EAB"/>
    <w:rsid w:val="005C2BA5"/>
    <w:rsid w:val="005C2C1A"/>
    <w:rsid w:val="005C3072"/>
    <w:rsid w:val="005C3443"/>
    <w:rsid w:val="005C34AD"/>
    <w:rsid w:val="005C3776"/>
    <w:rsid w:val="005C408C"/>
    <w:rsid w:val="005C41D0"/>
    <w:rsid w:val="005C6327"/>
    <w:rsid w:val="005C675E"/>
    <w:rsid w:val="005C6812"/>
    <w:rsid w:val="005C6AF3"/>
    <w:rsid w:val="005C7FDA"/>
    <w:rsid w:val="005D0073"/>
    <w:rsid w:val="005D0624"/>
    <w:rsid w:val="005D1313"/>
    <w:rsid w:val="005D1617"/>
    <w:rsid w:val="005D181E"/>
    <w:rsid w:val="005D1E62"/>
    <w:rsid w:val="005D4EC8"/>
    <w:rsid w:val="005D5AF3"/>
    <w:rsid w:val="005D693C"/>
    <w:rsid w:val="005D6AD0"/>
    <w:rsid w:val="005D6E11"/>
    <w:rsid w:val="005D7206"/>
    <w:rsid w:val="005D73B6"/>
    <w:rsid w:val="005D74D8"/>
    <w:rsid w:val="005D7830"/>
    <w:rsid w:val="005D796D"/>
    <w:rsid w:val="005D7F6B"/>
    <w:rsid w:val="005D7F84"/>
    <w:rsid w:val="005E0823"/>
    <w:rsid w:val="005E14C2"/>
    <w:rsid w:val="005E1F32"/>
    <w:rsid w:val="005E2142"/>
    <w:rsid w:val="005E2315"/>
    <w:rsid w:val="005E30CB"/>
    <w:rsid w:val="005E30CF"/>
    <w:rsid w:val="005E34AB"/>
    <w:rsid w:val="005E34CA"/>
    <w:rsid w:val="005E3D29"/>
    <w:rsid w:val="005E3E3D"/>
    <w:rsid w:val="005E4112"/>
    <w:rsid w:val="005E47FA"/>
    <w:rsid w:val="005E4F1C"/>
    <w:rsid w:val="005E51DA"/>
    <w:rsid w:val="005E5615"/>
    <w:rsid w:val="005E5C5F"/>
    <w:rsid w:val="005E5CE4"/>
    <w:rsid w:val="005E5D3D"/>
    <w:rsid w:val="005E6131"/>
    <w:rsid w:val="005E6B80"/>
    <w:rsid w:val="005E6F8B"/>
    <w:rsid w:val="005E6FED"/>
    <w:rsid w:val="005F0D4B"/>
    <w:rsid w:val="005F1E2B"/>
    <w:rsid w:val="005F1E45"/>
    <w:rsid w:val="005F2096"/>
    <w:rsid w:val="005F2FA0"/>
    <w:rsid w:val="005F3CC1"/>
    <w:rsid w:val="005F3CE9"/>
    <w:rsid w:val="005F44FE"/>
    <w:rsid w:val="005F47E9"/>
    <w:rsid w:val="005F5826"/>
    <w:rsid w:val="005F5AAD"/>
    <w:rsid w:val="005F62FA"/>
    <w:rsid w:val="005F64E2"/>
    <w:rsid w:val="005F6B77"/>
    <w:rsid w:val="005F6CD0"/>
    <w:rsid w:val="005F791F"/>
    <w:rsid w:val="006002B6"/>
    <w:rsid w:val="00600EA6"/>
    <w:rsid w:val="00600F3A"/>
    <w:rsid w:val="006011DA"/>
    <w:rsid w:val="00601374"/>
    <w:rsid w:val="00601552"/>
    <w:rsid w:val="006016B7"/>
    <w:rsid w:val="006027CA"/>
    <w:rsid w:val="00603436"/>
    <w:rsid w:val="006035EB"/>
    <w:rsid w:val="00603BA0"/>
    <w:rsid w:val="00603E8C"/>
    <w:rsid w:val="00603E94"/>
    <w:rsid w:val="006052CF"/>
    <w:rsid w:val="00605A9A"/>
    <w:rsid w:val="00605D39"/>
    <w:rsid w:val="00606606"/>
    <w:rsid w:val="0060665E"/>
    <w:rsid w:val="00606BD7"/>
    <w:rsid w:val="0060748C"/>
    <w:rsid w:val="00607BA5"/>
    <w:rsid w:val="00607C80"/>
    <w:rsid w:val="00610183"/>
    <w:rsid w:val="00610D91"/>
    <w:rsid w:val="0061180A"/>
    <w:rsid w:val="006119E4"/>
    <w:rsid w:val="00611CED"/>
    <w:rsid w:val="0061301B"/>
    <w:rsid w:val="0061394C"/>
    <w:rsid w:val="00614A66"/>
    <w:rsid w:val="00614AD8"/>
    <w:rsid w:val="00614FDC"/>
    <w:rsid w:val="00615177"/>
    <w:rsid w:val="00616483"/>
    <w:rsid w:val="00617703"/>
    <w:rsid w:val="006179F1"/>
    <w:rsid w:val="006201AA"/>
    <w:rsid w:val="0062092B"/>
    <w:rsid w:val="00621036"/>
    <w:rsid w:val="006214C7"/>
    <w:rsid w:val="00621F7C"/>
    <w:rsid w:val="00622097"/>
    <w:rsid w:val="00622224"/>
    <w:rsid w:val="00622BC3"/>
    <w:rsid w:val="0062321B"/>
    <w:rsid w:val="00623644"/>
    <w:rsid w:val="00623964"/>
    <w:rsid w:val="00624543"/>
    <w:rsid w:val="0062506C"/>
    <w:rsid w:val="006255F7"/>
    <w:rsid w:val="006261BE"/>
    <w:rsid w:val="00626900"/>
    <w:rsid w:val="00626BEC"/>
    <w:rsid w:val="00626D4B"/>
    <w:rsid w:val="00626EB6"/>
    <w:rsid w:val="00626F89"/>
    <w:rsid w:val="00627063"/>
    <w:rsid w:val="00627241"/>
    <w:rsid w:val="00627ADE"/>
    <w:rsid w:val="006314DF"/>
    <w:rsid w:val="006316A1"/>
    <w:rsid w:val="00631A20"/>
    <w:rsid w:val="006328D2"/>
    <w:rsid w:val="00633A4A"/>
    <w:rsid w:val="00633D51"/>
    <w:rsid w:val="00633F09"/>
    <w:rsid w:val="0063522C"/>
    <w:rsid w:val="00635360"/>
    <w:rsid w:val="00635EE6"/>
    <w:rsid w:val="00635FEF"/>
    <w:rsid w:val="0063637B"/>
    <w:rsid w:val="006366D6"/>
    <w:rsid w:val="00637369"/>
    <w:rsid w:val="006374E4"/>
    <w:rsid w:val="0064001C"/>
    <w:rsid w:val="00640315"/>
    <w:rsid w:val="006406BF"/>
    <w:rsid w:val="00641699"/>
    <w:rsid w:val="00641E7C"/>
    <w:rsid w:val="006421B0"/>
    <w:rsid w:val="00642988"/>
    <w:rsid w:val="00643413"/>
    <w:rsid w:val="00643533"/>
    <w:rsid w:val="00643679"/>
    <w:rsid w:val="006438A2"/>
    <w:rsid w:val="006440BC"/>
    <w:rsid w:val="0064414C"/>
    <w:rsid w:val="00645117"/>
    <w:rsid w:val="00645466"/>
    <w:rsid w:val="00645877"/>
    <w:rsid w:val="006458F0"/>
    <w:rsid w:val="00646114"/>
    <w:rsid w:val="00646C0C"/>
    <w:rsid w:val="00646D5C"/>
    <w:rsid w:val="00647FC5"/>
    <w:rsid w:val="006507E7"/>
    <w:rsid w:val="00650811"/>
    <w:rsid w:val="0065105E"/>
    <w:rsid w:val="006511AC"/>
    <w:rsid w:val="00651301"/>
    <w:rsid w:val="006515DA"/>
    <w:rsid w:val="00651998"/>
    <w:rsid w:val="00651B8C"/>
    <w:rsid w:val="00651E66"/>
    <w:rsid w:val="00652095"/>
    <w:rsid w:val="006523CC"/>
    <w:rsid w:val="006536AF"/>
    <w:rsid w:val="00653CE0"/>
    <w:rsid w:val="0065482D"/>
    <w:rsid w:val="00654D23"/>
    <w:rsid w:val="00655286"/>
    <w:rsid w:val="006555C2"/>
    <w:rsid w:val="00655CCC"/>
    <w:rsid w:val="00655D03"/>
    <w:rsid w:val="00655E38"/>
    <w:rsid w:val="006562C3"/>
    <w:rsid w:val="006566B2"/>
    <w:rsid w:val="00656A12"/>
    <w:rsid w:val="00657625"/>
    <w:rsid w:val="00660355"/>
    <w:rsid w:val="00660CBE"/>
    <w:rsid w:val="00661151"/>
    <w:rsid w:val="00661225"/>
    <w:rsid w:val="00661B49"/>
    <w:rsid w:val="00661F89"/>
    <w:rsid w:val="00662EA1"/>
    <w:rsid w:val="00663573"/>
    <w:rsid w:val="006638B5"/>
    <w:rsid w:val="00663DA1"/>
    <w:rsid w:val="00663E74"/>
    <w:rsid w:val="006644E3"/>
    <w:rsid w:val="0066626D"/>
    <w:rsid w:val="006665DE"/>
    <w:rsid w:val="0066677B"/>
    <w:rsid w:val="00666BB3"/>
    <w:rsid w:val="006674A8"/>
    <w:rsid w:val="0067045A"/>
    <w:rsid w:val="00671122"/>
    <w:rsid w:val="006715F2"/>
    <w:rsid w:val="006717FD"/>
    <w:rsid w:val="00671CD1"/>
    <w:rsid w:val="00671FDC"/>
    <w:rsid w:val="00672D46"/>
    <w:rsid w:val="0067320F"/>
    <w:rsid w:val="0067365E"/>
    <w:rsid w:val="006736D6"/>
    <w:rsid w:val="00673BC9"/>
    <w:rsid w:val="00674230"/>
    <w:rsid w:val="006747DB"/>
    <w:rsid w:val="00674ABA"/>
    <w:rsid w:val="00674BB3"/>
    <w:rsid w:val="00674DF1"/>
    <w:rsid w:val="00675A6D"/>
    <w:rsid w:val="00676C5C"/>
    <w:rsid w:val="006778A5"/>
    <w:rsid w:val="00677C56"/>
    <w:rsid w:val="0068000F"/>
    <w:rsid w:val="0068004C"/>
    <w:rsid w:val="006803B2"/>
    <w:rsid w:val="0068046D"/>
    <w:rsid w:val="00680808"/>
    <w:rsid w:val="00680A87"/>
    <w:rsid w:val="00680C71"/>
    <w:rsid w:val="00680F53"/>
    <w:rsid w:val="00681088"/>
    <w:rsid w:val="00681AE2"/>
    <w:rsid w:val="0068214A"/>
    <w:rsid w:val="0068252E"/>
    <w:rsid w:val="00682B08"/>
    <w:rsid w:val="00682DB3"/>
    <w:rsid w:val="00683388"/>
    <w:rsid w:val="00683CFF"/>
    <w:rsid w:val="00683F84"/>
    <w:rsid w:val="00684104"/>
    <w:rsid w:val="0068417B"/>
    <w:rsid w:val="00684541"/>
    <w:rsid w:val="006846B2"/>
    <w:rsid w:val="00684C63"/>
    <w:rsid w:val="00684EB6"/>
    <w:rsid w:val="0068508C"/>
    <w:rsid w:val="00685B97"/>
    <w:rsid w:val="00686760"/>
    <w:rsid w:val="006867E9"/>
    <w:rsid w:val="00686949"/>
    <w:rsid w:val="00686B2C"/>
    <w:rsid w:val="00686D32"/>
    <w:rsid w:val="00687065"/>
    <w:rsid w:val="006905F3"/>
    <w:rsid w:val="00691E6F"/>
    <w:rsid w:val="00692E9D"/>
    <w:rsid w:val="006932F9"/>
    <w:rsid w:val="0069348A"/>
    <w:rsid w:val="00693C1A"/>
    <w:rsid w:val="00694258"/>
    <w:rsid w:val="006943A5"/>
    <w:rsid w:val="006943D2"/>
    <w:rsid w:val="00694564"/>
    <w:rsid w:val="00694590"/>
    <w:rsid w:val="00694607"/>
    <w:rsid w:val="00694DCE"/>
    <w:rsid w:val="006951D1"/>
    <w:rsid w:val="00695439"/>
    <w:rsid w:val="0069576E"/>
    <w:rsid w:val="00695B81"/>
    <w:rsid w:val="00696075"/>
    <w:rsid w:val="006971B7"/>
    <w:rsid w:val="00697909"/>
    <w:rsid w:val="00697F8C"/>
    <w:rsid w:val="006A0387"/>
    <w:rsid w:val="006A0BBF"/>
    <w:rsid w:val="006A0DE0"/>
    <w:rsid w:val="006A128F"/>
    <w:rsid w:val="006A2CFB"/>
    <w:rsid w:val="006A33FF"/>
    <w:rsid w:val="006A39A0"/>
    <w:rsid w:val="006A4375"/>
    <w:rsid w:val="006A44D7"/>
    <w:rsid w:val="006A4683"/>
    <w:rsid w:val="006A4E12"/>
    <w:rsid w:val="006A4EC0"/>
    <w:rsid w:val="006A5F41"/>
    <w:rsid w:val="006A6868"/>
    <w:rsid w:val="006A6A81"/>
    <w:rsid w:val="006A7139"/>
    <w:rsid w:val="006A71BC"/>
    <w:rsid w:val="006A7C20"/>
    <w:rsid w:val="006A7D31"/>
    <w:rsid w:val="006B0467"/>
    <w:rsid w:val="006B0ED6"/>
    <w:rsid w:val="006B0F2B"/>
    <w:rsid w:val="006B13E2"/>
    <w:rsid w:val="006B23E1"/>
    <w:rsid w:val="006B3041"/>
    <w:rsid w:val="006B31E6"/>
    <w:rsid w:val="006B3AEF"/>
    <w:rsid w:val="006B3ED6"/>
    <w:rsid w:val="006B45FF"/>
    <w:rsid w:val="006B4946"/>
    <w:rsid w:val="006B4C9A"/>
    <w:rsid w:val="006B57D5"/>
    <w:rsid w:val="006B5A60"/>
    <w:rsid w:val="006B6369"/>
    <w:rsid w:val="006B7A51"/>
    <w:rsid w:val="006B7AB4"/>
    <w:rsid w:val="006B7B7D"/>
    <w:rsid w:val="006C013B"/>
    <w:rsid w:val="006C043E"/>
    <w:rsid w:val="006C0731"/>
    <w:rsid w:val="006C0840"/>
    <w:rsid w:val="006C0B47"/>
    <w:rsid w:val="006C1555"/>
    <w:rsid w:val="006C16AE"/>
    <w:rsid w:val="006C1A35"/>
    <w:rsid w:val="006C1B4D"/>
    <w:rsid w:val="006C2D42"/>
    <w:rsid w:val="006C30B5"/>
    <w:rsid w:val="006C34F4"/>
    <w:rsid w:val="006C3FB3"/>
    <w:rsid w:val="006C4291"/>
    <w:rsid w:val="006C52B0"/>
    <w:rsid w:val="006C59D7"/>
    <w:rsid w:val="006C61AC"/>
    <w:rsid w:val="006C6781"/>
    <w:rsid w:val="006C74B8"/>
    <w:rsid w:val="006C7FC8"/>
    <w:rsid w:val="006D04E8"/>
    <w:rsid w:val="006D0831"/>
    <w:rsid w:val="006D161C"/>
    <w:rsid w:val="006D2A46"/>
    <w:rsid w:val="006D2BD8"/>
    <w:rsid w:val="006D32C1"/>
    <w:rsid w:val="006D3D6D"/>
    <w:rsid w:val="006D4166"/>
    <w:rsid w:val="006D417E"/>
    <w:rsid w:val="006D4322"/>
    <w:rsid w:val="006D492E"/>
    <w:rsid w:val="006D5198"/>
    <w:rsid w:val="006D5C20"/>
    <w:rsid w:val="006D61EC"/>
    <w:rsid w:val="006D78D2"/>
    <w:rsid w:val="006D7C0B"/>
    <w:rsid w:val="006D7E46"/>
    <w:rsid w:val="006E10D4"/>
    <w:rsid w:val="006E1A55"/>
    <w:rsid w:val="006E22C1"/>
    <w:rsid w:val="006E22D5"/>
    <w:rsid w:val="006E2459"/>
    <w:rsid w:val="006E2794"/>
    <w:rsid w:val="006E2B43"/>
    <w:rsid w:val="006E2F49"/>
    <w:rsid w:val="006E45C2"/>
    <w:rsid w:val="006E4697"/>
    <w:rsid w:val="006E4A3A"/>
    <w:rsid w:val="006E513D"/>
    <w:rsid w:val="006E586F"/>
    <w:rsid w:val="006E5AB1"/>
    <w:rsid w:val="006E7049"/>
    <w:rsid w:val="006E723E"/>
    <w:rsid w:val="006E7578"/>
    <w:rsid w:val="006F09BB"/>
    <w:rsid w:val="006F0AF5"/>
    <w:rsid w:val="006F1086"/>
    <w:rsid w:val="006F1BEC"/>
    <w:rsid w:val="006F23A8"/>
    <w:rsid w:val="006F2581"/>
    <w:rsid w:val="006F292F"/>
    <w:rsid w:val="006F2FD6"/>
    <w:rsid w:val="006F416A"/>
    <w:rsid w:val="006F44CB"/>
    <w:rsid w:val="006F49BC"/>
    <w:rsid w:val="006F5148"/>
    <w:rsid w:val="006F66A5"/>
    <w:rsid w:val="006F7393"/>
    <w:rsid w:val="006F751A"/>
    <w:rsid w:val="007006D5"/>
    <w:rsid w:val="00700D6F"/>
    <w:rsid w:val="0070105B"/>
    <w:rsid w:val="007014F5"/>
    <w:rsid w:val="007020A1"/>
    <w:rsid w:val="0070224F"/>
    <w:rsid w:val="00702A41"/>
    <w:rsid w:val="00702B84"/>
    <w:rsid w:val="00703BE9"/>
    <w:rsid w:val="007046D0"/>
    <w:rsid w:val="00704736"/>
    <w:rsid w:val="00704771"/>
    <w:rsid w:val="007054E3"/>
    <w:rsid w:val="00705604"/>
    <w:rsid w:val="007060A5"/>
    <w:rsid w:val="007064EA"/>
    <w:rsid w:val="0070680C"/>
    <w:rsid w:val="007077C8"/>
    <w:rsid w:val="0071025B"/>
    <w:rsid w:val="007109A0"/>
    <w:rsid w:val="007110D5"/>
    <w:rsid w:val="007115F7"/>
    <w:rsid w:val="00711766"/>
    <w:rsid w:val="00711AAB"/>
    <w:rsid w:val="00712260"/>
    <w:rsid w:val="0071253E"/>
    <w:rsid w:val="00712B50"/>
    <w:rsid w:val="00713944"/>
    <w:rsid w:val="00713988"/>
    <w:rsid w:val="007145F9"/>
    <w:rsid w:val="007148DC"/>
    <w:rsid w:val="00714A7F"/>
    <w:rsid w:val="00714FA7"/>
    <w:rsid w:val="00716751"/>
    <w:rsid w:val="0071686C"/>
    <w:rsid w:val="0071698D"/>
    <w:rsid w:val="00716AEE"/>
    <w:rsid w:val="007177DC"/>
    <w:rsid w:val="00717BCF"/>
    <w:rsid w:val="00717F04"/>
    <w:rsid w:val="00720255"/>
    <w:rsid w:val="00721134"/>
    <w:rsid w:val="0072128D"/>
    <w:rsid w:val="0072144C"/>
    <w:rsid w:val="0072162D"/>
    <w:rsid w:val="00721687"/>
    <w:rsid w:val="00721CBA"/>
    <w:rsid w:val="00721E5A"/>
    <w:rsid w:val="00723690"/>
    <w:rsid w:val="00723E2D"/>
    <w:rsid w:val="00723EBE"/>
    <w:rsid w:val="00725296"/>
    <w:rsid w:val="0072570A"/>
    <w:rsid w:val="00725C43"/>
    <w:rsid w:val="00726E4B"/>
    <w:rsid w:val="0073191A"/>
    <w:rsid w:val="00731BEA"/>
    <w:rsid w:val="00731EE6"/>
    <w:rsid w:val="00732CC5"/>
    <w:rsid w:val="00732E64"/>
    <w:rsid w:val="007330ED"/>
    <w:rsid w:val="00733E8B"/>
    <w:rsid w:val="007347E7"/>
    <w:rsid w:val="007347FA"/>
    <w:rsid w:val="00735009"/>
    <w:rsid w:val="007357DE"/>
    <w:rsid w:val="0073581E"/>
    <w:rsid w:val="007358B3"/>
    <w:rsid w:val="00737DC2"/>
    <w:rsid w:val="00737F14"/>
    <w:rsid w:val="0074030A"/>
    <w:rsid w:val="0074044E"/>
    <w:rsid w:val="007415EE"/>
    <w:rsid w:val="00741857"/>
    <w:rsid w:val="00741B6F"/>
    <w:rsid w:val="00741BF9"/>
    <w:rsid w:val="00741C2D"/>
    <w:rsid w:val="0074377D"/>
    <w:rsid w:val="007437FD"/>
    <w:rsid w:val="00743DF6"/>
    <w:rsid w:val="00744378"/>
    <w:rsid w:val="00744EFA"/>
    <w:rsid w:val="00745C23"/>
    <w:rsid w:val="007466FC"/>
    <w:rsid w:val="0074687F"/>
    <w:rsid w:val="007470E2"/>
    <w:rsid w:val="00750B53"/>
    <w:rsid w:val="007510E6"/>
    <w:rsid w:val="00751724"/>
    <w:rsid w:val="00751F78"/>
    <w:rsid w:val="00752142"/>
    <w:rsid w:val="00752DDE"/>
    <w:rsid w:val="00752EEF"/>
    <w:rsid w:val="00753473"/>
    <w:rsid w:val="00754CB6"/>
    <w:rsid w:val="00754CF9"/>
    <w:rsid w:val="007551AA"/>
    <w:rsid w:val="00755CD4"/>
    <w:rsid w:val="0075655C"/>
    <w:rsid w:val="0075707B"/>
    <w:rsid w:val="00757E32"/>
    <w:rsid w:val="00760367"/>
    <w:rsid w:val="00760B75"/>
    <w:rsid w:val="00761854"/>
    <w:rsid w:val="00761A2C"/>
    <w:rsid w:val="00761D8B"/>
    <w:rsid w:val="00762A12"/>
    <w:rsid w:val="00763FDE"/>
    <w:rsid w:val="00764FC1"/>
    <w:rsid w:val="00765A47"/>
    <w:rsid w:val="00766211"/>
    <w:rsid w:val="00766265"/>
    <w:rsid w:val="00766B48"/>
    <w:rsid w:val="00766FDD"/>
    <w:rsid w:val="007671E9"/>
    <w:rsid w:val="0076727D"/>
    <w:rsid w:val="007679CC"/>
    <w:rsid w:val="0077014D"/>
    <w:rsid w:val="007702CF"/>
    <w:rsid w:val="007713CA"/>
    <w:rsid w:val="0077269E"/>
    <w:rsid w:val="00772CB3"/>
    <w:rsid w:val="00773165"/>
    <w:rsid w:val="00773A3E"/>
    <w:rsid w:val="00773C8F"/>
    <w:rsid w:val="00775CBF"/>
    <w:rsid w:val="007771B6"/>
    <w:rsid w:val="00777286"/>
    <w:rsid w:val="00777323"/>
    <w:rsid w:val="00777768"/>
    <w:rsid w:val="00777FAE"/>
    <w:rsid w:val="0078066F"/>
    <w:rsid w:val="00780840"/>
    <w:rsid w:val="00780A84"/>
    <w:rsid w:val="00780F5B"/>
    <w:rsid w:val="00781566"/>
    <w:rsid w:val="007817E5"/>
    <w:rsid w:val="00782D24"/>
    <w:rsid w:val="00782E02"/>
    <w:rsid w:val="00782FB1"/>
    <w:rsid w:val="00783267"/>
    <w:rsid w:val="00783329"/>
    <w:rsid w:val="007837E4"/>
    <w:rsid w:val="00784060"/>
    <w:rsid w:val="00784138"/>
    <w:rsid w:val="00785689"/>
    <w:rsid w:val="007859AC"/>
    <w:rsid w:val="007865D0"/>
    <w:rsid w:val="0078695D"/>
    <w:rsid w:val="00786DC0"/>
    <w:rsid w:val="00787256"/>
    <w:rsid w:val="007875DD"/>
    <w:rsid w:val="00787D97"/>
    <w:rsid w:val="00787EEE"/>
    <w:rsid w:val="00790C96"/>
    <w:rsid w:val="00791056"/>
    <w:rsid w:val="007910E3"/>
    <w:rsid w:val="00791BD3"/>
    <w:rsid w:val="00792341"/>
    <w:rsid w:val="007924C6"/>
    <w:rsid w:val="00792B41"/>
    <w:rsid w:val="007930FA"/>
    <w:rsid w:val="00793DEC"/>
    <w:rsid w:val="0079451F"/>
    <w:rsid w:val="007945E1"/>
    <w:rsid w:val="00794B89"/>
    <w:rsid w:val="007965FC"/>
    <w:rsid w:val="00797170"/>
    <w:rsid w:val="0079754B"/>
    <w:rsid w:val="00797678"/>
    <w:rsid w:val="00797E9A"/>
    <w:rsid w:val="00797F39"/>
    <w:rsid w:val="007A00E6"/>
    <w:rsid w:val="007A067F"/>
    <w:rsid w:val="007A1B51"/>
    <w:rsid w:val="007A1D5C"/>
    <w:rsid w:val="007A1E6D"/>
    <w:rsid w:val="007A20F3"/>
    <w:rsid w:val="007A2584"/>
    <w:rsid w:val="007A25CA"/>
    <w:rsid w:val="007A2BB5"/>
    <w:rsid w:val="007A2CE1"/>
    <w:rsid w:val="007A309F"/>
    <w:rsid w:val="007A3F10"/>
    <w:rsid w:val="007A46C4"/>
    <w:rsid w:val="007A4848"/>
    <w:rsid w:val="007A49C1"/>
    <w:rsid w:val="007A50DB"/>
    <w:rsid w:val="007A5343"/>
    <w:rsid w:val="007A5B18"/>
    <w:rsid w:val="007A692B"/>
    <w:rsid w:val="007A6B07"/>
    <w:rsid w:val="007A6B59"/>
    <w:rsid w:val="007A7465"/>
    <w:rsid w:val="007B03F3"/>
    <w:rsid w:val="007B0B1E"/>
    <w:rsid w:val="007B0B4D"/>
    <w:rsid w:val="007B0EB2"/>
    <w:rsid w:val="007B173E"/>
    <w:rsid w:val="007B1C02"/>
    <w:rsid w:val="007B25FC"/>
    <w:rsid w:val="007B295A"/>
    <w:rsid w:val="007B323D"/>
    <w:rsid w:val="007B3464"/>
    <w:rsid w:val="007B34F3"/>
    <w:rsid w:val="007B3636"/>
    <w:rsid w:val="007B3B16"/>
    <w:rsid w:val="007B3DFB"/>
    <w:rsid w:val="007B41A9"/>
    <w:rsid w:val="007B4289"/>
    <w:rsid w:val="007B42B2"/>
    <w:rsid w:val="007B45E2"/>
    <w:rsid w:val="007B4708"/>
    <w:rsid w:val="007B57D7"/>
    <w:rsid w:val="007B5B40"/>
    <w:rsid w:val="007B5D15"/>
    <w:rsid w:val="007B6891"/>
    <w:rsid w:val="007B6AA2"/>
    <w:rsid w:val="007B6CBF"/>
    <w:rsid w:val="007B7093"/>
    <w:rsid w:val="007B72F6"/>
    <w:rsid w:val="007C0866"/>
    <w:rsid w:val="007C0917"/>
    <w:rsid w:val="007C12B1"/>
    <w:rsid w:val="007C16D2"/>
    <w:rsid w:val="007C1C97"/>
    <w:rsid w:val="007C22AA"/>
    <w:rsid w:val="007C23C2"/>
    <w:rsid w:val="007C258E"/>
    <w:rsid w:val="007C2660"/>
    <w:rsid w:val="007C26A0"/>
    <w:rsid w:val="007C2A74"/>
    <w:rsid w:val="007C3FC5"/>
    <w:rsid w:val="007C42D1"/>
    <w:rsid w:val="007C446E"/>
    <w:rsid w:val="007C44FE"/>
    <w:rsid w:val="007C4E0D"/>
    <w:rsid w:val="007C5ADD"/>
    <w:rsid w:val="007C6999"/>
    <w:rsid w:val="007C6B9B"/>
    <w:rsid w:val="007C70A2"/>
    <w:rsid w:val="007D0042"/>
    <w:rsid w:val="007D0280"/>
    <w:rsid w:val="007D0884"/>
    <w:rsid w:val="007D0A50"/>
    <w:rsid w:val="007D1251"/>
    <w:rsid w:val="007D20E2"/>
    <w:rsid w:val="007D2A44"/>
    <w:rsid w:val="007D2EDB"/>
    <w:rsid w:val="007D3472"/>
    <w:rsid w:val="007D34E1"/>
    <w:rsid w:val="007D449E"/>
    <w:rsid w:val="007D4C62"/>
    <w:rsid w:val="007D5309"/>
    <w:rsid w:val="007D6A51"/>
    <w:rsid w:val="007D6D54"/>
    <w:rsid w:val="007D70F4"/>
    <w:rsid w:val="007D745B"/>
    <w:rsid w:val="007D7C3B"/>
    <w:rsid w:val="007D7E1C"/>
    <w:rsid w:val="007D7EAE"/>
    <w:rsid w:val="007E02D6"/>
    <w:rsid w:val="007E03E5"/>
    <w:rsid w:val="007E14E0"/>
    <w:rsid w:val="007E157B"/>
    <w:rsid w:val="007E19EC"/>
    <w:rsid w:val="007E20A2"/>
    <w:rsid w:val="007E210B"/>
    <w:rsid w:val="007E22A9"/>
    <w:rsid w:val="007E35BF"/>
    <w:rsid w:val="007E38CB"/>
    <w:rsid w:val="007E39E8"/>
    <w:rsid w:val="007E40A8"/>
    <w:rsid w:val="007E4815"/>
    <w:rsid w:val="007E4957"/>
    <w:rsid w:val="007E609E"/>
    <w:rsid w:val="007E6C83"/>
    <w:rsid w:val="007E74B4"/>
    <w:rsid w:val="007E7D35"/>
    <w:rsid w:val="007F012D"/>
    <w:rsid w:val="007F0F10"/>
    <w:rsid w:val="007F114C"/>
    <w:rsid w:val="007F367B"/>
    <w:rsid w:val="007F3B70"/>
    <w:rsid w:val="007F403E"/>
    <w:rsid w:val="007F420E"/>
    <w:rsid w:val="007F4394"/>
    <w:rsid w:val="007F453A"/>
    <w:rsid w:val="007F5A52"/>
    <w:rsid w:val="007F5BC2"/>
    <w:rsid w:val="007F6C81"/>
    <w:rsid w:val="007F6E82"/>
    <w:rsid w:val="007F71C6"/>
    <w:rsid w:val="007F7352"/>
    <w:rsid w:val="007F7FB5"/>
    <w:rsid w:val="00801393"/>
    <w:rsid w:val="00801419"/>
    <w:rsid w:val="00801700"/>
    <w:rsid w:val="00801706"/>
    <w:rsid w:val="00801CEC"/>
    <w:rsid w:val="00801E98"/>
    <w:rsid w:val="0080271E"/>
    <w:rsid w:val="00802B9E"/>
    <w:rsid w:val="0080351C"/>
    <w:rsid w:val="008037BE"/>
    <w:rsid w:val="00803CB1"/>
    <w:rsid w:val="00803FA7"/>
    <w:rsid w:val="0080402E"/>
    <w:rsid w:val="00804AAC"/>
    <w:rsid w:val="00805AB2"/>
    <w:rsid w:val="00806418"/>
    <w:rsid w:val="008065EC"/>
    <w:rsid w:val="0080668A"/>
    <w:rsid w:val="00806D95"/>
    <w:rsid w:val="00807470"/>
    <w:rsid w:val="00807BB0"/>
    <w:rsid w:val="008101FE"/>
    <w:rsid w:val="008108FF"/>
    <w:rsid w:val="00810B6F"/>
    <w:rsid w:val="00810C52"/>
    <w:rsid w:val="00811ECA"/>
    <w:rsid w:val="00812099"/>
    <w:rsid w:val="00812FDD"/>
    <w:rsid w:val="008133EB"/>
    <w:rsid w:val="0081377B"/>
    <w:rsid w:val="00813999"/>
    <w:rsid w:val="00813C76"/>
    <w:rsid w:val="00814048"/>
    <w:rsid w:val="0081494C"/>
    <w:rsid w:val="00815175"/>
    <w:rsid w:val="008153EC"/>
    <w:rsid w:val="008163BC"/>
    <w:rsid w:val="00816B57"/>
    <w:rsid w:val="00817039"/>
    <w:rsid w:val="008170E3"/>
    <w:rsid w:val="00817350"/>
    <w:rsid w:val="00817864"/>
    <w:rsid w:val="00817CD5"/>
    <w:rsid w:val="00817EB4"/>
    <w:rsid w:val="008201AD"/>
    <w:rsid w:val="00820C57"/>
    <w:rsid w:val="00820F23"/>
    <w:rsid w:val="00821023"/>
    <w:rsid w:val="0082168C"/>
    <w:rsid w:val="0082185D"/>
    <w:rsid w:val="0082195C"/>
    <w:rsid w:val="00821C94"/>
    <w:rsid w:val="00822592"/>
    <w:rsid w:val="008228B5"/>
    <w:rsid w:val="00822CE0"/>
    <w:rsid w:val="00823407"/>
    <w:rsid w:val="00824549"/>
    <w:rsid w:val="0082579E"/>
    <w:rsid w:val="00825CFD"/>
    <w:rsid w:val="008261EA"/>
    <w:rsid w:val="00826398"/>
    <w:rsid w:val="00826602"/>
    <w:rsid w:val="00826AB1"/>
    <w:rsid w:val="00826BB3"/>
    <w:rsid w:val="00827215"/>
    <w:rsid w:val="00827595"/>
    <w:rsid w:val="00827A9B"/>
    <w:rsid w:val="00830107"/>
    <w:rsid w:val="00830EFF"/>
    <w:rsid w:val="0083100A"/>
    <w:rsid w:val="00831381"/>
    <w:rsid w:val="00831A0B"/>
    <w:rsid w:val="00831AEB"/>
    <w:rsid w:val="0083335B"/>
    <w:rsid w:val="0083463F"/>
    <w:rsid w:val="00834EEF"/>
    <w:rsid w:val="008352F1"/>
    <w:rsid w:val="0083532B"/>
    <w:rsid w:val="00835A8F"/>
    <w:rsid w:val="008362F7"/>
    <w:rsid w:val="0083680F"/>
    <w:rsid w:val="00837081"/>
    <w:rsid w:val="00840008"/>
    <w:rsid w:val="008406BD"/>
    <w:rsid w:val="00840C0D"/>
    <w:rsid w:val="00841374"/>
    <w:rsid w:val="008414A3"/>
    <w:rsid w:val="00841AB1"/>
    <w:rsid w:val="00842297"/>
    <w:rsid w:val="00842671"/>
    <w:rsid w:val="00842FAE"/>
    <w:rsid w:val="00843326"/>
    <w:rsid w:val="0084378F"/>
    <w:rsid w:val="0084398F"/>
    <w:rsid w:val="00843EFD"/>
    <w:rsid w:val="00844257"/>
    <w:rsid w:val="00844D8F"/>
    <w:rsid w:val="008451BF"/>
    <w:rsid w:val="00845AC3"/>
    <w:rsid w:val="00845D42"/>
    <w:rsid w:val="008461A3"/>
    <w:rsid w:val="00846F84"/>
    <w:rsid w:val="00847ACC"/>
    <w:rsid w:val="00847E75"/>
    <w:rsid w:val="008505E9"/>
    <w:rsid w:val="008509D9"/>
    <w:rsid w:val="0085162A"/>
    <w:rsid w:val="00852A2B"/>
    <w:rsid w:val="00853314"/>
    <w:rsid w:val="008539B7"/>
    <w:rsid w:val="00853F20"/>
    <w:rsid w:val="0085402F"/>
    <w:rsid w:val="00854676"/>
    <w:rsid w:val="008555C6"/>
    <w:rsid w:val="00856D7A"/>
    <w:rsid w:val="008600D1"/>
    <w:rsid w:val="008604AD"/>
    <w:rsid w:val="00860509"/>
    <w:rsid w:val="008605F4"/>
    <w:rsid w:val="0086079D"/>
    <w:rsid w:val="008608E9"/>
    <w:rsid w:val="00860A03"/>
    <w:rsid w:val="00860C4E"/>
    <w:rsid w:val="00861459"/>
    <w:rsid w:val="008622C2"/>
    <w:rsid w:val="008622FF"/>
    <w:rsid w:val="008624AD"/>
    <w:rsid w:val="008639AC"/>
    <w:rsid w:val="00863AE1"/>
    <w:rsid w:val="00864091"/>
    <w:rsid w:val="008641E3"/>
    <w:rsid w:val="00864347"/>
    <w:rsid w:val="008658E3"/>
    <w:rsid w:val="00865F34"/>
    <w:rsid w:val="00866061"/>
    <w:rsid w:val="00866772"/>
    <w:rsid w:val="00866899"/>
    <w:rsid w:val="00867590"/>
    <w:rsid w:val="00867DAF"/>
    <w:rsid w:val="00867EF4"/>
    <w:rsid w:val="008709CA"/>
    <w:rsid w:val="00870CCB"/>
    <w:rsid w:val="00870F61"/>
    <w:rsid w:val="00871520"/>
    <w:rsid w:val="00871D52"/>
    <w:rsid w:val="00871F5D"/>
    <w:rsid w:val="008726CE"/>
    <w:rsid w:val="00872A55"/>
    <w:rsid w:val="00872E9C"/>
    <w:rsid w:val="0087349D"/>
    <w:rsid w:val="008734B9"/>
    <w:rsid w:val="00874160"/>
    <w:rsid w:val="00874ABB"/>
    <w:rsid w:val="00875482"/>
    <w:rsid w:val="00875FBC"/>
    <w:rsid w:val="00876623"/>
    <w:rsid w:val="00876C1D"/>
    <w:rsid w:val="00877114"/>
    <w:rsid w:val="00877122"/>
    <w:rsid w:val="00877955"/>
    <w:rsid w:val="008804D6"/>
    <w:rsid w:val="00880884"/>
    <w:rsid w:val="00880CBD"/>
    <w:rsid w:val="008813A2"/>
    <w:rsid w:val="0088168B"/>
    <w:rsid w:val="00881A03"/>
    <w:rsid w:val="00881C46"/>
    <w:rsid w:val="00881E17"/>
    <w:rsid w:val="008820C2"/>
    <w:rsid w:val="00882119"/>
    <w:rsid w:val="008826D4"/>
    <w:rsid w:val="00882C46"/>
    <w:rsid w:val="00882E35"/>
    <w:rsid w:val="00882EE5"/>
    <w:rsid w:val="0088361A"/>
    <w:rsid w:val="00885713"/>
    <w:rsid w:val="00885A1E"/>
    <w:rsid w:val="00885A65"/>
    <w:rsid w:val="00885B98"/>
    <w:rsid w:val="00885FC4"/>
    <w:rsid w:val="00886223"/>
    <w:rsid w:val="0088628D"/>
    <w:rsid w:val="008865B3"/>
    <w:rsid w:val="0088710A"/>
    <w:rsid w:val="00887A65"/>
    <w:rsid w:val="008900C6"/>
    <w:rsid w:val="00890497"/>
    <w:rsid w:val="00890C01"/>
    <w:rsid w:val="00890FBB"/>
    <w:rsid w:val="00891621"/>
    <w:rsid w:val="00891782"/>
    <w:rsid w:val="008917FB"/>
    <w:rsid w:val="008920FB"/>
    <w:rsid w:val="008926D4"/>
    <w:rsid w:val="0089308A"/>
    <w:rsid w:val="00893B9B"/>
    <w:rsid w:val="0089408F"/>
    <w:rsid w:val="00895F65"/>
    <w:rsid w:val="0089629C"/>
    <w:rsid w:val="00896448"/>
    <w:rsid w:val="00896649"/>
    <w:rsid w:val="0089692F"/>
    <w:rsid w:val="00896AF2"/>
    <w:rsid w:val="00897A6E"/>
    <w:rsid w:val="00897D66"/>
    <w:rsid w:val="008A057E"/>
    <w:rsid w:val="008A0E71"/>
    <w:rsid w:val="008A1079"/>
    <w:rsid w:val="008A2EF2"/>
    <w:rsid w:val="008A357A"/>
    <w:rsid w:val="008A4C5F"/>
    <w:rsid w:val="008A55C6"/>
    <w:rsid w:val="008A621D"/>
    <w:rsid w:val="008A6603"/>
    <w:rsid w:val="008A719D"/>
    <w:rsid w:val="008A7DFA"/>
    <w:rsid w:val="008A7ECB"/>
    <w:rsid w:val="008A7ED2"/>
    <w:rsid w:val="008B0FE6"/>
    <w:rsid w:val="008B22A8"/>
    <w:rsid w:val="008B2D27"/>
    <w:rsid w:val="008B3444"/>
    <w:rsid w:val="008B351B"/>
    <w:rsid w:val="008B49CE"/>
    <w:rsid w:val="008B4A08"/>
    <w:rsid w:val="008B54CD"/>
    <w:rsid w:val="008B5A63"/>
    <w:rsid w:val="008B5A64"/>
    <w:rsid w:val="008B5B1F"/>
    <w:rsid w:val="008B7FDF"/>
    <w:rsid w:val="008C011F"/>
    <w:rsid w:val="008C05B7"/>
    <w:rsid w:val="008C06C7"/>
    <w:rsid w:val="008C18E9"/>
    <w:rsid w:val="008C1BB9"/>
    <w:rsid w:val="008C409C"/>
    <w:rsid w:val="008C419E"/>
    <w:rsid w:val="008C41B4"/>
    <w:rsid w:val="008C41D4"/>
    <w:rsid w:val="008C4FEC"/>
    <w:rsid w:val="008C5044"/>
    <w:rsid w:val="008C5A67"/>
    <w:rsid w:val="008C6177"/>
    <w:rsid w:val="008C68F1"/>
    <w:rsid w:val="008C6BB7"/>
    <w:rsid w:val="008C6F47"/>
    <w:rsid w:val="008C77A3"/>
    <w:rsid w:val="008C7D4C"/>
    <w:rsid w:val="008C7F4C"/>
    <w:rsid w:val="008D033F"/>
    <w:rsid w:val="008D0811"/>
    <w:rsid w:val="008D207E"/>
    <w:rsid w:val="008D25D0"/>
    <w:rsid w:val="008D3065"/>
    <w:rsid w:val="008D3212"/>
    <w:rsid w:val="008D3458"/>
    <w:rsid w:val="008D3921"/>
    <w:rsid w:val="008D3B9F"/>
    <w:rsid w:val="008D4A05"/>
    <w:rsid w:val="008D4B12"/>
    <w:rsid w:val="008D4D91"/>
    <w:rsid w:val="008D5023"/>
    <w:rsid w:val="008D504B"/>
    <w:rsid w:val="008D52E6"/>
    <w:rsid w:val="008D55F1"/>
    <w:rsid w:val="008D656B"/>
    <w:rsid w:val="008D67D5"/>
    <w:rsid w:val="008D6E0E"/>
    <w:rsid w:val="008D7682"/>
    <w:rsid w:val="008D772B"/>
    <w:rsid w:val="008D784A"/>
    <w:rsid w:val="008D7F9F"/>
    <w:rsid w:val="008E006C"/>
    <w:rsid w:val="008E03EC"/>
    <w:rsid w:val="008E0647"/>
    <w:rsid w:val="008E0C41"/>
    <w:rsid w:val="008E0E5E"/>
    <w:rsid w:val="008E1CDC"/>
    <w:rsid w:val="008E1FAB"/>
    <w:rsid w:val="008E246F"/>
    <w:rsid w:val="008E2A47"/>
    <w:rsid w:val="008E2EAD"/>
    <w:rsid w:val="008E30FB"/>
    <w:rsid w:val="008E36CF"/>
    <w:rsid w:val="008E40DC"/>
    <w:rsid w:val="008E41F9"/>
    <w:rsid w:val="008E42E0"/>
    <w:rsid w:val="008E458F"/>
    <w:rsid w:val="008E5091"/>
    <w:rsid w:val="008E5753"/>
    <w:rsid w:val="008E5D3C"/>
    <w:rsid w:val="008E5E05"/>
    <w:rsid w:val="008E60D7"/>
    <w:rsid w:val="008E60DC"/>
    <w:rsid w:val="008E6A3E"/>
    <w:rsid w:val="008E7810"/>
    <w:rsid w:val="008E7C9A"/>
    <w:rsid w:val="008E7CD6"/>
    <w:rsid w:val="008F0031"/>
    <w:rsid w:val="008F0345"/>
    <w:rsid w:val="008F040A"/>
    <w:rsid w:val="008F07BA"/>
    <w:rsid w:val="008F089A"/>
    <w:rsid w:val="008F0AA1"/>
    <w:rsid w:val="008F0B2A"/>
    <w:rsid w:val="008F0ECD"/>
    <w:rsid w:val="008F1035"/>
    <w:rsid w:val="008F13D9"/>
    <w:rsid w:val="008F1510"/>
    <w:rsid w:val="008F1CF1"/>
    <w:rsid w:val="008F25AD"/>
    <w:rsid w:val="008F3600"/>
    <w:rsid w:val="008F3A3B"/>
    <w:rsid w:val="008F451B"/>
    <w:rsid w:val="008F48C5"/>
    <w:rsid w:val="008F5086"/>
    <w:rsid w:val="008F5A00"/>
    <w:rsid w:val="008F63BC"/>
    <w:rsid w:val="008F655D"/>
    <w:rsid w:val="008F6846"/>
    <w:rsid w:val="008F6994"/>
    <w:rsid w:val="008F6C8C"/>
    <w:rsid w:val="008F6CCC"/>
    <w:rsid w:val="008F72E3"/>
    <w:rsid w:val="008F75EA"/>
    <w:rsid w:val="008F7C94"/>
    <w:rsid w:val="00900CA5"/>
    <w:rsid w:val="009010F7"/>
    <w:rsid w:val="0090111F"/>
    <w:rsid w:val="00902271"/>
    <w:rsid w:val="0090284E"/>
    <w:rsid w:val="009031DF"/>
    <w:rsid w:val="0090366B"/>
    <w:rsid w:val="009038EA"/>
    <w:rsid w:val="00903E69"/>
    <w:rsid w:val="00903F0A"/>
    <w:rsid w:val="009047AB"/>
    <w:rsid w:val="00904E48"/>
    <w:rsid w:val="00905527"/>
    <w:rsid w:val="00905635"/>
    <w:rsid w:val="00905AF8"/>
    <w:rsid w:val="00906728"/>
    <w:rsid w:val="0090789F"/>
    <w:rsid w:val="00907DBA"/>
    <w:rsid w:val="009114EB"/>
    <w:rsid w:val="00911839"/>
    <w:rsid w:val="00911AD2"/>
    <w:rsid w:val="00911B06"/>
    <w:rsid w:val="00911D5A"/>
    <w:rsid w:val="00912233"/>
    <w:rsid w:val="00912974"/>
    <w:rsid w:val="00912D4B"/>
    <w:rsid w:val="00912DA5"/>
    <w:rsid w:val="00912DE6"/>
    <w:rsid w:val="00913978"/>
    <w:rsid w:val="00913ADE"/>
    <w:rsid w:val="00913B2D"/>
    <w:rsid w:val="0091434A"/>
    <w:rsid w:val="00914367"/>
    <w:rsid w:val="009143DE"/>
    <w:rsid w:val="009147F0"/>
    <w:rsid w:val="00914ECF"/>
    <w:rsid w:val="00915128"/>
    <w:rsid w:val="009152B0"/>
    <w:rsid w:val="009152CD"/>
    <w:rsid w:val="00915B91"/>
    <w:rsid w:val="00915E55"/>
    <w:rsid w:val="0091636D"/>
    <w:rsid w:val="0091645B"/>
    <w:rsid w:val="00916586"/>
    <w:rsid w:val="009168F3"/>
    <w:rsid w:val="00916FD5"/>
    <w:rsid w:val="009172D1"/>
    <w:rsid w:val="0091784B"/>
    <w:rsid w:val="0092012C"/>
    <w:rsid w:val="009204AE"/>
    <w:rsid w:val="00920736"/>
    <w:rsid w:val="00920830"/>
    <w:rsid w:val="00920DBA"/>
    <w:rsid w:val="00920E19"/>
    <w:rsid w:val="00920F4B"/>
    <w:rsid w:val="009210A6"/>
    <w:rsid w:val="00921803"/>
    <w:rsid w:val="00921C0C"/>
    <w:rsid w:val="00922752"/>
    <w:rsid w:val="009229BD"/>
    <w:rsid w:val="009233BB"/>
    <w:rsid w:val="009234C0"/>
    <w:rsid w:val="009236D4"/>
    <w:rsid w:val="00923B51"/>
    <w:rsid w:val="00923CCC"/>
    <w:rsid w:val="009255A2"/>
    <w:rsid w:val="0092567B"/>
    <w:rsid w:val="009257B4"/>
    <w:rsid w:val="00925812"/>
    <w:rsid w:val="00925982"/>
    <w:rsid w:val="00925BA8"/>
    <w:rsid w:val="00925FE7"/>
    <w:rsid w:val="009263EE"/>
    <w:rsid w:val="00926503"/>
    <w:rsid w:val="00926BE3"/>
    <w:rsid w:val="00926D4B"/>
    <w:rsid w:val="009270B5"/>
    <w:rsid w:val="00927234"/>
    <w:rsid w:val="00927E1D"/>
    <w:rsid w:val="009305FD"/>
    <w:rsid w:val="00930812"/>
    <w:rsid w:val="00930C13"/>
    <w:rsid w:val="0093106E"/>
    <w:rsid w:val="00931483"/>
    <w:rsid w:val="00931779"/>
    <w:rsid w:val="009317D1"/>
    <w:rsid w:val="009335AB"/>
    <w:rsid w:val="00933972"/>
    <w:rsid w:val="00934492"/>
    <w:rsid w:val="00934ABF"/>
    <w:rsid w:val="00935160"/>
    <w:rsid w:val="0093598C"/>
    <w:rsid w:val="00935EB1"/>
    <w:rsid w:val="00935F52"/>
    <w:rsid w:val="009360CB"/>
    <w:rsid w:val="00936C3B"/>
    <w:rsid w:val="00936CA7"/>
    <w:rsid w:val="00936EDE"/>
    <w:rsid w:val="00937E07"/>
    <w:rsid w:val="009404E8"/>
    <w:rsid w:val="00940778"/>
    <w:rsid w:val="009407AF"/>
    <w:rsid w:val="0094088D"/>
    <w:rsid w:val="00940A83"/>
    <w:rsid w:val="00940DE6"/>
    <w:rsid w:val="00940F9E"/>
    <w:rsid w:val="00941574"/>
    <w:rsid w:val="009416CC"/>
    <w:rsid w:val="00941D40"/>
    <w:rsid w:val="00942145"/>
    <w:rsid w:val="00942400"/>
    <w:rsid w:val="009429E2"/>
    <w:rsid w:val="00942F35"/>
    <w:rsid w:val="00943377"/>
    <w:rsid w:val="0094356F"/>
    <w:rsid w:val="0094357D"/>
    <w:rsid w:val="00943E2C"/>
    <w:rsid w:val="009447E2"/>
    <w:rsid w:val="00944DFE"/>
    <w:rsid w:val="00944FB3"/>
    <w:rsid w:val="00945467"/>
    <w:rsid w:val="009467D4"/>
    <w:rsid w:val="00946FD8"/>
    <w:rsid w:val="00947152"/>
    <w:rsid w:val="00947765"/>
    <w:rsid w:val="009479DC"/>
    <w:rsid w:val="009502F0"/>
    <w:rsid w:val="00950410"/>
    <w:rsid w:val="00950A0E"/>
    <w:rsid w:val="00950A73"/>
    <w:rsid w:val="00950D80"/>
    <w:rsid w:val="00951AE7"/>
    <w:rsid w:val="009530E7"/>
    <w:rsid w:val="00953AEB"/>
    <w:rsid w:val="00953AF0"/>
    <w:rsid w:val="00953B87"/>
    <w:rsid w:val="0095427B"/>
    <w:rsid w:val="009546E5"/>
    <w:rsid w:val="009547F6"/>
    <w:rsid w:val="009550E5"/>
    <w:rsid w:val="009557C0"/>
    <w:rsid w:val="00955E42"/>
    <w:rsid w:val="009566AE"/>
    <w:rsid w:val="0095682F"/>
    <w:rsid w:val="009568E1"/>
    <w:rsid w:val="00957066"/>
    <w:rsid w:val="00957093"/>
    <w:rsid w:val="0095734E"/>
    <w:rsid w:val="0096002F"/>
    <w:rsid w:val="0096023A"/>
    <w:rsid w:val="009605E8"/>
    <w:rsid w:val="00960695"/>
    <w:rsid w:val="009616AA"/>
    <w:rsid w:val="00961AC0"/>
    <w:rsid w:val="00961B12"/>
    <w:rsid w:val="00961F08"/>
    <w:rsid w:val="009624D5"/>
    <w:rsid w:val="009629DD"/>
    <w:rsid w:val="00962A9F"/>
    <w:rsid w:val="00962BE0"/>
    <w:rsid w:val="009640EE"/>
    <w:rsid w:val="00964379"/>
    <w:rsid w:val="009652F5"/>
    <w:rsid w:val="0096726E"/>
    <w:rsid w:val="0096798B"/>
    <w:rsid w:val="00967FB3"/>
    <w:rsid w:val="00970887"/>
    <w:rsid w:val="00970E3A"/>
    <w:rsid w:val="00971214"/>
    <w:rsid w:val="00971378"/>
    <w:rsid w:val="00971BEB"/>
    <w:rsid w:val="00972407"/>
    <w:rsid w:val="009726D8"/>
    <w:rsid w:val="00973FF4"/>
    <w:rsid w:val="00974AAC"/>
    <w:rsid w:val="00974B46"/>
    <w:rsid w:val="009753A6"/>
    <w:rsid w:val="0097546E"/>
    <w:rsid w:val="009755CB"/>
    <w:rsid w:val="00975B55"/>
    <w:rsid w:val="00975CBD"/>
    <w:rsid w:val="00975E0A"/>
    <w:rsid w:val="009779D8"/>
    <w:rsid w:val="00977CEB"/>
    <w:rsid w:val="0098030B"/>
    <w:rsid w:val="00980388"/>
    <w:rsid w:val="009807B3"/>
    <w:rsid w:val="00980D84"/>
    <w:rsid w:val="00981883"/>
    <w:rsid w:val="00982363"/>
    <w:rsid w:val="0098289A"/>
    <w:rsid w:val="00982A45"/>
    <w:rsid w:val="00982B5E"/>
    <w:rsid w:val="0098340B"/>
    <w:rsid w:val="00983A70"/>
    <w:rsid w:val="00983B68"/>
    <w:rsid w:val="009847FD"/>
    <w:rsid w:val="00984A6F"/>
    <w:rsid w:val="00984AC8"/>
    <w:rsid w:val="00984C53"/>
    <w:rsid w:val="00984E1C"/>
    <w:rsid w:val="00985A10"/>
    <w:rsid w:val="00985A80"/>
    <w:rsid w:val="00986522"/>
    <w:rsid w:val="009866FE"/>
    <w:rsid w:val="0098734C"/>
    <w:rsid w:val="00987462"/>
    <w:rsid w:val="00987705"/>
    <w:rsid w:val="00987813"/>
    <w:rsid w:val="0099001C"/>
    <w:rsid w:val="009906D3"/>
    <w:rsid w:val="009915B0"/>
    <w:rsid w:val="00992A88"/>
    <w:rsid w:val="00993685"/>
    <w:rsid w:val="009936B7"/>
    <w:rsid w:val="009943BC"/>
    <w:rsid w:val="009947C9"/>
    <w:rsid w:val="00994B5C"/>
    <w:rsid w:val="009957BE"/>
    <w:rsid w:val="00995FDB"/>
    <w:rsid w:val="0099606D"/>
    <w:rsid w:val="00996137"/>
    <w:rsid w:val="00996460"/>
    <w:rsid w:val="009A0160"/>
    <w:rsid w:val="009A0287"/>
    <w:rsid w:val="009A0985"/>
    <w:rsid w:val="009A0AB5"/>
    <w:rsid w:val="009A0B4E"/>
    <w:rsid w:val="009A12AE"/>
    <w:rsid w:val="009A1D13"/>
    <w:rsid w:val="009A2114"/>
    <w:rsid w:val="009A305B"/>
    <w:rsid w:val="009A31E4"/>
    <w:rsid w:val="009A335D"/>
    <w:rsid w:val="009A3510"/>
    <w:rsid w:val="009A35B3"/>
    <w:rsid w:val="009A384A"/>
    <w:rsid w:val="009A3B5D"/>
    <w:rsid w:val="009A3C00"/>
    <w:rsid w:val="009A4198"/>
    <w:rsid w:val="009A4A28"/>
    <w:rsid w:val="009A4DDD"/>
    <w:rsid w:val="009A5531"/>
    <w:rsid w:val="009A577E"/>
    <w:rsid w:val="009A5B4E"/>
    <w:rsid w:val="009A5DE7"/>
    <w:rsid w:val="009A62FA"/>
    <w:rsid w:val="009A6AE5"/>
    <w:rsid w:val="009A6FDA"/>
    <w:rsid w:val="009A720A"/>
    <w:rsid w:val="009A778F"/>
    <w:rsid w:val="009A794B"/>
    <w:rsid w:val="009A7AFE"/>
    <w:rsid w:val="009B07C0"/>
    <w:rsid w:val="009B1179"/>
    <w:rsid w:val="009B1311"/>
    <w:rsid w:val="009B1739"/>
    <w:rsid w:val="009B22E4"/>
    <w:rsid w:val="009B2BE7"/>
    <w:rsid w:val="009B3291"/>
    <w:rsid w:val="009B37D5"/>
    <w:rsid w:val="009B381A"/>
    <w:rsid w:val="009B3948"/>
    <w:rsid w:val="009B3D28"/>
    <w:rsid w:val="009B3E56"/>
    <w:rsid w:val="009B3EE1"/>
    <w:rsid w:val="009B4249"/>
    <w:rsid w:val="009B4C28"/>
    <w:rsid w:val="009B4CF1"/>
    <w:rsid w:val="009B55AE"/>
    <w:rsid w:val="009B56F2"/>
    <w:rsid w:val="009B59AB"/>
    <w:rsid w:val="009B5F6B"/>
    <w:rsid w:val="009B616A"/>
    <w:rsid w:val="009B6EB6"/>
    <w:rsid w:val="009B7EB1"/>
    <w:rsid w:val="009C04C7"/>
    <w:rsid w:val="009C05C8"/>
    <w:rsid w:val="009C0F07"/>
    <w:rsid w:val="009C0F22"/>
    <w:rsid w:val="009C1130"/>
    <w:rsid w:val="009C1D8D"/>
    <w:rsid w:val="009C2622"/>
    <w:rsid w:val="009C26EC"/>
    <w:rsid w:val="009C2A3C"/>
    <w:rsid w:val="009C2EA0"/>
    <w:rsid w:val="009C3359"/>
    <w:rsid w:val="009C377E"/>
    <w:rsid w:val="009C396D"/>
    <w:rsid w:val="009C4D54"/>
    <w:rsid w:val="009C5C91"/>
    <w:rsid w:val="009C5FA6"/>
    <w:rsid w:val="009C6B13"/>
    <w:rsid w:val="009C6C55"/>
    <w:rsid w:val="009C6FF0"/>
    <w:rsid w:val="009C7261"/>
    <w:rsid w:val="009C7481"/>
    <w:rsid w:val="009C786D"/>
    <w:rsid w:val="009D0B49"/>
    <w:rsid w:val="009D0BEF"/>
    <w:rsid w:val="009D1208"/>
    <w:rsid w:val="009D149C"/>
    <w:rsid w:val="009D28BA"/>
    <w:rsid w:val="009D443C"/>
    <w:rsid w:val="009D448F"/>
    <w:rsid w:val="009D4E01"/>
    <w:rsid w:val="009D4FA5"/>
    <w:rsid w:val="009D514C"/>
    <w:rsid w:val="009D5F9F"/>
    <w:rsid w:val="009D5FB7"/>
    <w:rsid w:val="009D64FC"/>
    <w:rsid w:val="009D6B12"/>
    <w:rsid w:val="009D70CD"/>
    <w:rsid w:val="009D7308"/>
    <w:rsid w:val="009D764B"/>
    <w:rsid w:val="009D7BDE"/>
    <w:rsid w:val="009D7C69"/>
    <w:rsid w:val="009E0289"/>
    <w:rsid w:val="009E0799"/>
    <w:rsid w:val="009E1025"/>
    <w:rsid w:val="009E28B4"/>
    <w:rsid w:val="009E2DB4"/>
    <w:rsid w:val="009E3EBF"/>
    <w:rsid w:val="009E4223"/>
    <w:rsid w:val="009E44CE"/>
    <w:rsid w:val="009E54D1"/>
    <w:rsid w:val="009E5B64"/>
    <w:rsid w:val="009E6778"/>
    <w:rsid w:val="009E69A8"/>
    <w:rsid w:val="009E6EC9"/>
    <w:rsid w:val="009E6EEC"/>
    <w:rsid w:val="009E7AA3"/>
    <w:rsid w:val="009E7DE6"/>
    <w:rsid w:val="009F027C"/>
    <w:rsid w:val="009F0AAA"/>
    <w:rsid w:val="009F0CAD"/>
    <w:rsid w:val="009F1670"/>
    <w:rsid w:val="009F16ED"/>
    <w:rsid w:val="009F1A97"/>
    <w:rsid w:val="009F2B15"/>
    <w:rsid w:val="009F2E25"/>
    <w:rsid w:val="009F306A"/>
    <w:rsid w:val="009F335A"/>
    <w:rsid w:val="009F3E40"/>
    <w:rsid w:val="009F4292"/>
    <w:rsid w:val="009F437C"/>
    <w:rsid w:val="009F45F0"/>
    <w:rsid w:val="009F4B60"/>
    <w:rsid w:val="009F4C18"/>
    <w:rsid w:val="009F4E9D"/>
    <w:rsid w:val="009F5413"/>
    <w:rsid w:val="009F5CA6"/>
    <w:rsid w:val="009F600E"/>
    <w:rsid w:val="009F6053"/>
    <w:rsid w:val="009F6232"/>
    <w:rsid w:val="009F6385"/>
    <w:rsid w:val="009F65C9"/>
    <w:rsid w:val="009F6AA4"/>
    <w:rsid w:val="009F6CB5"/>
    <w:rsid w:val="009F6D73"/>
    <w:rsid w:val="009F6E88"/>
    <w:rsid w:val="009F76DB"/>
    <w:rsid w:val="009F77BC"/>
    <w:rsid w:val="009F77FE"/>
    <w:rsid w:val="00A004C9"/>
    <w:rsid w:val="00A00D4A"/>
    <w:rsid w:val="00A01234"/>
    <w:rsid w:val="00A01606"/>
    <w:rsid w:val="00A02C2A"/>
    <w:rsid w:val="00A03087"/>
    <w:rsid w:val="00A03335"/>
    <w:rsid w:val="00A0371D"/>
    <w:rsid w:val="00A03F36"/>
    <w:rsid w:val="00A03F6F"/>
    <w:rsid w:val="00A04722"/>
    <w:rsid w:val="00A051FF"/>
    <w:rsid w:val="00A05256"/>
    <w:rsid w:val="00A05640"/>
    <w:rsid w:val="00A06048"/>
    <w:rsid w:val="00A06244"/>
    <w:rsid w:val="00A07399"/>
    <w:rsid w:val="00A07496"/>
    <w:rsid w:val="00A077D8"/>
    <w:rsid w:val="00A07F00"/>
    <w:rsid w:val="00A104F8"/>
    <w:rsid w:val="00A1087E"/>
    <w:rsid w:val="00A11000"/>
    <w:rsid w:val="00A1104F"/>
    <w:rsid w:val="00A110BE"/>
    <w:rsid w:val="00A11830"/>
    <w:rsid w:val="00A11ED8"/>
    <w:rsid w:val="00A12785"/>
    <w:rsid w:val="00A12DEE"/>
    <w:rsid w:val="00A1309B"/>
    <w:rsid w:val="00A14FE5"/>
    <w:rsid w:val="00A15B47"/>
    <w:rsid w:val="00A161A2"/>
    <w:rsid w:val="00A168B1"/>
    <w:rsid w:val="00A16A51"/>
    <w:rsid w:val="00A16D0E"/>
    <w:rsid w:val="00A17311"/>
    <w:rsid w:val="00A178B3"/>
    <w:rsid w:val="00A17B46"/>
    <w:rsid w:val="00A17F25"/>
    <w:rsid w:val="00A2086F"/>
    <w:rsid w:val="00A20871"/>
    <w:rsid w:val="00A20A30"/>
    <w:rsid w:val="00A20E08"/>
    <w:rsid w:val="00A2138D"/>
    <w:rsid w:val="00A21712"/>
    <w:rsid w:val="00A218E7"/>
    <w:rsid w:val="00A21A25"/>
    <w:rsid w:val="00A21B7D"/>
    <w:rsid w:val="00A21E83"/>
    <w:rsid w:val="00A21FEC"/>
    <w:rsid w:val="00A22305"/>
    <w:rsid w:val="00A224D2"/>
    <w:rsid w:val="00A22645"/>
    <w:rsid w:val="00A2264B"/>
    <w:rsid w:val="00A22C59"/>
    <w:rsid w:val="00A22C74"/>
    <w:rsid w:val="00A22CAB"/>
    <w:rsid w:val="00A23683"/>
    <w:rsid w:val="00A23C72"/>
    <w:rsid w:val="00A23D85"/>
    <w:rsid w:val="00A2491B"/>
    <w:rsid w:val="00A25060"/>
    <w:rsid w:val="00A25753"/>
    <w:rsid w:val="00A25765"/>
    <w:rsid w:val="00A25BB4"/>
    <w:rsid w:val="00A26119"/>
    <w:rsid w:val="00A261D6"/>
    <w:rsid w:val="00A26379"/>
    <w:rsid w:val="00A26C32"/>
    <w:rsid w:val="00A27035"/>
    <w:rsid w:val="00A2719D"/>
    <w:rsid w:val="00A27541"/>
    <w:rsid w:val="00A27D46"/>
    <w:rsid w:val="00A3017F"/>
    <w:rsid w:val="00A305D6"/>
    <w:rsid w:val="00A30667"/>
    <w:rsid w:val="00A311A5"/>
    <w:rsid w:val="00A31A72"/>
    <w:rsid w:val="00A31CC4"/>
    <w:rsid w:val="00A32C3B"/>
    <w:rsid w:val="00A32D34"/>
    <w:rsid w:val="00A33165"/>
    <w:rsid w:val="00A33684"/>
    <w:rsid w:val="00A33F71"/>
    <w:rsid w:val="00A3481F"/>
    <w:rsid w:val="00A3561A"/>
    <w:rsid w:val="00A3593F"/>
    <w:rsid w:val="00A35BCD"/>
    <w:rsid w:val="00A362CE"/>
    <w:rsid w:val="00A36D4A"/>
    <w:rsid w:val="00A376A5"/>
    <w:rsid w:val="00A37A40"/>
    <w:rsid w:val="00A37B32"/>
    <w:rsid w:val="00A40930"/>
    <w:rsid w:val="00A418E3"/>
    <w:rsid w:val="00A41F89"/>
    <w:rsid w:val="00A423FD"/>
    <w:rsid w:val="00A42A27"/>
    <w:rsid w:val="00A42B59"/>
    <w:rsid w:val="00A43272"/>
    <w:rsid w:val="00A4396E"/>
    <w:rsid w:val="00A43B68"/>
    <w:rsid w:val="00A43FA4"/>
    <w:rsid w:val="00A442A6"/>
    <w:rsid w:val="00A44389"/>
    <w:rsid w:val="00A44BDB"/>
    <w:rsid w:val="00A44DD4"/>
    <w:rsid w:val="00A44F84"/>
    <w:rsid w:val="00A45295"/>
    <w:rsid w:val="00A4536B"/>
    <w:rsid w:val="00A45F4F"/>
    <w:rsid w:val="00A46858"/>
    <w:rsid w:val="00A46A8C"/>
    <w:rsid w:val="00A46F98"/>
    <w:rsid w:val="00A47A55"/>
    <w:rsid w:val="00A5102C"/>
    <w:rsid w:val="00A51610"/>
    <w:rsid w:val="00A5240D"/>
    <w:rsid w:val="00A524A3"/>
    <w:rsid w:val="00A53980"/>
    <w:rsid w:val="00A5436D"/>
    <w:rsid w:val="00A54485"/>
    <w:rsid w:val="00A54556"/>
    <w:rsid w:val="00A547FC"/>
    <w:rsid w:val="00A54E20"/>
    <w:rsid w:val="00A54FA1"/>
    <w:rsid w:val="00A55B06"/>
    <w:rsid w:val="00A55F3B"/>
    <w:rsid w:val="00A56127"/>
    <w:rsid w:val="00A56402"/>
    <w:rsid w:val="00A565C4"/>
    <w:rsid w:val="00A56B2E"/>
    <w:rsid w:val="00A57D99"/>
    <w:rsid w:val="00A600A9"/>
    <w:rsid w:val="00A60F79"/>
    <w:rsid w:val="00A6101B"/>
    <w:rsid w:val="00A615FF"/>
    <w:rsid w:val="00A61A36"/>
    <w:rsid w:val="00A620C8"/>
    <w:rsid w:val="00A6218F"/>
    <w:rsid w:val="00A623E2"/>
    <w:rsid w:val="00A62631"/>
    <w:rsid w:val="00A62C3E"/>
    <w:rsid w:val="00A62DC2"/>
    <w:rsid w:val="00A64752"/>
    <w:rsid w:val="00A64D6C"/>
    <w:rsid w:val="00A64F87"/>
    <w:rsid w:val="00A65AD3"/>
    <w:rsid w:val="00A66259"/>
    <w:rsid w:val="00A672A3"/>
    <w:rsid w:val="00A672C1"/>
    <w:rsid w:val="00A708F5"/>
    <w:rsid w:val="00A70D04"/>
    <w:rsid w:val="00A70E5D"/>
    <w:rsid w:val="00A71121"/>
    <w:rsid w:val="00A714C9"/>
    <w:rsid w:val="00A7201E"/>
    <w:rsid w:val="00A729E7"/>
    <w:rsid w:val="00A72F21"/>
    <w:rsid w:val="00A7336F"/>
    <w:rsid w:val="00A73889"/>
    <w:rsid w:val="00A73980"/>
    <w:rsid w:val="00A74E83"/>
    <w:rsid w:val="00A751A0"/>
    <w:rsid w:val="00A75463"/>
    <w:rsid w:val="00A75AA5"/>
    <w:rsid w:val="00A75DEB"/>
    <w:rsid w:val="00A763FF"/>
    <w:rsid w:val="00A767C6"/>
    <w:rsid w:val="00A76821"/>
    <w:rsid w:val="00A773F3"/>
    <w:rsid w:val="00A77513"/>
    <w:rsid w:val="00A77F8D"/>
    <w:rsid w:val="00A80798"/>
    <w:rsid w:val="00A807BD"/>
    <w:rsid w:val="00A8107E"/>
    <w:rsid w:val="00A8172B"/>
    <w:rsid w:val="00A81A15"/>
    <w:rsid w:val="00A823C4"/>
    <w:rsid w:val="00A824B0"/>
    <w:rsid w:val="00A828E8"/>
    <w:rsid w:val="00A82F5C"/>
    <w:rsid w:val="00A83265"/>
    <w:rsid w:val="00A83396"/>
    <w:rsid w:val="00A833BF"/>
    <w:rsid w:val="00A83CEE"/>
    <w:rsid w:val="00A8407A"/>
    <w:rsid w:val="00A8443B"/>
    <w:rsid w:val="00A85A1F"/>
    <w:rsid w:val="00A8647A"/>
    <w:rsid w:val="00A868C0"/>
    <w:rsid w:val="00A8759E"/>
    <w:rsid w:val="00A90307"/>
    <w:rsid w:val="00A90645"/>
    <w:rsid w:val="00A90E74"/>
    <w:rsid w:val="00A9148A"/>
    <w:rsid w:val="00A930E8"/>
    <w:rsid w:val="00A931AA"/>
    <w:rsid w:val="00A9409B"/>
    <w:rsid w:val="00A94986"/>
    <w:rsid w:val="00A95924"/>
    <w:rsid w:val="00A96A69"/>
    <w:rsid w:val="00A9778A"/>
    <w:rsid w:val="00AA03FA"/>
    <w:rsid w:val="00AA0FB3"/>
    <w:rsid w:val="00AA11B5"/>
    <w:rsid w:val="00AA1A55"/>
    <w:rsid w:val="00AA1B32"/>
    <w:rsid w:val="00AA1B75"/>
    <w:rsid w:val="00AA1DED"/>
    <w:rsid w:val="00AA22B7"/>
    <w:rsid w:val="00AA24AF"/>
    <w:rsid w:val="00AA2B54"/>
    <w:rsid w:val="00AA3123"/>
    <w:rsid w:val="00AA32ED"/>
    <w:rsid w:val="00AA3317"/>
    <w:rsid w:val="00AA332E"/>
    <w:rsid w:val="00AA3EC2"/>
    <w:rsid w:val="00AA45BC"/>
    <w:rsid w:val="00AA5570"/>
    <w:rsid w:val="00AA55B7"/>
    <w:rsid w:val="00AA5B9E"/>
    <w:rsid w:val="00AA674B"/>
    <w:rsid w:val="00AA6BC1"/>
    <w:rsid w:val="00AA70F8"/>
    <w:rsid w:val="00AA7E5A"/>
    <w:rsid w:val="00AB025D"/>
    <w:rsid w:val="00AB02EF"/>
    <w:rsid w:val="00AB030A"/>
    <w:rsid w:val="00AB03AA"/>
    <w:rsid w:val="00AB043B"/>
    <w:rsid w:val="00AB04CD"/>
    <w:rsid w:val="00AB0953"/>
    <w:rsid w:val="00AB2407"/>
    <w:rsid w:val="00AB39AA"/>
    <w:rsid w:val="00AB4034"/>
    <w:rsid w:val="00AB4337"/>
    <w:rsid w:val="00AB53DF"/>
    <w:rsid w:val="00AB5776"/>
    <w:rsid w:val="00AB58DA"/>
    <w:rsid w:val="00AB5A40"/>
    <w:rsid w:val="00AB5D18"/>
    <w:rsid w:val="00AB5D86"/>
    <w:rsid w:val="00AB635F"/>
    <w:rsid w:val="00AB639D"/>
    <w:rsid w:val="00AB65C2"/>
    <w:rsid w:val="00AB69E3"/>
    <w:rsid w:val="00AB71F1"/>
    <w:rsid w:val="00AB72CC"/>
    <w:rsid w:val="00AB78BA"/>
    <w:rsid w:val="00AB7B0B"/>
    <w:rsid w:val="00AC048C"/>
    <w:rsid w:val="00AC09A0"/>
    <w:rsid w:val="00AC0A90"/>
    <w:rsid w:val="00AC0BB5"/>
    <w:rsid w:val="00AC1574"/>
    <w:rsid w:val="00AC1E21"/>
    <w:rsid w:val="00AC24F4"/>
    <w:rsid w:val="00AC2B39"/>
    <w:rsid w:val="00AC2E9D"/>
    <w:rsid w:val="00AC371E"/>
    <w:rsid w:val="00AC38ED"/>
    <w:rsid w:val="00AC3D9D"/>
    <w:rsid w:val="00AC42B4"/>
    <w:rsid w:val="00AC4755"/>
    <w:rsid w:val="00AC504F"/>
    <w:rsid w:val="00AC5743"/>
    <w:rsid w:val="00AC5F87"/>
    <w:rsid w:val="00AC6000"/>
    <w:rsid w:val="00AC6064"/>
    <w:rsid w:val="00AC645A"/>
    <w:rsid w:val="00AC6FA2"/>
    <w:rsid w:val="00AC74CA"/>
    <w:rsid w:val="00AC7F33"/>
    <w:rsid w:val="00AD05FB"/>
    <w:rsid w:val="00AD0F26"/>
    <w:rsid w:val="00AD10C2"/>
    <w:rsid w:val="00AD10D1"/>
    <w:rsid w:val="00AD26F5"/>
    <w:rsid w:val="00AD34AD"/>
    <w:rsid w:val="00AD4077"/>
    <w:rsid w:val="00AD411A"/>
    <w:rsid w:val="00AD5213"/>
    <w:rsid w:val="00AD53BA"/>
    <w:rsid w:val="00AD5894"/>
    <w:rsid w:val="00AD6277"/>
    <w:rsid w:val="00AD7497"/>
    <w:rsid w:val="00AE0203"/>
    <w:rsid w:val="00AE03D7"/>
    <w:rsid w:val="00AE17D7"/>
    <w:rsid w:val="00AE195A"/>
    <w:rsid w:val="00AE1E70"/>
    <w:rsid w:val="00AE2242"/>
    <w:rsid w:val="00AE29C6"/>
    <w:rsid w:val="00AE2BC9"/>
    <w:rsid w:val="00AE3438"/>
    <w:rsid w:val="00AE3554"/>
    <w:rsid w:val="00AE464E"/>
    <w:rsid w:val="00AE4CB7"/>
    <w:rsid w:val="00AE4FE3"/>
    <w:rsid w:val="00AE529F"/>
    <w:rsid w:val="00AE69E2"/>
    <w:rsid w:val="00AE6DBB"/>
    <w:rsid w:val="00AE711D"/>
    <w:rsid w:val="00AE77AA"/>
    <w:rsid w:val="00AE77B4"/>
    <w:rsid w:val="00AF0161"/>
    <w:rsid w:val="00AF01AA"/>
    <w:rsid w:val="00AF0241"/>
    <w:rsid w:val="00AF0A75"/>
    <w:rsid w:val="00AF0C94"/>
    <w:rsid w:val="00AF15C8"/>
    <w:rsid w:val="00AF15D4"/>
    <w:rsid w:val="00AF20B6"/>
    <w:rsid w:val="00AF2370"/>
    <w:rsid w:val="00AF30C3"/>
    <w:rsid w:val="00AF34E3"/>
    <w:rsid w:val="00AF3767"/>
    <w:rsid w:val="00AF4C7A"/>
    <w:rsid w:val="00AF4CE1"/>
    <w:rsid w:val="00AF596C"/>
    <w:rsid w:val="00AF650F"/>
    <w:rsid w:val="00AF7212"/>
    <w:rsid w:val="00AF7219"/>
    <w:rsid w:val="00AF750D"/>
    <w:rsid w:val="00AF7CED"/>
    <w:rsid w:val="00B000A7"/>
    <w:rsid w:val="00B0015A"/>
    <w:rsid w:val="00B00F8F"/>
    <w:rsid w:val="00B00FC1"/>
    <w:rsid w:val="00B01636"/>
    <w:rsid w:val="00B019D6"/>
    <w:rsid w:val="00B01AFD"/>
    <w:rsid w:val="00B026E2"/>
    <w:rsid w:val="00B0352C"/>
    <w:rsid w:val="00B03A69"/>
    <w:rsid w:val="00B03D5F"/>
    <w:rsid w:val="00B0457E"/>
    <w:rsid w:val="00B045F8"/>
    <w:rsid w:val="00B05721"/>
    <w:rsid w:val="00B05EA5"/>
    <w:rsid w:val="00B06098"/>
    <w:rsid w:val="00B066CA"/>
    <w:rsid w:val="00B06785"/>
    <w:rsid w:val="00B06EFA"/>
    <w:rsid w:val="00B07B32"/>
    <w:rsid w:val="00B07E5C"/>
    <w:rsid w:val="00B07E7A"/>
    <w:rsid w:val="00B10116"/>
    <w:rsid w:val="00B1025B"/>
    <w:rsid w:val="00B1066B"/>
    <w:rsid w:val="00B10C00"/>
    <w:rsid w:val="00B10E1D"/>
    <w:rsid w:val="00B11160"/>
    <w:rsid w:val="00B118BF"/>
    <w:rsid w:val="00B119F0"/>
    <w:rsid w:val="00B11EC2"/>
    <w:rsid w:val="00B1217D"/>
    <w:rsid w:val="00B127C7"/>
    <w:rsid w:val="00B1286C"/>
    <w:rsid w:val="00B12D03"/>
    <w:rsid w:val="00B12D97"/>
    <w:rsid w:val="00B13C85"/>
    <w:rsid w:val="00B13F80"/>
    <w:rsid w:val="00B145FD"/>
    <w:rsid w:val="00B1522C"/>
    <w:rsid w:val="00B158B5"/>
    <w:rsid w:val="00B16677"/>
    <w:rsid w:val="00B17108"/>
    <w:rsid w:val="00B17212"/>
    <w:rsid w:val="00B17BFC"/>
    <w:rsid w:val="00B17C67"/>
    <w:rsid w:val="00B17C6E"/>
    <w:rsid w:val="00B2042D"/>
    <w:rsid w:val="00B205BD"/>
    <w:rsid w:val="00B20F40"/>
    <w:rsid w:val="00B21BCF"/>
    <w:rsid w:val="00B22AFC"/>
    <w:rsid w:val="00B23011"/>
    <w:rsid w:val="00B234BB"/>
    <w:rsid w:val="00B2382F"/>
    <w:rsid w:val="00B2453D"/>
    <w:rsid w:val="00B24C43"/>
    <w:rsid w:val="00B25431"/>
    <w:rsid w:val="00B258E7"/>
    <w:rsid w:val="00B26A13"/>
    <w:rsid w:val="00B26D2F"/>
    <w:rsid w:val="00B26FE9"/>
    <w:rsid w:val="00B277FA"/>
    <w:rsid w:val="00B27C77"/>
    <w:rsid w:val="00B27D2F"/>
    <w:rsid w:val="00B27ED8"/>
    <w:rsid w:val="00B3032C"/>
    <w:rsid w:val="00B3045A"/>
    <w:rsid w:val="00B305A5"/>
    <w:rsid w:val="00B3068D"/>
    <w:rsid w:val="00B308DC"/>
    <w:rsid w:val="00B3197E"/>
    <w:rsid w:val="00B31AEE"/>
    <w:rsid w:val="00B31C81"/>
    <w:rsid w:val="00B323BC"/>
    <w:rsid w:val="00B326CC"/>
    <w:rsid w:val="00B32AB8"/>
    <w:rsid w:val="00B32BEB"/>
    <w:rsid w:val="00B34FEE"/>
    <w:rsid w:val="00B352E6"/>
    <w:rsid w:val="00B35403"/>
    <w:rsid w:val="00B35C01"/>
    <w:rsid w:val="00B35C10"/>
    <w:rsid w:val="00B35E00"/>
    <w:rsid w:val="00B365D7"/>
    <w:rsid w:val="00B36840"/>
    <w:rsid w:val="00B370D3"/>
    <w:rsid w:val="00B3731A"/>
    <w:rsid w:val="00B37755"/>
    <w:rsid w:val="00B3791B"/>
    <w:rsid w:val="00B37936"/>
    <w:rsid w:val="00B37B2F"/>
    <w:rsid w:val="00B402F7"/>
    <w:rsid w:val="00B4046E"/>
    <w:rsid w:val="00B414C3"/>
    <w:rsid w:val="00B41D12"/>
    <w:rsid w:val="00B42492"/>
    <w:rsid w:val="00B425C7"/>
    <w:rsid w:val="00B42A2D"/>
    <w:rsid w:val="00B4314D"/>
    <w:rsid w:val="00B43427"/>
    <w:rsid w:val="00B4359E"/>
    <w:rsid w:val="00B4374C"/>
    <w:rsid w:val="00B43A13"/>
    <w:rsid w:val="00B4450A"/>
    <w:rsid w:val="00B451A7"/>
    <w:rsid w:val="00B451B9"/>
    <w:rsid w:val="00B45A28"/>
    <w:rsid w:val="00B45EAD"/>
    <w:rsid w:val="00B46E83"/>
    <w:rsid w:val="00B51162"/>
    <w:rsid w:val="00B51626"/>
    <w:rsid w:val="00B5170D"/>
    <w:rsid w:val="00B51881"/>
    <w:rsid w:val="00B52763"/>
    <w:rsid w:val="00B530EA"/>
    <w:rsid w:val="00B5366B"/>
    <w:rsid w:val="00B539E9"/>
    <w:rsid w:val="00B53AED"/>
    <w:rsid w:val="00B53C2B"/>
    <w:rsid w:val="00B53D28"/>
    <w:rsid w:val="00B540A7"/>
    <w:rsid w:val="00B54375"/>
    <w:rsid w:val="00B54F51"/>
    <w:rsid w:val="00B55430"/>
    <w:rsid w:val="00B556C8"/>
    <w:rsid w:val="00B55F29"/>
    <w:rsid w:val="00B564F7"/>
    <w:rsid w:val="00B568F8"/>
    <w:rsid w:val="00B57645"/>
    <w:rsid w:val="00B57751"/>
    <w:rsid w:val="00B5787C"/>
    <w:rsid w:val="00B57E21"/>
    <w:rsid w:val="00B600B8"/>
    <w:rsid w:val="00B600FA"/>
    <w:rsid w:val="00B602A5"/>
    <w:rsid w:val="00B606F7"/>
    <w:rsid w:val="00B60F61"/>
    <w:rsid w:val="00B614BB"/>
    <w:rsid w:val="00B62A1E"/>
    <w:rsid w:val="00B63181"/>
    <w:rsid w:val="00B6326F"/>
    <w:rsid w:val="00B63677"/>
    <w:rsid w:val="00B63D52"/>
    <w:rsid w:val="00B64209"/>
    <w:rsid w:val="00B64F29"/>
    <w:rsid w:val="00B65108"/>
    <w:rsid w:val="00B65F5B"/>
    <w:rsid w:val="00B66548"/>
    <w:rsid w:val="00B66A06"/>
    <w:rsid w:val="00B66EFB"/>
    <w:rsid w:val="00B671F3"/>
    <w:rsid w:val="00B672B7"/>
    <w:rsid w:val="00B6736B"/>
    <w:rsid w:val="00B6749C"/>
    <w:rsid w:val="00B67555"/>
    <w:rsid w:val="00B676F7"/>
    <w:rsid w:val="00B702A6"/>
    <w:rsid w:val="00B70753"/>
    <w:rsid w:val="00B70FBE"/>
    <w:rsid w:val="00B71D4A"/>
    <w:rsid w:val="00B724BF"/>
    <w:rsid w:val="00B72777"/>
    <w:rsid w:val="00B729B7"/>
    <w:rsid w:val="00B72D06"/>
    <w:rsid w:val="00B72D34"/>
    <w:rsid w:val="00B72D75"/>
    <w:rsid w:val="00B73481"/>
    <w:rsid w:val="00B73D2C"/>
    <w:rsid w:val="00B7404B"/>
    <w:rsid w:val="00B741C1"/>
    <w:rsid w:val="00B74400"/>
    <w:rsid w:val="00B74E2B"/>
    <w:rsid w:val="00B75757"/>
    <w:rsid w:val="00B75DC4"/>
    <w:rsid w:val="00B76279"/>
    <w:rsid w:val="00B7678B"/>
    <w:rsid w:val="00B76E23"/>
    <w:rsid w:val="00B773A8"/>
    <w:rsid w:val="00B77A57"/>
    <w:rsid w:val="00B77DAC"/>
    <w:rsid w:val="00B801E1"/>
    <w:rsid w:val="00B806BE"/>
    <w:rsid w:val="00B80909"/>
    <w:rsid w:val="00B80E15"/>
    <w:rsid w:val="00B80FDC"/>
    <w:rsid w:val="00B811AD"/>
    <w:rsid w:val="00B811F7"/>
    <w:rsid w:val="00B812CA"/>
    <w:rsid w:val="00B82339"/>
    <w:rsid w:val="00B82583"/>
    <w:rsid w:val="00B8296C"/>
    <w:rsid w:val="00B8347D"/>
    <w:rsid w:val="00B83C8B"/>
    <w:rsid w:val="00B83F06"/>
    <w:rsid w:val="00B844F7"/>
    <w:rsid w:val="00B84688"/>
    <w:rsid w:val="00B8499F"/>
    <w:rsid w:val="00B858CD"/>
    <w:rsid w:val="00B8738E"/>
    <w:rsid w:val="00B87813"/>
    <w:rsid w:val="00B87D26"/>
    <w:rsid w:val="00B9069A"/>
    <w:rsid w:val="00B90A86"/>
    <w:rsid w:val="00B91966"/>
    <w:rsid w:val="00B91D78"/>
    <w:rsid w:val="00B91FA8"/>
    <w:rsid w:val="00B91FBD"/>
    <w:rsid w:val="00B927F0"/>
    <w:rsid w:val="00B92C86"/>
    <w:rsid w:val="00B93462"/>
    <w:rsid w:val="00B938D1"/>
    <w:rsid w:val="00B93CA5"/>
    <w:rsid w:val="00B94341"/>
    <w:rsid w:val="00B94490"/>
    <w:rsid w:val="00B94B21"/>
    <w:rsid w:val="00B94C8A"/>
    <w:rsid w:val="00B94F41"/>
    <w:rsid w:val="00B94F4D"/>
    <w:rsid w:val="00B952BA"/>
    <w:rsid w:val="00B95615"/>
    <w:rsid w:val="00B95C54"/>
    <w:rsid w:val="00B9618C"/>
    <w:rsid w:val="00B9695E"/>
    <w:rsid w:val="00B97C19"/>
    <w:rsid w:val="00B97EA1"/>
    <w:rsid w:val="00B97F12"/>
    <w:rsid w:val="00BA0248"/>
    <w:rsid w:val="00BA042B"/>
    <w:rsid w:val="00BA049F"/>
    <w:rsid w:val="00BA0C13"/>
    <w:rsid w:val="00BA0C6F"/>
    <w:rsid w:val="00BA1AF0"/>
    <w:rsid w:val="00BA2187"/>
    <w:rsid w:val="00BA23DB"/>
    <w:rsid w:val="00BA3529"/>
    <w:rsid w:val="00BA3720"/>
    <w:rsid w:val="00BA3784"/>
    <w:rsid w:val="00BA485C"/>
    <w:rsid w:val="00BA4ABA"/>
    <w:rsid w:val="00BA4B9A"/>
    <w:rsid w:val="00BA4EBD"/>
    <w:rsid w:val="00BA4F1B"/>
    <w:rsid w:val="00BA58C7"/>
    <w:rsid w:val="00BA5DB8"/>
    <w:rsid w:val="00BA5DC6"/>
    <w:rsid w:val="00BA6035"/>
    <w:rsid w:val="00BA6196"/>
    <w:rsid w:val="00BA63BB"/>
    <w:rsid w:val="00BA7473"/>
    <w:rsid w:val="00BA7E70"/>
    <w:rsid w:val="00BB0004"/>
    <w:rsid w:val="00BB0706"/>
    <w:rsid w:val="00BB0EEE"/>
    <w:rsid w:val="00BB1025"/>
    <w:rsid w:val="00BB2C8F"/>
    <w:rsid w:val="00BB2D98"/>
    <w:rsid w:val="00BB32A4"/>
    <w:rsid w:val="00BB3B96"/>
    <w:rsid w:val="00BB3C2D"/>
    <w:rsid w:val="00BB3C80"/>
    <w:rsid w:val="00BB3D1D"/>
    <w:rsid w:val="00BB3DCB"/>
    <w:rsid w:val="00BB4536"/>
    <w:rsid w:val="00BB5B1E"/>
    <w:rsid w:val="00BB5D1C"/>
    <w:rsid w:val="00BB62C0"/>
    <w:rsid w:val="00BB668D"/>
    <w:rsid w:val="00BB6BBA"/>
    <w:rsid w:val="00BB6F07"/>
    <w:rsid w:val="00BB74C7"/>
    <w:rsid w:val="00BB7930"/>
    <w:rsid w:val="00BC071E"/>
    <w:rsid w:val="00BC07DC"/>
    <w:rsid w:val="00BC21D9"/>
    <w:rsid w:val="00BC2E24"/>
    <w:rsid w:val="00BC3155"/>
    <w:rsid w:val="00BC3911"/>
    <w:rsid w:val="00BC3953"/>
    <w:rsid w:val="00BC414B"/>
    <w:rsid w:val="00BC43A0"/>
    <w:rsid w:val="00BC5A92"/>
    <w:rsid w:val="00BC6A75"/>
    <w:rsid w:val="00BC6D42"/>
    <w:rsid w:val="00BC6D8C"/>
    <w:rsid w:val="00BC71D0"/>
    <w:rsid w:val="00BC7251"/>
    <w:rsid w:val="00BC7346"/>
    <w:rsid w:val="00BC740C"/>
    <w:rsid w:val="00BC76C1"/>
    <w:rsid w:val="00BC7F71"/>
    <w:rsid w:val="00BD0333"/>
    <w:rsid w:val="00BD081B"/>
    <w:rsid w:val="00BD0A17"/>
    <w:rsid w:val="00BD0DD4"/>
    <w:rsid w:val="00BD0EF3"/>
    <w:rsid w:val="00BD114B"/>
    <w:rsid w:val="00BD139A"/>
    <w:rsid w:val="00BD13C8"/>
    <w:rsid w:val="00BD1D09"/>
    <w:rsid w:val="00BD20C1"/>
    <w:rsid w:val="00BD2236"/>
    <w:rsid w:val="00BD2DBC"/>
    <w:rsid w:val="00BD3AD0"/>
    <w:rsid w:val="00BD3E61"/>
    <w:rsid w:val="00BD41E2"/>
    <w:rsid w:val="00BD4CCC"/>
    <w:rsid w:val="00BD4D27"/>
    <w:rsid w:val="00BD4D94"/>
    <w:rsid w:val="00BD5A31"/>
    <w:rsid w:val="00BD60C4"/>
    <w:rsid w:val="00BD66D5"/>
    <w:rsid w:val="00BD6F63"/>
    <w:rsid w:val="00BD7413"/>
    <w:rsid w:val="00BD7449"/>
    <w:rsid w:val="00BD76EA"/>
    <w:rsid w:val="00BD78B6"/>
    <w:rsid w:val="00BD7C34"/>
    <w:rsid w:val="00BE03AE"/>
    <w:rsid w:val="00BE089D"/>
    <w:rsid w:val="00BE119C"/>
    <w:rsid w:val="00BE1C28"/>
    <w:rsid w:val="00BE24E4"/>
    <w:rsid w:val="00BE2AE9"/>
    <w:rsid w:val="00BE30AF"/>
    <w:rsid w:val="00BE4379"/>
    <w:rsid w:val="00BE486B"/>
    <w:rsid w:val="00BE4A51"/>
    <w:rsid w:val="00BE5147"/>
    <w:rsid w:val="00BE54BA"/>
    <w:rsid w:val="00BE54BC"/>
    <w:rsid w:val="00BE55D5"/>
    <w:rsid w:val="00BE5795"/>
    <w:rsid w:val="00BE587D"/>
    <w:rsid w:val="00BE5AF1"/>
    <w:rsid w:val="00BE5FAC"/>
    <w:rsid w:val="00BE6B6F"/>
    <w:rsid w:val="00BE6C28"/>
    <w:rsid w:val="00BE6DE2"/>
    <w:rsid w:val="00BF02F8"/>
    <w:rsid w:val="00BF07C0"/>
    <w:rsid w:val="00BF18AB"/>
    <w:rsid w:val="00BF212E"/>
    <w:rsid w:val="00BF21B3"/>
    <w:rsid w:val="00BF2414"/>
    <w:rsid w:val="00BF28E9"/>
    <w:rsid w:val="00BF2F12"/>
    <w:rsid w:val="00BF2F3E"/>
    <w:rsid w:val="00BF3820"/>
    <w:rsid w:val="00BF3C4D"/>
    <w:rsid w:val="00BF3F7E"/>
    <w:rsid w:val="00BF4707"/>
    <w:rsid w:val="00BF479E"/>
    <w:rsid w:val="00BF4BED"/>
    <w:rsid w:val="00BF4EA5"/>
    <w:rsid w:val="00BF7728"/>
    <w:rsid w:val="00BF7D0B"/>
    <w:rsid w:val="00BF7F20"/>
    <w:rsid w:val="00C00347"/>
    <w:rsid w:val="00C005FD"/>
    <w:rsid w:val="00C014E8"/>
    <w:rsid w:val="00C01663"/>
    <w:rsid w:val="00C01C2F"/>
    <w:rsid w:val="00C0232B"/>
    <w:rsid w:val="00C026D6"/>
    <w:rsid w:val="00C02CEB"/>
    <w:rsid w:val="00C02DFB"/>
    <w:rsid w:val="00C02EFE"/>
    <w:rsid w:val="00C03C91"/>
    <w:rsid w:val="00C04343"/>
    <w:rsid w:val="00C0469B"/>
    <w:rsid w:val="00C04B5A"/>
    <w:rsid w:val="00C05015"/>
    <w:rsid w:val="00C052C9"/>
    <w:rsid w:val="00C052F1"/>
    <w:rsid w:val="00C0542E"/>
    <w:rsid w:val="00C0586C"/>
    <w:rsid w:val="00C060E5"/>
    <w:rsid w:val="00C06573"/>
    <w:rsid w:val="00C06A2A"/>
    <w:rsid w:val="00C06D10"/>
    <w:rsid w:val="00C06EDE"/>
    <w:rsid w:val="00C071B5"/>
    <w:rsid w:val="00C07544"/>
    <w:rsid w:val="00C07C24"/>
    <w:rsid w:val="00C07CBB"/>
    <w:rsid w:val="00C10328"/>
    <w:rsid w:val="00C103AB"/>
    <w:rsid w:val="00C10888"/>
    <w:rsid w:val="00C11032"/>
    <w:rsid w:val="00C11344"/>
    <w:rsid w:val="00C1137B"/>
    <w:rsid w:val="00C11892"/>
    <w:rsid w:val="00C12216"/>
    <w:rsid w:val="00C12401"/>
    <w:rsid w:val="00C129D2"/>
    <w:rsid w:val="00C12C1A"/>
    <w:rsid w:val="00C12FCA"/>
    <w:rsid w:val="00C14CB4"/>
    <w:rsid w:val="00C14D46"/>
    <w:rsid w:val="00C14EF6"/>
    <w:rsid w:val="00C1529A"/>
    <w:rsid w:val="00C15D24"/>
    <w:rsid w:val="00C1605D"/>
    <w:rsid w:val="00C16205"/>
    <w:rsid w:val="00C1694B"/>
    <w:rsid w:val="00C16A1C"/>
    <w:rsid w:val="00C16D7E"/>
    <w:rsid w:val="00C1733D"/>
    <w:rsid w:val="00C17570"/>
    <w:rsid w:val="00C17743"/>
    <w:rsid w:val="00C17820"/>
    <w:rsid w:val="00C17B23"/>
    <w:rsid w:val="00C201A9"/>
    <w:rsid w:val="00C206A4"/>
    <w:rsid w:val="00C20839"/>
    <w:rsid w:val="00C209E3"/>
    <w:rsid w:val="00C213C8"/>
    <w:rsid w:val="00C218E0"/>
    <w:rsid w:val="00C23527"/>
    <w:rsid w:val="00C23565"/>
    <w:rsid w:val="00C23B80"/>
    <w:rsid w:val="00C23DE8"/>
    <w:rsid w:val="00C23E19"/>
    <w:rsid w:val="00C2429E"/>
    <w:rsid w:val="00C24ED5"/>
    <w:rsid w:val="00C25131"/>
    <w:rsid w:val="00C254F1"/>
    <w:rsid w:val="00C26381"/>
    <w:rsid w:val="00C26C29"/>
    <w:rsid w:val="00C275F0"/>
    <w:rsid w:val="00C27C49"/>
    <w:rsid w:val="00C27DE3"/>
    <w:rsid w:val="00C301F4"/>
    <w:rsid w:val="00C3066D"/>
    <w:rsid w:val="00C30784"/>
    <w:rsid w:val="00C307FE"/>
    <w:rsid w:val="00C30AE3"/>
    <w:rsid w:val="00C3132C"/>
    <w:rsid w:val="00C316A0"/>
    <w:rsid w:val="00C31B8F"/>
    <w:rsid w:val="00C32134"/>
    <w:rsid w:val="00C3307E"/>
    <w:rsid w:val="00C33A3F"/>
    <w:rsid w:val="00C33F4B"/>
    <w:rsid w:val="00C34006"/>
    <w:rsid w:val="00C3414C"/>
    <w:rsid w:val="00C343A6"/>
    <w:rsid w:val="00C345BF"/>
    <w:rsid w:val="00C34702"/>
    <w:rsid w:val="00C3475A"/>
    <w:rsid w:val="00C34D6A"/>
    <w:rsid w:val="00C356F0"/>
    <w:rsid w:val="00C35ADF"/>
    <w:rsid w:val="00C35F35"/>
    <w:rsid w:val="00C36218"/>
    <w:rsid w:val="00C36B4C"/>
    <w:rsid w:val="00C36E3A"/>
    <w:rsid w:val="00C3786E"/>
    <w:rsid w:val="00C4097A"/>
    <w:rsid w:val="00C40A1D"/>
    <w:rsid w:val="00C41115"/>
    <w:rsid w:val="00C411DA"/>
    <w:rsid w:val="00C41827"/>
    <w:rsid w:val="00C41CE4"/>
    <w:rsid w:val="00C426B1"/>
    <w:rsid w:val="00C4337D"/>
    <w:rsid w:val="00C43BD7"/>
    <w:rsid w:val="00C44277"/>
    <w:rsid w:val="00C442C2"/>
    <w:rsid w:val="00C445B8"/>
    <w:rsid w:val="00C44672"/>
    <w:rsid w:val="00C452A5"/>
    <w:rsid w:val="00C452F9"/>
    <w:rsid w:val="00C4574E"/>
    <w:rsid w:val="00C45A05"/>
    <w:rsid w:val="00C461AC"/>
    <w:rsid w:val="00C46206"/>
    <w:rsid w:val="00C462CA"/>
    <w:rsid w:val="00C4649E"/>
    <w:rsid w:val="00C4658D"/>
    <w:rsid w:val="00C46B6F"/>
    <w:rsid w:val="00C47B28"/>
    <w:rsid w:val="00C501B0"/>
    <w:rsid w:val="00C5032B"/>
    <w:rsid w:val="00C50618"/>
    <w:rsid w:val="00C509EF"/>
    <w:rsid w:val="00C50FC7"/>
    <w:rsid w:val="00C50FCE"/>
    <w:rsid w:val="00C51002"/>
    <w:rsid w:val="00C51E28"/>
    <w:rsid w:val="00C51F4E"/>
    <w:rsid w:val="00C526EC"/>
    <w:rsid w:val="00C529A0"/>
    <w:rsid w:val="00C52B2B"/>
    <w:rsid w:val="00C52E10"/>
    <w:rsid w:val="00C530B8"/>
    <w:rsid w:val="00C5312E"/>
    <w:rsid w:val="00C53217"/>
    <w:rsid w:val="00C532B8"/>
    <w:rsid w:val="00C5367A"/>
    <w:rsid w:val="00C544D7"/>
    <w:rsid w:val="00C54702"/>
    <w:rsid w:val="00C54980"/>
    <w:rsid w:val="00C54E5A"/>
    <w:rsid w:val="00C5571D"/>
    <w:rsid w:val="00C55998"/>
    <w:rsid w:val="00C55C95"/>
    <w:rsid w:val="00C55ED6"/>
    <w:rsid w:val="00C560D6"/>
    <w:rsid w:val="00C56202"/>
    <w:rsid w:val="00C56331"/>
    <w:rsid w:val="00C56339"/>
    <w:rsid w:val="00C56E24"/>
    <w:rsid w:val="00C578FE"/>
    <w:rsid w:val="00C57BB7"/>
    <w:rsid w:val="00C60040"/>
    <w:rsid w:val="00C6018A"/>
    <w:rsid w:val="00C60F35"/>
    <w:rsid w:val="00C60F96"/>
    <w:rsid w:val="00C6105F"/>
    <w:rsid w:val="00C61C3E"/>
    <w:rsid w:val="00C625B8"/>
    <w:rsid w:val="00C62773"/>
    <w:rsid w:val="00C63946"/>
    <w:rsid w:val="00C64BD9"/>
    <w:rsid w:val="00C66160"/>
    <w:rsid w:val="00C6789F"/>
    <w:rsid w:val="00C70713"/>
    <w:rsid w:val="00C70C20"/>
    <w:rsid w:val="00C70ECC"/>
    <w:rsid w:val="00C70EEC"/>
    <w:rsid w:val="00C71800"/>
    <w:rsid w:val="00C720BC"/>
    <w:rsid w:val="00C721AC"/>
    <w:rsid w:val="00C72DB4"/>
    <w:rsid w:val="00C73338"/>
    <w:rsid w:val="00C73A46"/>
    <w:rsid w:val="00C74B35"/>
    <w:rsid w:val="00C750A7"/>
    <w:rsid w:val="00C750E8"/>
    <w:rsid w:val="00C7514D"/>
    <w:rsid w:val="00C7530D"/>
    <w:rsid w:val="00C75457"/>
    <w:rsid w:val="00C755FB"/>
    <w:rsid w:val="00C758BD"/>
    <w:rsid w:val="00C75A72"/>
    <w:rsid w:val="00C7638D"/>
    <w:rsid w:val="00C763F6"/>
    <w:rsid w:val="00C766BC"/>
    <w:rsid w:val="00C76AE4"/>
    <w:rsid w:val="00C7740A"/>
    <w:rsid w:val="00C7777A"/>
    <w:rsid w:val="00C7792A"/>
    <w:rsid w:val="00C77BE3"/>
    <w:rsid w:val="00C77CAF"/>
    <w:rsid w:val="00C77FB7"/>
    <w:rsid w:val="00C80E3F"/>
    <w:rsid w:val="00C813D1"/>
    <w:rsid w:val="00C8308D"/>
    <w:rsid w:val="00C8324C"/>
    <w:rsid w:val="00C834C2"/>
    <w:rsid w:val="00C83AB9"/>
    <w:rsid w:val="00C84504"/>
    <w:rsid w:val="00C84754"/>
    <w:rsid w:val="00C84A88"/>
    <w:rsid w:val="00C84AD7"/>
    <w:rsid w:val="00C85D72"/>
    <w:rsid w:val="00C8617C"/>
    <w:rsid w:val="00C863C2"/>
    <w:rsid w:val="00C863F0"/>
    <w:rsid w:val="00C86C3E"/>
    <w:rsid w:val="00C87067"/>
    <w:rsid w:val="00C874DD"/>
    <w:rsid w:val="00C874EB"/>
    <w:rsid w:val="00C87735"/>
    <w:rsid w:val="00C87819"/>
    <w:rsid w:val="00C87844"/>
    <w:rsid w:val="00C87B12"/>
    <w:rsid w:val="00C9009E"/>
    <w:rsid w:val="00C90D6A"/>
    <w:rsid w:val="00C911B9"/>
    <w:rsid w:val="00C925C9"/>
    <w:rsid w:val="00C92CA1"/>
    <w:rsid w:val="00C92CC2"/>
    <w:rsid w:val="00C92D75"/>
    <w:rsid w:val="00C92DBB"/>
    <w:rsid w:val="00C9317E"/>
    <w:rsid w:val="00C93460"/>
    <w:rsid w:val="00C9357F"/>
    <w:rsid w:val="00C94B3F"/>
    <w:rsid w:val="00C94D7C"/>
    <w:rsid w:val="00C94E91"/>
    <w:rsid w:val="00C94F5F"/>
    <w:rsid w:val="00C96545"/>
    <w:rsid w:val="00C96C9F"/>
    <w:rsid w:val="00C96DA7"/>
    <w:rsid w:val="00C96ECF"/>
    <w:rsid w:val="00CA0708"/>
    <w:rsid w:val="00CA08E7"/>
    <w:rsid w:val="00CA0C63"/>
    <w:rsid w:val="00CA0DE2"/>
    <w:rsid w:val="00CA1D9E"/>
    <w:rsid w:val="00CA1EE3"/>
    <w:rsid w:val="00CA2300"/>
    <w:rsid w:val="00CA247E"/>
    <w:rsid w:val="00CA24DC"/>
    <w:rsid w:val="00CA2A72"/>
    <w:rsid w:val="00CA2AEA"/>
    <w:rsid w:val="00CA3ABC"/>
    <w:rsid w:val="00CA4221"/>
    <w:rsid w:val="00CA43B3"/>
    <w:rsid w:val="00CA46ED"/>
    <w:rsid w:val="00CA4AA1"/>
    <w:rsid w:val="00CA56D5"/>
    <w:rsid w:val="00CA56FB"/>
    <w:rsid w:val="00CA57DD"/>
    <w:rsid w:val="00CA5B6A"/>
    <w:rsid w:val="00CA6BFA"/>
    <w:rsid w:val="00CA6D21"/>
    <w:rsid w:val="00CA7524"/>
    <w:rsid w:val="00CA7606"/>
    <w:rsid w:val="00CA760E"/>
    <w:rsid w:val="00CA7B39"/>
    <w:rsid w:val="00CB0677"/>
    <w:rsid w:val="00CB105F"/>
    <w:rsid w:val="00CB1872"/>
    <w:rsid w:val="00CB1D69"/>
    <w:rsid w:val="00CB23E3"/>
    <w:rsid w:val="00CB3122"/>
    <w:rsid w:val="00CB3410"/>
    <w:rsid w:val="00CB3582"/>
    <w:rsid w:val="00CB566B"/>
    <w:rsid w:val="00CB5C71"/>
    <w:rsid w:val="00CB5C90"/>
    <w:rsid w:val="00CB6274"/>
    <w:rsid w:val="00CB638C"/>
    <w:rsid w:val="00CB6487"/>
    <w:rsid w:val="00CB70F1"/>
    <w:rsid w:val="00CB7D93"/>
    <w:rsid w:val="00CC0289"/>
    <w:rsid w:val="00CC0A99"/>
    <w:rsid w:val="00CC0B7D"/>
    <w:rsid w:val="00CC15C8"/>
    <w:rsid w:val="00CC179E"/>
    <w:rsid w:val="00CC1837"/>
    <w:rsid w:val="00CC2481"/>
    <w:rsid w:val="00CC2D3C"/>
    <w:rsid w:val="00CC2DC3"/>
    <w:rsid w:val="00CC2F6E"/>
    <w:rsid w:val="00CC351B"/>
    <w:rsid w:val="00CC365E"/>
    <w:rsid w:val="00CC366F"/>
    <w:rsid w:val="00CC3AD7"/>
    <w:rsid w:val="00CC3E81"/>
    <w:rsid w:val="00CC4D6A"/>
    <w:rsid w:val="00CC52B9"/>
    <w:rsid w:val="00CC5706"/>
    <w:rsid w:val="00CC5DFC"/>
    <w:rsid w:val="00CC60FE"/>
    <w:rsid w:val="00CC66E6"/>
    <w:rsid w:val="00CC6811"/>
    <w:rsid w:val="00CC72B6"/>
    <w:rsid w:val="00CC77ED"/>
    <w:rsid w:val="00CD0530"/>
    <w:rsid w:val="00CD0C80"/>
    <w:rsid w:val="00CD0DE7"/>
    <w:rsid w:val="00CD1BC5"/>
    <w:rsid w:val="00CD28F8"/>
    <w:rsid w:val="00CD3264"/>
    <w:rsid w:val="00CD3DF1"/>
    <w:rsid w:val="00CD40DD"/>
    <w:rsid w:val="00CD4621"/>
    <w:rsid w:val="00CD4792"/>
    <w:rsid w:val="00CD4896"/>
    <w:rsid w:val="00CD4F98"/>
    <w:rsid w:val="00CD5C7C"/>
    <w:rsid w:val="00CD5D58"/>
    <w:rsid w:val="00CD5F87"/>
    <w:rsid w:val="00CD6196"/>
    <w:rsid w:val="00CD6BC2"/>
    <w:rsid w:val="00CD6C05"/>
    <w:rsid w:val="00CD7092"/>
    <w:rsid w:val="00CD738B"/>
    <w:rsid w:val="00CD753E"/>
    <w:rsid w:val="00CD7F41"/>
    <w:rsid w:val="00CE0B70"/>
    <w:rsid w:val="00CE1918"/>
    <w:rsid w:val="00CE1DB2"/>
    <w:rsid w:val="00CE2307"/>
    <w:rsid w:val="00CE2563"/>
    <w:rsid w:val="00CE2F8D"/>
    <w:rsid w:val="00CE4DA5"/>
    <w:rsid w:val="00CE4DC7"/>
    <w:rsid w:val="00CE526C"/>
    <w:rsid w:val="00CE528C"/>
    <w:rsid w:val="00CE5B35"/>
    <w:rsid w:val="00CE5EB0"/>
    <w:rsid w:val="00CE6009"/>
    <w:rsid w:val="00CE6483"/>
    <w:rsid w:val="00CE65D5"/>
    <w:rsid w:val="00CE6AB0"/>
    <w:rsid w:val="00CE6C0D"/>
    <w:rsid w:val="00CE6CFD"/>
    <w:rsid w:val="00CE6E9B"/>
    <w:rsid w:val="00CE6F50"/>
    <w:rsid w:val="00CE788D"/>
    <w:rsid w:val="00CF050C"/>
    <w:rsid w:val="00CF0753"/>
    <w:rsid w:val="00CF0A76"/>
    <w:rsid w:val="00CF0E44"/>
    <w:rsid w:val="00CF0EB1"/>
    <w:rsid w:val="00CF239D"/>
    <w:rsid w:val="00CF2604"/>
    <w:rsid w:val="00CF30BD"/>
    <w:rsid w:val="00CF3436"/>
    <w:rsid w:val="00CF35D0"/>
    <w:rsid w:val="00CF422D"/>
    <w:rsid w:val="00CF4561"/>
    <w:rsid w:val="00CF4CE8"/>
    <w:rsid w:val="00CF4F43"/>
    <w:rsid w:val="00CF55A0"/>
    <w:rsid w:val="00CF5E4F"/>
    <w:rsid w:val="00CF5E60"/>
    <w:rsid w:val="00CF5F7A"/>
    <w:rsid w:val="00CF5F86"/>
    <w:rsid w:val="00CF5FEF"/>
    <w:rsid w:val="00CF6A93"/>
    <w:rsid w:val="00CF6AF0"/>
    <w:rsid w:val="00CF6F46"/>
    <w:rsid w:val="00CF7512"/>
    <w:rsid w:val="00CF773A"/>
    <w:rsid w:val="00CF7B19"/>
    <w:rsid w:val="00D00177"/>
    <w:rsid w:val="00D00B2B"/>
    <w:rsid w:val="00D00D83"/>
    <w:rsid w:val="00D0109F"/>
    <w:rsid w:val="00D016D4"/>
    <w:rsid w:val="00D0218D"/>
    <w:rsid w:val="00D02AB9"/>
    <w:rsid w:val="00D03852"/>
    <w:rsid w:val="00D03EBA"/>
    <w:rsid w:val="00D041B5"/>
    <w:rsid w:val="00D04B55"/>
    <w:rsid w:val="00D05452"/>
    <w:rsid w:val="00D05CE2"/>
    <w:rsid w:val="00D06362"/>
    <w:rsid w:val="00D06611"/>
    <w:rsid w:val="00D06A55"/>
    <w:rsid w:val="00D07D6B"/>
    <w:rsid w:val="00D07E25"/>
    <w:rsid w:val="00D102E8"/>
    <w:rsid w:val="00D1064D"/>
    <w:rsid w:val="00D108A0"/>
    <w:rsid w:val="00D11E00"/>
    <w:rsid w:val="00D125A5"/>
    <w:rsid w:val="00D126C1"/>
    <w:rsid w:val="00D12BA8"/>
    <w:rsid w:val="00D12BFA"/>
    <w:rsid w:val="00D135A8"/>
    <w:rsid w:val="00D13F7D"/>
    <w:rsid w:val="00D14136"/>
    <w:rsid w:val="00D14153"/>
    <w:rsid w:val="00D144E6"/>
    <w:rsid w:val="00D145FB"/>
    <w:rsid w:val="00D149E6"/>
    <w:rsid w:val="00D14A53"/>
    <w:rsid w:val="00D1659E"/>
    <w:rsid w:val="00D16608"/>
    <w:rsid w:val="00D16DDD"/>
    <w:rsid w:val="00D173C4"/>
    <w:rsid w:val="00D17D59"/>
    <w:rsid w:val="00D21046"/>
    <w:rsid w:val="00D21D4D"/>
    <w:rsid w:val="00D21FB5"/>
    <w:rsid w:val="00D22245"/>
    <w:rsid w:val="00D225A4"/>
    <w:rsid w:val="00D22770"/>
    <w:rsid w:val="00D22884"/>
    <w:rsid w:val="00D2293E"/>
    <w:rsid w:val="00D22B64"/>
    <w:rsid w:val="00D22FD8"/>
    <w:rsid w:val="00D22FE7"/>
    <w:rsid w:val="00D232FB"/>
    <w:rsid w:val="00D2396A"/>
    <w:rsid w:val="00D2421F"/>
    <w:rsid w:val="00D244AA"/>
    <w:rsid w:val="00D24DEE"/>
    <w:rsid w:val="00D25C4D"/>
    <w:rsid w:val="00D25CD0"/>
    <w:rsid w:val="00D25FB5"/>
    <w:rsid w:val="00D2693A"/>
    <w:rsid w:val="00D26C7D"/>
    <w:rsid w:val="00D2733D"/>
    <w:rsid w:val="00D27481"/>
    <w:rsid w:val="00D27486"/>
    <w:rsid w:val="00D27B66"/>
    <w:rsid w:val="00D27C94"/>
    <w:rsid w:val="00D300C8"/>
    <w:rsid w:val="00D304DF"/>
    <w:rsid w:val="00D30E38"/>
    <w:rsid w:val="00D31C17"/>
    <w:rsid w:val="00D34677"/>
    <w:rsid w:val="00D348B3"/>
    <w:rsid w:val="00D34B72"/>
    <w:rsid w:val="00D35293"/>
    <w:rsid w:val="00D3546B"/>
    <w:rsid w:val="00D35470"/>
    <w:rsid w:val="00D3586C"/>
    <w:rsid w:val="00D35B3C"/>
    <w:rsid w:val="00D35D46"/>
    <w:rsid w:val="00D362AD"/>
    <w:rsid w:val="00D3640E"/>
    <w:rsid w:val="00D36BFD"/>
    <w:rsid w:val="00D36DDF"/>
    <w:rsid w:val="00D370D7"/>
    <w:rsid w:val="00D4023F"/>
    <w:rsid w:val="00D4041E"/>
    <w:rsid w:val="00D40728"/>
    <w:rsid w:val="00D40E08"/>
    <w:rsid w:val="00D416F2"/>
    <w:rsid w:val="00D42861"/>
    <w:rsid w:val="00D42C14"/>
    <w:rsid w:val="00D43147"/>
    <w:rsid w:val="00D43255"/>
    <w:rsid w:val="00D43647"/>
    <w:rsid w:val="00D43F60"/>
    <w:rsid w:val="00D44223"/>
    <w:rsid w:val="00D444CE"/>
    <w:rsid w:val="00D44954"/>
    <w:rsid w:val="00D4589B"/>
    <w:rsid w:val="00D45C8C"/>
    <w:rsid w:val="00D4658F"/>
    <w:rsid w:val="00D465C5"/>
    <w:rsid w:val="00D469C4"/>
    <w:rsid w:val="00D46EEC"/>
    <w:rsid w:val="00D4771E"/>
    <w:rsid w:val="00D50E16"/>
    <w:rsid w:val="00D50E4B"/>
    <w:rsid w:val="00D50F80"/>
    <w:rsid w:val="00D5117D"/>
    <w:rsid w:val="00D51616"/>
    <w:rsid w:val="00D51CB2"/>
    <w:rsid w:val="00D523E5"/>
    <w:rsid w:val="00D5456B"/>
    <w:rsid w:val="00D54672"/>
    <w:rsid w:val="00D548E1"/>
    <w:rsid w:val="00D54921"/>
    <w:rsid w:val="00D54B51"/>
    <w:rsid w:val="00D55181"/>
    <w:rsid w:val="00D55A24"/>
    <w:rsid w:val="00D55A3D"/>
    <w:rsid w:val="00D55C46"/>
    <w:rsid w:val="00D567AC"/>
    <w:rsid w:val="00D57BF2"/>
    <w:rsid w:val="00D57D2F"/>
    <w:rsid w:val="00D60083"/>
    <w:rsid w:val="00D60857"/>
    <w:rsid w:val="00D60908"/>
    <w:rsid w:val="00D60F0D"/>
    <w:rsid w:val="00D61916"/>
    <w:rsid w:val="00D61B14"/>
    <w:rsid w:val="00D622E0"/>
    <w:rsid w:val="00D62996"/>
    <w:rsid w:val="00D63BF7"/>
    <w:rsid w:val="00D63DC7"/>
    <w:rsid w:val="00D64708"/>
    <w:rsid w:val="00D648E0"/>
    <w:rsid w:val="00D64BDE"/>
    <w:rsid w:val="00D64FCC"/>
    <w:rsid w:val="00D660DE"/>
    <w:rsid w:val="00D66BCC"/>
    <w:rsid w:val="00D70410"/>
    <w:rsid w:val="00D70B96"/>
    <w:rsid w:val="00D712F7"/>
    <w:rsid w:val="00D7187C"/>
    <w:rsid w:val="00D721F5"/>
    <w:rsid w:val="00D724FB"/>
    <w:rsid w:val="00D7271A"/>
    <w:rsid w:val="00D729DD"/>
    <w:rsid w:val="00D73124"/>
    <w:rsid w:val="00D7361F"/>
    <w:rsid w:val="00D74734"/>
    <w:rsid w:val="00D748E3"/>
    <w:rsid w:val="00D75676"/>
    <w:rsid w:val="00D75F33"/>
    <w:rsid w:val="00D76283"/>
    <w:rsid w:val="00D763E3"/>
    <w:rsid w:val="00D7695E"/>
    <w:rsid w:val="00D77543"/>
    <w:rsid w:val="00D77687"/>
    <w:rsid w:val="00D777A2"/>
    <w:rsid w:val="00D801AB"/>
    <w:rsid w:val="00D80FD0"/>
    <w:rsid w:val="00D81463"/>
    <w:rsid w:val="00D81ED4"/>
    <w:rsid w:val="00D82512"/>
    <w:rsid w:val="00D8264E"/>
    <w:rsid w:val="00D82E07"/>
    <w:rsid w:val="00D83168"/>
    <w:rsid w:val="00D83264"/>
    <w:rsid w:val="00D8330F"/>
    <w:rsid w:val="00D8341B"/>
    <w:rsid w:val="00D84FE4"/>
    <w:rsid w:val="00D8574A"/>
    <w:rsid w:val="00D85D3A"/>
    <w:rsid w:val="00D865E8"/>
    <w:rsid w:val="00D86AF1"/>
    <w:rsid w:val="00D86E57"/>
    <w:rsid w:val="00D87077"/>
    <w:rsid w:val="00D8711D"/>
    <w:rsid w:val="00D8746C"/>
    <w:rsid w:val="00D87B09"/>
    <w:rsid w:val="00D90113"/>
    <w:rsid w:val="00D90201"/>
    <w:rsid w:val="00D90BE7"/>
    <w:rsid w:val="00D910C6"/>
    <w:rsid w:val="00D91A25"/>
    <w:rsid w:val="00D91A7A"/>
    <w:rsid w:val="00D920AB"/>
    <w:rsid w:val="00D92514"/>
    <w:rsid w:val="00D92B7B"/>
    <w:rsid w:val="00D92C09"/>
    <w:rsid w:val="00D930BE"/>
    <w:rsid w:val="00D93305"/>
    <w:rsid w:val="00D93322"/>
    <w:rsid w:val="00D94768"/>
    <w:rsid w:val="00D94939"/>
    <w:rsid w:val="00D95312"/>
    <w:rsid w:val="00D954FB"/>
    <w:rsid w:val="00D95FC8"/>
    <w:rsid w:val="00D962BA"/>
    <w:rsid w:val="00D96728"/>
    <w:rsid w:val="00D9728B"/>
    <w:rsid w:val="00D9781E"/>
    <w:rsid w:val="00DA01CA"/>
    <w:rsid w:val="00DA0269"/>
    <w:rsid w:val="00DA080F"/>
    <w:rsid w:val="00DA0C39"/>
    <w:rsid w:val="00DA0F13"/>
    <w:rsid w:val="00DA13B3"/>
    <w:rsid w:val="00DA13E5"/>
    <w:rsid w:val="00DA21A5"/>
    <w:rsid w:val="00DA21E1"/>
    <w:rsid w:val="00DA2439"/>
    <w:rsid w:val="00DA2529"/>
    <w:rsid w:val="00DA3889"/>
    <w:rsid w:val="00DA456E"/>
    <w:rsid w:val="00DA4648"/>
    <w:rsid w:val="00DA47AF"/>
    <w:rsid w:val="00DA4E80"/>
    <w:rsid w:val="00DA5171"/>
    <w:rsid w:val="00DA6045"/>
    <w:rsid w:val="00DA63D9"/>
    <w:rsid w:val="00DA64A0"/>
    <w:rsid w:val="00DA6AEA"/>
    <w:rsid w:val="00DA70EE"/>
    <w:rsid w:val="00DA77C5"/>
    <w:rsid w:val="00DA7984"/>
    <w:rsid w:val="00DB0222"/>
    <w:rsid w:val="00DB09D5"/>
    <w:rsid w:val="00DB0AA2"/>
    <w:rsid w:val="00DB130A"/>
    <w:rsid w:val="00DB1446"/>
    <w:rsid w:val="00DB169D"/>
    <w:rsid w:val="00DB1959"/>
    <w:rsid w:val="00DB20B1"/>
    <w:rsid w:val="00DB24D8"/>
    <w:rsid w:val="00DB273E"/>
    <w:rsid w:val="00DB2EBB"/>
    <w:rsid w:val="00DB2F49"/>
    <w:rsid w:val="00DB34FB"/>
    <w:rsid w:val="00DB3D7D"/>
    <w:rsid w:val="00DB3FE3"/>
    <w:rsid w:val="00DB4262"/>
    <w:rsid w:val="00DB4604"/>
    <w:rsid w:val="00DB4633"/>
    <w:rsid w:val="00DB4B7B"/>
    <w:rsid w:val="00DB4C6F"/>
    <w:rsid w:val="00DB58DE"/>
    <w:rsid w:val="00DB5C9F"/>
    <w:rsid w:val="00DB5CA8"/>
    <w:rsid w:val="00DB5D80"/>
    <w:rsid w:val="00DB5F6A"/>
    <w:rsid w:val="00DB644E"/>
    <w:rsid w:val="00DB64FD"/>
    <w:rsid w:val="00DB7915"/>
    <w:rsid w:val="00DB7A17"/>
    <w:rsid w:val="00DC0156"/>
    <w:rsid w:val="00DC10A1"/>
    <w:rsid w:val="00DC1B15"/>
    <w:rsid w:val="00DC1E80"/>
    <w:rsid w:val="00DC1F57"/>
    <w:rsid w:val="00DC26FF"/>
    <w:rsid w:val="00DC271C"/>
    <w:rsid w:val="00DC2A02"/>
    <w:rsid w:val="00DC31C4"/>
    <w:rsid w:val="00DC3426"/>
    <w:rsid w:val="00DC3D2F"/>
    <w:rsid w:val="00DC50A4"/>
    <w:rsid w:val="00DC58C8"/>
    <w:rsid w:val="00DC655F"/>
    <w:rsid w:val="00DC693A"/>
    <w:rsid w:val="00DC7252"/>
    <w:rsid w:val="00DC7463"/>
    <w:rsid w:val="00DC74BD"/>
    <w:rsid w:val="00DC77F9"/>
    <w:rsid w:val="00DD0B59"/>
    <w:rsid w:val="00DD0FE2"/>
    <w:rsid w:val="00DD1036"/>
    <w:rsid w:val="00DD1730"/>
    <w:rsid w:val="00DD20AD"/>
    <w:rsid w:val="00DD211A"/>
    <w:rsid w:val="00DD2B3D"/>
    <w:rsid w:val="00DD37D4"/>
    <w:rsid w:val="00DD3A1A"/>
    <w:rsid w:val="00DD417F"/>
    <w:rsid w:val="00DD59A8"/>
    <w:rsid w:val="00DD6568"/>
    <w:rsid w:val="00DD6927"/>
    <w:rsid w:val="00DD7140"/>
    <w:rsid w:val="00DD7B60"/>
    <w:rsid w:val="00DD7EBD"/>
    <w:rsid w:val="00DE05F4"/>
    <w:rsid w:val="00DE13DC"/>
    <w:rsid w:val="00DE17A2"/>
    <w:rsid w:val="00DE1D56"/>
    <w:rsid w:val="00DE1F80"/>
    <w:rsid w:val="00DE302D"/>
    <w:rsid w:val="00DE3434"/>
    <w:rsid w:val="00DE34E2"/>
    <w:rsid w:val="00DE3C4F"/>
    <w:rsid w:val="00DE3C63"/>
    <w:rsid w:val="00DE4160"/>
    <w:rsid w:val="00DE43D9"/>
    <w:rsid w:val="00DE4E44"/>
    <w:rsid w:val="00DE6395"/>
    <w:rsid w:val="00DE639D"/>
    <w:rsid w:val="00DE66D7"/>
    <w:rsid w:val="00DE6A48"/>
    <w:rsid w:val="00DE6F06"/>
    <w:rsid w:val="00DE7738"/>
    <w:rsid w:val="00DE7CE0"/>
    <w:rsid w:val="00DE7E88"/>
    <w:rsid w:val="00DF0285"/>
    <w:rsid w:val="00DF0518"/>
    <w:rsid w:val="00DF0C44"/>
    <w:rsid w:val="00DF1037"/>
    <w:rsid w:val="00DF1129"/>
    <w:rsid w:val="00DF139F"/>
    <w:rsid w:val="00DF18AC"/>
    <w:rsid w:val="00DF1D10"/>
    <w:rsid w:val="00DF2261"/>
    <w:rsid w:val="00DF240B"/>
    <w:rsid w:val="00DF3156"/>
    <w:rsid w:val="00DF3708"/>
    <w:rsid w:val="00DF3A3D"/>
    <w:rsid w:val="00DF43B0"/>
    <w:rsid w:val="00DF58CA"/>
    <w:rsid w:val="00DF5E07"/>
    <w:rsid w:val="00DF60FF"/>
    <w:rsid w:val="00DF613E"/>
    <w:rsid w:val="00DF62B6"/>
    <w:rsid w:val="00DF643F"/>
    <w:rsid w:val="00DF671C"/>
    <w:rsid w:val="00DF6EE4"/>
    <w:rsid w:val="00E00459"/>
    <w:rsid w:val="00E00D4E"/>
    <w:rsid w:val="00E0158E"/>
    <w:rsid w:val="00E01679"/>
    <w:rsid w:val="00E020EE"/>
    <w:rsid w:val="00E02315"/>
    <w:rsid w:val="00E02BB9"/>
    <w:rsid w:val="00E02BF9"/>
    <w:rsid w:val="00E02C53"/>
    <w:rsid w:val="00E02EB8"/>
    <w:rsid w:val="00E03DC8"/>
    <w:rsid w:val="00E0456D"/>
    <w:rsid w:val="00E047B5"/>
    <w:rsid w:val="00E05035"/>
    <w:rsid w:val="00E0503A"/>
    <w:rsid w:val="00E0513D"/>
    <w:rsid w:val="00E05636"/>
    <w:rsid w:val="00E06A86"/>
    <w:rsid w:val="00E06E79"/>
    <w:rsid w:val="00E06F62"/>
    <w:rsid w:val="00E071AC"/>
    <w:rsid w:val="00E07225"/>
    <w:rsid w:val="00E0741F"/>
    <w:rsid w:val="00E1056E"/>
    <w:rsid w:val="00E10595"/>
    <w:rsid w:val="00E1106F"/>
    <w:rsid w:val="00E11246"/>
    <w:rsid w:val="00E1146D"/>
    <w:rsid w:val="00E11739"/>
    <w:rsid w:val="00E11AE4"/>
    <w:rsid w:val="00E11B2A"/>
    <w:rsid w:val="00E11C0F"/>
    <w:rsid w:val="00E12734"/>
    <w:rsid w:val="00E12765"/>
    <w:rsid w:val="00E12E83"/>
    <w:rsid w:val="00E13873"/>
    <w:rsid w:val="00E13F24"/>
    <w:rsid w:val="00E14524"/>
    <w:rsid w:val="00E14B03"/>
    <w:rsid w:val="00E15F66"/>
    <w:rsid w:val="00E16D36"/>
    <w:rsid w:val="00E16EEE"/>
    <w:rsid w:val="00E16F33"/>
    <w:rsid w:val="00E1728E"/>
    <w:rsid w:val="00E1733C"/>
    <w:rsid w:val="00E17875"/>
    <w:rsid w:val="00E17965"/>
    <w:rsid w:val="00E17AA1"/>
    <w:rsid w:val="00E17CFC"/>
    <w:rsid w:val="00E204ED"/>
    <w:rsid w:val="00E2062D"/>
    <w:rsid w:val="00E20E5C"/>
    <w:rsid w:val="00E21FE6"/>
    <w:rsid w:val="00E220DD"/>
    <w:rsid w:val="00E22634"/>
    <w:rsid w:val="00E235CB"/>
    <w:rsid w:val="00E23941"/>
    <w:rsid w:val="00E23E6A"/>
    <w:rsid w:val="00E245EF"/>
    <w:rsid w:val="00E27946"/>
    <w:rsid w:val="00E27EFD"/>
    <w:rsid w:val="00E3006C"/>
    <w:rsid w:val="00E309D1"/>
    <w:rsid w:val="00E30C12"/>
    <w:rsid w:val="00E30FF7"/>
    <w:rsid w:val="00E310BD"/>
    <w:rsid w:val="00E3116F"/>
    <w:rsid w:val="00E316ED"/>
    <w:rsid w:val="00E3249B"/>
    <w:rsid w:val="00E33511"/>
    <w:rsid w:val="00E335C7"/>
    <w:rsid w:val="00E33744"/>
    <w:rsid w:val="00E33BFB"/>
    <w:rsid w:val="00E33CCD"/>
    <w:rsid w:val="00E33D53"/>
    <w:rsid w:val="00E34268"/>
    <w:rsid w:val="00E34A09"/>
    <w:rsid w:val="00E3555C"/>
    <w:rsid w:val="00E35AFF"/>
    <w:rsid w:val="00E370A2"/>
    <w:rsid w:val="00E3792E"/>
    <w:rsid w:val="00E400E6"/>
    <w:rsid w:val="00E4014A"/>
    <w:rsid w:val="00E406FF"/>
    <w:rsid w:val="00E407D8"/>
    <w:rsid w:val="00E418F1"/>
    <w:rsid w:val="00E4215C"/>
    <w:rsid w:val="00E428D1"/>
    <w:rsid w:val="00E43512"/>
    <w:rsid w:val="00E43790"/>
    <w:rsid w:val="00E45150"/>
    <w:rsid w:val="00E45D5A"/>
    <w:rsid w:val="00E45F32"/>
    <w:rsid w:val="00E461C7"/>
    <w:rsid w:val="00E467C6"/>
    <w:rsid w:val="00E4763A"/>
    <w:rsid w:val="00E47B36"/>
    <w:rsid w:val="00E50245"/>
    <w:rsid w:val="00E505F9"/>
    <w:rsid w:val="00E50AE0"/>
    <w:rsid w:val="00E50F65"/>
    <w:rsid w:val="00E50FE2"/>
    <w:rsid w:val="00E51E31"/>
    <w:rsid w:val="00E521C0"/>
    <w:rsid w:val="00E52515"/>
    <w:rsid w:val="00E52A1E"/>
    <w:rsid w:val="00E52A2A"/>
    <w:rsid w:val="00E52ABC"/>
    <w:rsid w:val="00E52F25"/>
    <w:rsid w:val="00E53BA5"/>
    <w:rsid w:val="00E5409F"/>
    <w:rsid w:val="00E54124"/>
    <w:rsid w:val="00E545F7"/>
    <w:rsid w:val="00E546A7"/>
    <w:rsid w:val="00E54825"/>
    <w:rsid w:val="00E54A6D"/>
    <w:rsid w:val="00E55189"/>
    <w:rsid w:val="00E5585C"/>
    <w:rsid w:val="00E55941"/>
    <w:rsid w:val="00E55B84"/>
    <w:rsid w:val="00E5633B"/>
    <w:rsid w:val="00E56DBF"/>
    <w:rsid w:val="00E57294"/>
    <w:rsid w:val="00E57470"/>
    <w:rsid w:val="00E57B7D"/>
    <w:rsid w:val="00E57D37"/>
    <w:rsid w:val="00E57EA6"/>
    <w:rsid w:val="00E57FCD"/>
    <w:rsid w:val="00E60827"/>
    <w:rsid w:val="00E608D4"/>
    <w:rsid w:val="00E609C8"/>
    <w:rsid w:val="00E6102A"/>
    <w:rsid w:val="00E612FD"/>
    <w:rsid w:val="00E61940"/>
    <w:rsid w:val="00E61BD9"/>
    <w:rsid w:val="00E61C16"/>
    <w:rsid w:val="00E620FB"/>
    <w:rsid w:val="00E62152"/>
    <w:rsid w:val="00E62425"/>
    <w:rsid w:val="00E638B1"/>
    <w:rsid w:val="00E63C82"/>
    <w:rsid w:val="00E64B0C"/>
    <w:rsid w:val="00E64C10"/>
    <w:rsid w:val="00E652A6"/>
    <w:rsid w:val="00E654E2"/>
    <w:rsid w:val="00E65CEE"/>
    <w:rsid w:val="00E65DFC"/>
    <w:rsid w:val="00E6767F"/>
    <w:rsid w:val="00E677E8"/>
    <w:rsid w:val="00E67869"/>
    <w:rsid w:val="00E67E88"/>
    <w:rsid w:val="00E70987"/>
    <w:rsid w:val="00E7120A"/>
    <w:rsid w:val="00E71809"/>
    <w:rsid w:val="00E736CF"/>
    <w:rsid w:val="00E73C6B"/>
    <w:rsid w:val="00E74A10"/>
    <w:rsid w:val="00E752F1"/>
    <w:rsid w:val="00E754CA"/>
    <w:rsid w:val="00E7560E"/>
    <w:rsid w:val="00E756AF"/>
    <w:rsid w:val="00E75707"/>
    <w:rsid w:val="00E758F8"/>
    <w:rsid w:val="00E75A73"/>
    <w:rsid w:val="00E75C41"/>
    <w:rsid w:val="00E76469"/>
    <w:rsid w:val="00E765D8"/>
    <w:rsid w:val="00E76A91"/>
    <w:rsid w:val="00E77103"/>
    <w:rsid w:val="00E776B5"/>
    <w:rsid w:val="00E805A8"/>
    <w:rsid w:val="00E80B09"/>
    <w:rsid w:val="00E813BD"/>
    <w:rsid w:val="00E821CE"/>
    <w:rsid w:val="00E834D8"/>
    <w:rsid w:val="00E8369A"/>
    <w:rsid w:val="00E83E52"/>
    <w:rsid w:val="00E83EC0"/>
    <w:rsid w:val="00E8467A"/>
    <w:rsid w:val="00E847D1"/>
    <w:rsid w:val="00E84929"/>
    <w:rsid w:val="00E855F2"/>
    <w:rsid w:val="00E8575C"/>
    <w:rsid w:val="00E85DEC"/>
    <w:rsid w:val="00E85F11"/>
    <w:rsid w:val="00E879D4"/>
    <w:rsid w:val="00E87D47"/>
    <w:rsid w:val="00E900FF"/>
    <w:rsid w:val="00E90314"/>
    <w:rsid w:val="00E90685"/>
    <w:rsid w:val="00E9091A"/>
    <w:rsid w:val="00E912F8"/>
    <w:rsid w:val="00E91821"/>
    <w:rsid w:val="00E9189D"/>
    <w:rsid w:val="00E918DC"/>
    <w:rsid w:val="00E91C6A"/>
    <w:rsid w:val="00E91E4B"/>
    <w:rsid w:val="00E921A5"/>
    <w:rsid w:val="00E9250D"/>
    <w:rsid w:val="00E92D0E"/>
    <w:rsid w:val="00E92F62"/>
    <w:rsid w:val="00E934C9"/>
    <w:rsid w:val="00E938E0"/>
    <w:rsid w:val="00E93A4B"/>
    <w:rsid w:val="00E93A74"/>
    <w:rsid w:val="00E93CA7"/>
    <w:rsid w:val="00E940CB"/>
    <w:rsid w:val="00E94DFE"/>
    <w:rsid w:val="00E95E50"/>
    <w:rsid w:val="00E95F95"/>
    <w:rsid w:val="00E960B7"/>
    <w:rsid w:val="00E962A6"/>
    <w:rsid w:val="00E969C2"/>
    <w:rsid w:val="00E9736D"/>
    <w:rsid w:val="00E97726"/>
    <w:rsid w:val="00EA0630"/>
    <w:rsid w:val="00EA0B30"/>
    <w:rsid w:val="00EA0F9A"/>
    <w:rsid w:val="00EA1471"/>
    <w:rsid w:val="00EA1645"/>
    <w:rsid w:val="00EA2592"/>
    <w:rsid w:val="00EA265B"/>
    <w:rsid w:val="00EA2951"/>
    <w:rsid w:val="00EA2B3E"/>
    <w:rsid w:val="00EA3071"/>
    <w:rsid w:val="00EA3994"/>
    <w:rsid w:val="00EA3CD4"/>
    <w:rsid w:val="00EA4092"/>
    <w:rsid w:val="00EA59FA"/>
    <w:rsid w:val="00EA67CF"/>
    <w:rsid w:val="00EA7599"/>
    <w:rsid w:val="00EB0311"/>
    <w:rsid w:val="00EB04AC"/>
    <w:rsid w:val="00EB0772"/>
    <w:rsid w:val="00EB0AC8"/>
    <w:rsid w:val="00EB0DFB"/>
    <w:rsid w:val="00EB14C8"/>
    <w:rsid w:val="00EB2105"/>
    <w:rsid w:val="00EB2FD4"/>
    <w:rsid w:val="00EB309F"/>
    <w:rsid w:val="00EB3336"/>
    <w:rsid w:val="00EB3619"/>
    <w:rsid w:val="00EB477E"/>
    <w:rsid w:val="00EB48A8"/>
    <w:rsid w:val="00EB4CC6"/>
    <w:rsid w:val="00EB4F55"/>
    <w:rsid w:val="00EB5064"/>
    <w:rsid w:val="00EB56EC"/>
    <w:rsid w:val="00EB5A90"/>
    <w:rsid w:val="00EB5B6B"/>
    <w:rsid w:val="00EB5B80"/>
    <w:rsid w:val="00EB7131"/>
    <w:rsid w:val="00EB7186"/>
    <w:rsid w:val="00EB7709"/>
    <w:rsid w:val="00EB7963"/>
    <w:rsid w:val="00EB7AF3"/>
    <w:rsid w:val="00EC0C66"/>
    <w:rsid w:val="00EC10C4"/>
    <w:rsid w:val="00EC118D"/>
    <w:rsid w:val="00EC11B5"/>
    <w:rsid w:val="00EC1571"/>
    <w:rsid w:val="00EC2450"/>
    <w:rsid w:val="00EC2466"/>
    <w:rsid w:val="00EC2AD9"/>
    <w:rsid w:val="00EC2F8B"/>
    <w:rsid w:val="00EC31FB"/>
    <w:rsid w:val="00EC323D"/>
    <w:rsid w:val="00EC3827"/>
    <w:rsid w:val="00EC3A9D"/>
    <w:rsid w:val="00EC3D29"/>
    <w:rsid w:val="00EC794E"/>
    <w:rsid w:val="00EC7D8D"/>
    <w:rsid w:val="00ED0144"/>
    <w:rsid w:val="00ED0AC5"/>
    <w:rsid w:val="00ED0BA5"/>
    <w:rsid w:val="00ED17EB"/>
    <w:rsid w:val="00ED1DF4"/>
    <w:rsid w:val="00ED1F05"/>
    <w:rsid w:val="00ED228E"/>
    <w:rsid w:val="00ED23C0"/>
    <w:rsid w:val="00ED36A7"/>
    <w:rsid w:val="00ED3E32"/>
    <w:rsid w:val="00ED3F14"/>
    <w:rsid w:val="00ED61E3"/>
    <w:rsid w:val="00ED63D6"/>
    <w:rsid w:val="00ED6B03"/>
    <w:rsid w:val="00ED6F70"/>
    <w:rsid w:val="00ED721A"/>
    <w:rsid w:val="00ED769E"/>
    <w:rsid w:val="00ED7961"/>
    <w:rsid w:val="00ED7996"/>
    <w:rsid w:val="00EE0F7C"/>
    <w:rsid w:val="00EE13AF"/>
    <w:rsid w:val="00EE1FD6"/>
    <w:rsid w:val="00EE200C"/>
    <w:rsid w:val="00EE315F"/>
    <w:rsid w:val="00EE3D43"/>
    <w:rsid w:val="00EE4504"/>
    <w:rsid w:val="00EE460D"/>
    <w:rsid w:val="00EE47B9"/>
    <w:rsid w:val="00EE47FB"/>
    <w:rsid w:val="00EE4F61"/>
    <w:rsid w:val="00EE58E3"/>
    <w:rsid w:val="00EE5D54"/>
    <w:rsid w:val="00EE6488"/>
    <w:rsid w:val="00EE6906"/>
    <w:rsid w:val="00EE6A22"/>
    <w:rsid w:val="00EE6F78"/>
    <w:rsid w:val="00EE70E7"/>
    <w:rsid w:val="00EF033C"/>
    <w:rsid w:val="00EF0E01"/>
    <w:rsid w:val="00EF1CE2"/>
    <w:rsid w:val="00EF1E21"/>
    <w:rsid w:val="00EF305E"/>
    <w:rsid w:val="00EF3263"/>
    <w:rsid w:val="00EF331A"/>
    <w:rsid w:val="00EF36A6"/>
    <w:rsid w:val="00EF586C"/>
    <w:rsid w:val="00EF61AE"/>
    <w:rsid w:val="00EF649E"/>
    <w:rsid w:val="00EF65E8"/>
    <w:rsid w:val="00EF75A0"/>
    <w:rsid w:val="00F01E72"/>
    <w:rsid w:val="00F021FA"/>
    <w:rsid w:val="00F02995"/>
    <w:rsid w:val="00F02C4B"/>
    <w:rsid w:val="00F03220"/>
    <w:rsid w:val="00F035CF"/>
    <w:rsid w:val="00F0409A"/>
    <w:rsid w:val="00F0465E"/>
    <w:rsid w:val="00F04D1F"/>
    <w:rsid w:val="00F04FAC"/>
    <w:rsid w:val="00F05374"/>
    <w:rsid w:val="00F05904"/>
    <w:rsid w:val="00F05AA7"/>
    <w:rsid w:val="00F05EB8"/>
    <w:rsid w:val="00F06457"/>
    <w:rsid w:val="00F0655C"/>
    <w:rsid w:val="00F0662F"/>
    <w:rsid w:val="00F0765A"/>
    <w:rsid w:val="00F07F15"/>
    <w:rsid w:val="00F104C3"/>
    <w:rsid w:val="00F10ABC"/>
    <w:rsid w:val="00F1144B"/>
    <w:rsid w:val="00F11D6E"/>
    <w:rsid w:val="00F11FBD"/>
    <w:rsid w:val="00F120CE"/>
    <w:rsid w:val="00F12725"/>
    <w:rsid w:val="00F12EB4"/>
    <w:rsid w:val="00F13896"/>
    <w:rsid w:val="00F14251"/>
    <w:rsid w:val="00F14334"/>
    <w:rsid w:val="00F145D0"/>
    <w:rsid w:val="00F155BB"/>
    <w:rsid w:val="00F15982"/>
    <w:rsid w:val="00F16092"/>
    <w:rsid w:val="00F1673F"/>
    <w:rsid w:val="00F16E38"/>
    <w:rsid w:val="00F16ED6"/>
    <w:rsid w:val="00F17461"/>
    <w:rsid w:val="00F1757C"/>
    <w:rsid w:val="00F20241"/>
    <w:rsid w:val="00F2026E"/>
    <w:rsid w:val="00F2056A"/>
    <w:rsid w:val="00F20995"/>
    <w:rsid w:val="00F21254"/>
    <w:rsid w:val="00F219FC"/>
    <w:rsid w:val="00F22311"/>
    <w:rsid w:val="00F226EF"/>
    <w:rsid w:val="00F2354D"/>
    <w:rsid w:val="00F23668"/>
    <w:rsid w:val="00F2390B"/>
    <w:rsid w:val="00F23D4C"/>
    <w:rsid w:val="00F24468"/>
    <w:rsid w:val="00F24CB4"/>
    <w:rsid w:val="00F24D72"/>
    <w:rsid w:val="00F258E0"/>
    <w:rsid w:val="00F2626F"/>
    <w:rsid w:val="00F264B2"/>
    <w:rsid w:val="00F26655"/>
    <w:rsid w:val="00F269A6"/>
    <w:rsid w:val="00F26D66"/>
    <w:rsid w:val="00F310C9"/>
    <w:rsid w:val="00F31835"/>
    <w:rsid w:val="00F319C9"/>
    <w:rsid w:val="00F31A77"/>
    <w:rsid w:val="00F32337"/>
    <w:rsid w:val="00F328B4"/>
    <w:rsid w:val="00F32918"/>
    <w:rsid w:val="00F33151"/>
    <w:rsid w:val="00F33BFB"/>
    <w:rsid w:val="00F34946"/>
    <w:rsid w:val="00F349CF"/>
    <w:rsid w:val="00F3581E"/>
    <w:rsid w:val="00F35A10"/>
    <w:rsid w:val="00F35BB9"/>
    <w:rsid w:val="00F378F9"/>
    <w:rsid w:val="00F40148"/>
    <w:rsid w:val="00F41CA1"/>
    <w:rsid w:val="00F42735"/>
    <w:rsid w:val="00F44511"/>
    <w:rsid w:val="00F447F3"/>
    <w:rsid w:val="00F44C5D"/>
    <w:rsid w:val="00F44E97"/>
    <w:rsid w:val="00F45399"/>
    <w:rsid w:val="00F45968"/>
    <w:rsid w:val="00F45B99"/>
    <w:rsid w:val="00F45BA0"/>
    <w:rsid w:val="00F46733"/>
    <w:rsid w:val="00F468B7"/>
    <w:rsid w:val="00F46C09"/>
    <w:rsid w:val="00F47834"/>
    <w:rsid w:val="00F47C63"/>
    <w:rsid w:val="00F47D1E"/>
    <w:rsid w:val="00F50007"/>
    <w:rsid w:val="00F50EC0"/>
    <w:rsid w:val="00F50F3E"/>
    <w:rsid w:val="00F51CE9"/>
    <w:rsid w:val="00F51F8C"/>
    <w:rsid w:val="00F524B7"/>
    <w:rsid w:val="00F526D6"/>
    <w:rsid w:val="00F52767"/>
    <w:rsid w:val="00F52993"/>
    <w:rsid w:val="00F52DE5"/>
    <w:rsid w:val="00F535CD"/>
    <w:rsid w:val="00F535F1"/>
    <w:rsid w:val="00F53E32"/>
    <w:rsid w:val="00F5435B"/>
    <w:rsid w:val="00F54ABD"/>
    <w:rsid w:val="00F5516A"/>
    <w:rsid w:val="00F552A2"/>
    <w:rsid w:val="00F557AF"/>
    <w:rsid w:val="00F55905"/>
    <w:rsid w:val="00F562FD"/>
    <w:rsid w:val="00F56A90"/>
    <w:rsid w:val="00F56DB2"/>
    <w:rsid w:val="00F571A7"/>
    <w:rsid w:val="00F57526"/>
    <w:rsid w:val="00F57D87"/>
    <w:rsid w:val="00F57E77"/>
    <w:rsid w:val="00F60095"/>
    <w:rsid w:val="00F60144"/>
    <w:rsid w:val="00F605D7"/>
    <w:rsid w:val="00F6063A"/>
    <w:rsid w:val="00F606F4"/>
    <w:rsid w:val="00F608E0"/>
    <w:rsid w:val="00F60E3B"/>
    <w:rsid w:val="00F610DA"/>
    <w:rsid w:val="00F6167C"/>
    <w:rsid w:val="00F62177"/>
    <w:rsid w:val="00F62197"/>
    <w:rsid w:val="00F628FD"/>
    <w:rsid w:val="00F62C41"/>
    <w:rsid w:val="00F62E97"/>
    <w:rsid w:val="00F630EF"/>
    <w:rsid w:val="00F63221"/>
    <w:rsid w:val="00F6357B"/>
    <w:rsid w:val="00F6409A"/>
    <w:rsid w:val="00F64209"/>
    <w:rsid w:val="00F648CF"/>
    <w:rsid w:val="00F657C1"/>
    <w:rsid w:val="00F65F68"/>
    <w:rsid w:val="00F6716A"/>
    <w:rsid w:val="00F679A7"/>
    <w:rsid w:val="00F67A7B"/>
    <w:rsid w:val="00F7160B"/>
    <w:rsid w:val="00F71751"/>
    <w:rsid w:val="00F71C9E"/>
    <w:rsid w:val="00F72072"/>
    <w:rsid w:val="00F7212A"/>
    <w:rsid w:val="00F724E7"/>
    <w:rsid w:val="00F726DC"/>
    <w:rsid w:val="00F728D1"/>
    <w:rsid w:val="00F7302C"/>
    <w:rsid w:val="00F73483"/>
    <w:rsid w:val="00F736FC"/>
    <w:rsid w:val="00F73710"/>
    <w:rsid w:val="00F73814"/>
    <w:rsid w:val="00F739C4"/>
    <w:rsid w:val="00F73CDC"/>
    <w:rsid w:val="00F73D54"/>
    <w:rsid w:val="00F743EF"/>
    <w:rsid w:val="00F74FB3"/>
    <w:rsid w:val="00F75239"/>
    <w:rsid w:val="00F75E0F"/>
    <w:rsid w:val="00F760F8"/>
    <w:rsid w:val="00F77493"/>
    <w:rsid w:val="00F801BB"/>
    <w:rsid w:val="00F8043E"/>
    <w:rsid w:val="00F80EBC"/>
    <w:rsid w:val="00F81DE3"/>
    <w:rsid w:val="00F8213C"/>
    <w:rsid w:val="00F8222D"/>
    <w:rsid w:val="00F8236E"/>
    <w:rsid w:val="00F82A3A"/>
    <w:rsid w:val="00F82DB5"/>
    <w:rsid w:val="00F83725"/>
    <w:rsid w:val="00F8421A"/>
    <w:rsid w:val="00F84888"/>
    <w:rsid w:val="00F84FBB"/>
    <w:rsid w:val="00F8568C"/>
    <w:rsid w:val="00F8629B"/>
    <w:rsid w:val="00F8685B"/>
    <w:rsid w:val="00F8696A"/>
    <w:rsid w:val="00F90A80"/>
    <w:rsid w:val="00F90B8A"/>
    <w:rsid w:val="00F90D98"/>
    <w:rsid w:val="00F911EF"/>
    <w:rsid w:val="00F9137D"/>
    <w:rsid w:val="00F91686"/>
    <w:rsid w:val="00F91983"/>
    <w:rsid w:val="00F91DD7"/>
    <w:rsid w:val="00F920C1"/>
    <w:rsid w:val="00F927DC"/>
    <w:rsid w:val="00F929F7"/>
    <w:rsid w:val="00F92CFA"/>
    <w:rsid w:val="00F93737"/>
    <w:rsid w:val="00F937E3"/>
    <w:rsid w:val="00F93BF5"/>
    <w:rsid w:val="00F93E46"/>
    <w:rsid w:val="00F94AE3"/>
    <w:rsid w:val="00F94FD8"/>
    <w:rsid w:val="00F95224"/>
    <w:rsid w:val="00F9646C"/>
    <w:rsid w:val="00F96C22"/>
    <w:rsid w:val="00F96E0C"/>
    <w:rsid w:val="00F9722A"/>
    <w:rsid w:val="00F973A0"/>
    <w:rsid w:val="00F97AF5"/>
    <w:rsid w:val="00FA00F6"/>
    <w:rsid w:val="00FA0EEF"/>
    <w:rsid w:val="00FA12D0"/>
    <w:rsid w:val="00FA1707"/>
    <w:rsid w:val="00FA1E95"/>
    <w:rsid w:val="00FA2393"/>
    <w:rsid w:val="00FA24FB"/>
    <w:rsid w:val="00FA276B"/>
    <w:rsid w:val="00FA2CD0"/>
    <w:rsid w:val="00FA2D64"/>
    <w:rsid w:val="00FA2E90"/>
    <w:rsid w:val="00FA33CD"/>
    <w:rsid w:val="00FA3CBC"/>
    <w:rsid w:val="00FA3DAE"/>
    <w:rsid w:val="00FA4626"/>
    <w:rsid w:val="00FA4C45"/>
    <w:rsid w:val="00FA5AC3"/>
    <w:rsid w:val="00FA63E5"/>
    <w:rsid w:val="00FA67CA"/>
    <w:rsid w:val="00FA6EA7"/>
    <w:rsid w:val="00FA74EC"/>
    <w:rsid w:val="00FB0097"/>
    <w:rsid w:val="00FB00A4"/>
    <w:rsid w:val="00FB04CB"/>
    <w:rsid w:val="00FB0A81"/>
    <w:rsid w:val="00FB0FF5"/>
    <w:rsid w:val="00FB14CF"/>
    <w:rsid w:val="00FB150A"/>
    <w:rsid w:val="00FB18AD"/>
    <w:rsid w:val="00FB2AAC"/>
    <w:rsid w:val="00FB2F8A"/>
    <w:rsid w:val="00FB30E0"/>
    <w:rsid w:val="00FB312C"/>
    <w:rsid w:val="00FB3DCA"/>
    <w:rsid w:val="00FB40AB"/>
    <w:rsid w:val="00FB42F1"/>
    <w:rsid w:val="00FB5249"/>
    <w:rsid w:val="00FB590D"/>
    <w:rsid w:val="00FB6189"/>
    <w:rsid w:val="00FB6586"/>
    <w:rsid w:val="00FB701D"/>
    <w:rsid w:val="00FB71DC"/>
    <w:rsid w:val="00FB734C"/>
    <w:rsid w:val="00FB745D"/>
    <w:rsid w:val="00FB79B8"/>
    <w:rsid w:val="00FB7DD5"/>
    <w:rsid w:val="00FC000A"/>
    <w:rsid w:val="00FC0410"/>
    <w:rsid w:val="00FC04A4"/>
    <w:rsid w:val="00FC055D"/>
    <w:rsid w:val="00FC07D7"/>
    <w:rsid w:val="00FC1462"/>
    <w:rsid w:val="00FC157B"/>
    <w:rsid w:val="00FC1871"/>
    <w:rsid w:val="00FC1D74"/>
    <w:rsid w:val="00FC2720"/>
    <w:rsid w:val="00FC289C"/>
    <w:rsid w:val="00FC295A"/>
    <w:rsid w:val="00FC2EDD"/>
    <w:rsid w:val="00FC3380"/>
    <w:rsid w:val="00FC3599"/>
    <w:rsid w:val="00FC3A6D"/>
    <w:rsid w:val="00FC3E48"/>
    <w:rsid w:val="00FC4163"/>
    <w:rsid w:val="00FC49B5"/>
    <w:rsid w:val="00FC4EFB"/>
    <w:rsid w:val="00FC555A"/>
    <w:rsid w:val="00FC5748"/>
    <w:rsid w:val="00FC588E"/>
    <w:rsid w:val="00FC59EE"/>
    <w:rsid w:val="00FC6512"/>
    <w:rsid w:val="00FC7927"/>
    <w:rsid w:val="00FD00E4"/>
    <w:rsid w:val="00FD011E"/>
    <w:rsid w:val="00FD03A8"/>
    <w:rsid w:val="00FD0518"/>
    <w:rsid w:val="00FD0587"/>
    <w:rsid w:val="00FD058D"/>
    <w:rsid w:val="00FD091B"/>
    <w:rsid w:val="00FD0E8F"/>
    <w:rsid w:val="00FD1594"/>
    <w:rsid w:val="00FD1993"/>
    <w:rsid w:val="00FD1BF3"/>
    <w:rsid w:val="00FD1D79"/>
    <w:rsid w:val="00FD2673"/>
    <w:rsid w:val="00FD269E"/>
    <w:rsid w:val="00FD26DA"/>
    <w:rsid w:val="00FD2B90"/>
    <w:rsid w:val="00FD32FB"/>
    <w:rsid w:val="00FD40EE"/>
    <w:rsid w:val="00FD4580"/>
    <w:rsid w:val="00FD4C06"/>
    <w:rsid w:val="00FD536D"/>
    <w:rsid w:val="00FD721C"/>
    <w:rsid w:val="00FD735B"/>
    <w:rsid w:val="00FD7EAA"/>
    <w:rsid w:val="00FD7F85"/>
    <w:rsid w:val="00FE0865"/>
    <w:rsid w:val="00FE1442"/>
    <w:rsid w:val="00FE1985"/>
    <w:rsid w:val="00FE1DD2"/>
    <w:rsid w:val="00FE1FF1"/>
    <w:rsid w:val="00FE211B"/>
    <w:rsid w:val="00FE2571"/>
    <w:rsid w:val="00FE30E7"/>
    <w:rsid w:val="00FE31A6"/>
    <w:rsid w:val="00FE3458"/>
    <w:rsid w:val="00FE34F3"/>
    <w:rsid w:val="00FE47BB"/>
    <w:rsid w:val="00FE51AA"/>
    <w:rsid w:val="00FE6037"/>
    <w:rsid w:val="00FE65B2"/>
    <w:rsid w:val="00FE67A4"/>
    <w:rsid w:val="00FE6E88"/>
    <w:rsid w:val="00FE71D6"/>
    <w:rsid w:val="00FE74C6"/>
    <w:rsid w:val="00FF04AB"/>
    <w:rsid w:val="00FF09A1"/>
    <w:rsid w:val="00FF0D94"/>
    <w:rsid w:val="00FF1763"/>
    <w:rsid w:val="00FF2245"/>
    <w:rsid w:val="00FF25D1"/>
    <w:rsid w:val="00FF2A08"/>
    <w:rsid w:val="00FF2F11"/>
    <w:rsid w:val="00FF3011"/>
    <w:rsid w:val="00FF39A5"/>
    <w:rsid w:val="00FF3A5A"/>
    <w:rsid w:val="00FF3BC8"/>
    <w:rsid w:val="00FF4082"/>
    <w:rsid w:val="00FF411E"/>
    <w:rsid w:val="00FF421F"/>
    <w:rsid w:val="00FF443F"/>
    <w:rsid w:val="00FF46A0"/>
    <w:rsid w:val="00FF4D45"/>
    <w:rsid w:val="00FF5782"/>
    <w:rsid w:val="00FF5EEB"/>
    <w:rsid w:val="00FF604A"/>
    <w:rsid w:val="00FF6194"/>
    <w:rsid w:val="00FF646D"/>
    <w:rsid w:val="00FF7F7C"/>
    <w:rsid w:val="06919FD3"/>
    <w:rsid w:val="0A9491CC"/>
    <w:rsid w:val="0E6DAAEF"/>
    <w:rsid w:val="0F1473B7"/>
    <w:rsid w:val="11AE7F1B"/>
    <w:rsid w:val="126B1804"/>
    <w:rsid w:val="1666F100"/>
    <w:rsid w:val="178E0B08"/>
    <w:rsid w:val="186C914A"/>
    <w:rsid w:val="1A1E4470"/>
    <w:rsid w:val="1A6D7882"/>
    <w:rsid w:val="1B3FBF97"/>
    <w:rsid w:val="1CB2AF56"/>
    <w:rsid w:val="1D403B39"/>
    <w:rsid w:val="1EA5F0E3"/>
    <w:rsid w:val="1EB7A936"/>
    <w:rsid w:val="1F7354F4"/>
    <w:rsid w:val="1FB98CF2"/>
    <w:rsid w:val="2294D71D"/>
    <w:rsid w:val="24A48D13"/>
    <w:rsid w:val="253C1C9C"/>
    <w:rsid w:val="29730B9D"/>
    <w:rsid w:val="2AAB9932"/>
    <w:rsid w:val="2BED4041"/>
    <w:rsid w:val="2EB92E91"/>
    <w:rsid w:val="3223627D"/>
    <w:rsid w:val="332EED5E"/>
    <w:rsid w:val="344F5788"/>
    <w:rsid w:val="362BD6E8"/>
    <w:rsid w:val="3B0ED266"/>
    <w:rsid w:val="3BF0F5AD"/>
    <w:rsid w:val="3DD227CE"/>
    <w:rsid w:val="44D5938E"/>
    <w:rsid w:val="46CB53FF"/>
    <w:rsid w:val="4967F0A9"/>
    <w:rsid w:val="4C08A109"/>
    <w:rsid w:val="4FF05171"/>
    <w:rsid w:val="50F83A16"/>
    <w:rsid w:val="52F81026"/>
    <w:rsid w:val="5396FEA0"/>
    <w:rsid w:val="557EFBD3"/>
    <w:rsid w:val="58CE9E92"/>
    <w:rsid w:val="5ADE1721"/>
    <w:rsid w:val="5BD3B259"/>
    <w:rsid w:val="5C44A8AF"/>
    <w:rsid w:val="5C5832BF"/>
    <w:rsid w:val="5D7748EC"/>
    <w:rsid w:val="5DC6B8FF"/>
    <w:rsid w:val="5EE75C0E"/>
    <w:rsid w:val="60832C6F"/>
    <w:rsid w:val="609CC5B6"/>
    <w:rsid w:val="60C0F41E"/>
    <w:rsid w:val="646257D6"/>
    <w:rsid w:val="64FBD24D"/>
    <w:rsid w:val="65B2F6FE"/>
    <w:rsid w:val="6697650A"/>
    <w:rsid w:val="66AA8D15"/>
    <w:rsid w:val="6C80036E"/>
    <w:rsid w:val="6CD0AB0F"/>
    <w:rsid w:val="6E0D39C2"/>
    <w:rsid w:val="6EC6B906"/>
    <w:rsid w:val="6F569FDC"/>
    <w:rsid w:val="7014BF30"/>
    <w:rsid w:val="7150811E"/>
    <w:rsid w:val="746AE067"/>
    <w:rsid w:val="74839B43"/>
    <w:rsid w:val="760CEF06"/>
    <w:rsid w:val="76C159DD"/>
    <w:rsid w:val="777FFBF9"/>
    <w:rsid w:val="779744F8"/>
    <w:rsid w:val="77D3EDFB"/>
    <w:rsid w:val="78D0D020"/>
    <w:rsid w:val="79331559"/>
    <w:rsid w:val="799CF998"/>
    <w:rsid w:val="79F6321E"/>
    <w:rsid w:val="7A5F162C"/>
    <w:rsid w:val="7B0BBB10"/>
    <w:rsid w:val="7C868DC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AACF8FB-E315-4B91-BA8C-2A325919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footer" w:uiPriority="99"/>
    <w:lsdException w:name="caption" w:semiHidden="1" w:unhideWhenUsed="1" w:qFormat="1"/>
    <w:lsdException w:name="footnote reference" w:qFormat="1"/>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27"/>
    <w:pPr>
      <w:widowControl w:val="0"/>
      <w:autoSpaceDE w:val="0"/>
      <w:autoSpaceDN w:val="0"/>
    </w:pPr>
    <w:rPr>
      <w:sz w:val="22"/>
      <w:szCs w:val="22"/>
    </w:rPr>
  </w:style>
  <w:style w:type="paragraph" w:styleId="Heading1">
    <w:name w:val="heading 1"/>
    <w:basedOn w:val="Normal"/>
    <w:next w:val="ParaNum"/>
    <w:link w:val="Heading1Char"/>
    <w:qFormat/>
    <w:rsid w:val="00626EB6"/>
    <w:pPr>
      <w:keepNext/>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234C0"/>
    <w:pPr>
      <w:keepNext/>
      <w:numPr>
        <w:ilvl w:val="1"/>
        <w:numId w:val="1"/>
      </w:numPr>
      <w:spacing w:after="120"/>
      <w:outlineLvl w:val="1"/>
    </w:pPr>
    <w:rPr>
      <w:b/>
    </w:rPr>
  </w:style>
  <w:style w:type="paragraph" w:styleId="Heading3">
    <w:name w:val="heading 3"/>
    <w:basedOn w:val="Normal"/>
    <w:next w:val="ParaNum"/>
    <w:qFormat/>
    <w:rsid w:val="00BA6196"/>
    <w:pPr>
      <w:keepNext/>
      <w:numPr>
        <w:ilvl w:val="2"/>
        <w:numId w:val="1"/>
      </w:numPr>
      <w:tabs>
        <w:tab w:val="left" w:pos="2160"/>
      </w:tabs>
      <w:spacing w:after="120"/>
      <w:outlineLvl w:val="2"/>
    </w:pPr>
    <w:rPr>
      <w:b/>
    </w:rPr>
  </w:style>
  <w:style w:type="paragraph" w:styleId="Heading4">
    <w:name w:val="heading 4"/>
    <w:aliases w:val="Heading 4 Char Char,Heading 4 Char Char Char,Heading 4 Char Char1,Heading 4 Char1,Heading 4 Char1 Char,Heading 4 Char2"/>
    <w:basedOn w:val="Normal"/>
    <w:next w:val="ParaNum"/>
    <w:qFormat/>
    <w:rsid w:val="00C426B1"/>
    <w:pPr>
      <w:keepNext/>
      <w:numPr>
        <w:ilvl w:val="3"/>
        <w:numId w:val="1"/>
      </w:numPr>
      <w:tabs>
        <w:tab w:val="left" w:pos="2880"/>
      </w:tabs>
      <w:spacing w:after="120"/>
      <w:outlineLvl w:val="3"/>
    </w:pPr>
    <w:rPr>
      <w:b/>
    </w:rPr>
  </w:style>
  <w:style w:type="paragraph" w:styleId="Heading5">
    <w:name w:val="heading 5"/>
    <w:basedOn w:val="Normal"/>
    <w:next w:val="ParaNum"/>
    <w:qFormat/>
    <w:rsid w:val="00511968"/>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1"/>
      </w:numPr>
      <w:tabs>
        <w:tab w:val="left" w:pos="4320"/>
      </w:tabs>
      <w:spacing w:after="120"/>
      <w:outlineLvl w:val="5"/>
    </w:pPr>
    <w:rPr>
      <w:b/>
    </w:rPr>
  </w:style>
  <w:style w:type="paragraph" w:styleId="Heading7">
    <w:name w:val="heading 7"/>
    <w:basedOn w:val="Normal"/>
    <w:next w:val="ParaNum"/>
    <w:qFormat/>
    <w:rsid w:val="00F0765A"/>
    <w:pPr>
      <w:numPr>
        <w:ilvl w:val="6"/>
        <w:numId w:val="1"/>
      </w:numPr>
      <w:tabs>
        <w:tab w:val="left" w:pos="5040"/>
      </w:tabs>
      <w:spacing w:after="120"/>
      <w:outlineLvl w:val="6"/>
    </w:pPr>
    <w:rPr>
      <w:b/>
    </w:rPr>
  </w:style>
  <w:style w:type="paragraph" w:styleId="Heading8">
    <w:name w:val="heading 8"/>
    <w:basedOn w:val="Normal"/>
    <w:next w:val="ParaNum"/>
    <w:qFormat/>
    <w:rsid w:val="00F0765A"/>
    <w:pPr>
      <w:numPr>
        <w:ilvl w:val="7"/>
        <w:numId w:val="1"/>
      </w:numPr>
      <w:tabs>
        <w:tab w:val="clear" w:pos="5400"/>
        <w:tab w:val="left" w:pos="5760"/>
      </w:tabs>
      <w:spacing w:after="120"/>
      <w:outlineLvl w:val="7"/>
    </w:pPr>
    <w:rPr>
      <w:b/>
    </w:rPr>
  </w:style>
  <w:style w:type="paragraph" w:styleId="Heading9">
    <w:name w:val="heading 9"/>
    <w:aliases w:val="9,Heading 9.table,Titre 9,Topic,t,table"/>
    <w:basedOn w:val="Normal"/>
    <w:next w:val="ParaNum"/>
    <w:qFormat/>
    <w:rsid w:val="00F0765A"/>
    <w:pPr>
      <w:numPr>
        <w:ilvl w:val="8"/>
        <w:numId w:val="1"/>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1"/>
    <w:qFormat/>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odyText">
    <w:name w:val="Body Text"/>
    <w:basedOn w:val="Normal"/>
    <w:link w:val="BodyTextChar"/>
    <w:uiPriority w:val="1"/>
    <w:unhideWhenUsed/>
    <w:qFormat/>
    <w:rsid w:val="00985A10"/>
    <w:rPr>
      <w:snapToGrid w:val="0"/>
      <w:sz w:val="20"/>
    </w:rPr>
  </w:style>
  <w:style w:type="character" w:customStyle="1" w:styleId="BodyTextChar">
    <w:name w:val="Body Text Char"/>
    <w:basedOn w:val="DefaultParagraphFont"/>
    <w:link w:val="BodyText"/>
    <w:uiPriority w:val="1"/>
    <w:rsid w:val="00985A10"/>
  </w:style>
  <w:style w:type="character" w:styleId="CommentReference">
    <w:name w:val="annotation reference"/>
    <w:rsid w:val="006D492E"/>
    <w:rPr>
      <w:sz w:val="16"/>
      <w:szCs w:val="16"/>
    </w:rPr>
  </w:style>
  <w:style w:type="paragraph" w:styleId="CommentText">
    <w:name w:val="annotation text"/>
    <w:basedOn w:val="Normal"/>
    <w:link w:val="CommentTextChar"/>
    <w:rsid w:val="006D492E"/>
    <w:rPr>
      <w:sz w:val="20"/>
    </w:rPr>
  </w:style>
  <w:style w:type="character" w:customStyle="1" w:styleId="CommentTextChar">
    <w:name w:val="Comment Text Char"/>
    <w:link w:val="CommentText"/>
    <w:rsid w:val="006D492E"/>
    <w:rPr>
      <w:snapToGrid w:val="0"/>
      <w:kern w:val="28"/>
    </w:rPr>
  </w:style>
  <w:style w:type="paragraph" w:styleId="CommentSubject">
    <w:name w:val="annotation subject"/>
    <w:basedOn w:val="CommentText"/>
    <w:next w:val="CommentText"/>
    <w:link w:val="CommentSubjectChar"/>
    <w:rsid w:val="006D492E"/>
    <w:rPr>
      <w:b/>
      <w:bCs/>
    </w:rPr>
  </w:style>
  <w:style w:type="character" w:customStyle="1" w:styleId="CommentSubjectChar">
    <w:name w:val="Comment Subject Char"/>
    <w:link w:val="CommentSubject"/>
    <w:rsid w:val="006D492E"/>
    <w:rPr>
      <w:b/>
      <w:bCs/>
      <w:snapToGrid w:val="0"/>
      <w:kern w:val="28"/>
    </w:rPr>
  </w:style>
  <w:style w:type="paragraph" w:styleId="BalloonText">
    <w:name w:val="Balloon Text"/>
    <w:basedOn w:val="Normal"/>
    <w:link w:val="BalloonTextChar"/>
    <w:rsid w:val="006D492E"/>
    <w:rPr>
      <w:rFonts w:ascii="Segoe UI" w:hAnsi="Segoe UI" w:cs="Segoe UI"/>
      <w:sz w:val="18"/>
      <w:szCs w:val="18"/>
    </w:rPr>
  </w:style>
  <w:style w:type="character" w:customStyle="1" w:styleId="BalloonTextChar">
    <w:name w:val="Balloon Text Char"/>
    <w:link w:val="BalloonText"/>
    <w:rsid w:val="006D492E"/>
    <w:rPr>
      <w:rFonts w:ascii="Segoe UI" w:hAnsi="Segoe UI" w:cs="Segoe UI"/>
      <w:snapToGrid w:val="0"/>
      <w:kern w:val="28"/>
      <w:sz w:val="18"/>
      <w:szCs w:val="18"/>
    </w:rPr>
  </w:style>
  <w:style w:type="character" w:customStyle="1" w:styleId="ParaNumChar">
    <w:name w:val="ParaNum Char"/>
    <w:link w:val="ParaNum"/>
    <w:locked/>
    <w:rsid w:val="00077E74"/>
    <w:rPr>
      <w:sz w:val="22"/>
      <w:szCs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5361D"/>
  </w:style>
  <w:style w:type="character" w:customStyle="1" w:styleId="item-value">
    <w:name w:val="item-value"/>
    <w:basedOn w:val="DefaultParagraphFont"/>
    <w:rsid w:val="0035361D"/>
  </w:style>
  <w:style w:type="paragraph" w:styleId="ListParagraph">
    <w:name w:val="List Paragraph"/>
    <w:basedOn w:val="Normal"/>
    <w:uiPriority w:val="1"/>
    <w:qFormat/>
    <w:rsid w:val="009A3510"/>
    <w:pPr>
      <w:spacing w:before="108"/>
      <w:ind w:left="216" w:firstLine="648"/>
    </w:pPr>
    <w:rPr>
      <w:snapToGrid w:val="0"/>
    </w:rPr>
  </w:style>
  <w:style w:type="paragraph" w:styleId="Revision">
    <w:name w:val="Revision"/>
    <w:hidden/>
    <w:uiPriority w:val="99"/>
    <w:semiHidden/>
    <w:rsid w:val="009A3C00"/>
    <w:rPr>
      <w:snapToGrid w:val="0"/>
      <w:kern w:val="28"/>
      <w:sz w:val="22"/>
    </w:rPr>
  </w:style>
  <w:style w:type="paragraph" w:customStyle="1" w:styleId="psection-1">
    <w:name w:val="psection-1"/>
    <w:basedOn w:val="Normal"/>
    <w:rsid w:val="00AD411A"/>
    <w:pPr>
      <w:widowControl/>
      <w:spacing w:before="100" w:beforeAutospacing="1" w:after="100" w:afterAutospacing="1"/>
    </w:pPr>
    <w:rPr>
      <w:snapToGrid w:val="0"/>
      <w:sz w:val="24"/>
      <w:szCs w:val="24"/>
    </w:rPr>
  </w:style>
  <w:style w:type="character" w:customStyle="1" w:styleId="enumxml">
    <w:name w:val="enumxml"/>
    <w:basedOn w:val="DefaultParagraphFont"/>
    <w:rsid w:val="00AD411A"/>
  </w:style>
  <w:style w:type="paragraph" w:customStyle="1" w:styleId="psection-2">
    <w:name w:val="psection-2"/>
    <w:basedOn w:val="Normal"/>
    <w:rsid w:val="00AD411A"/>
    <w:pPr>
      <w:widowControl/>
      <w:spacing w:before="100" w:beforeAutospacing="1" w:after="100" w:afterAutospacing="1"/>
    </w:pPr>
    <w:rPr>
      <w:snapToGrid w:val="0"/>
      <w:sz w:val="24"/>
      <w:szCs w:val="24"/>
    </w:rPr>
  </w:style>
  <w:style w:type="character" w:customStyle="1" w:styleId="Heading1Char">
    <w:name w:val="Heading 1 Char"/>
    <w:link w:val="Heading1"/>
    <w:rsid w:val="00552862"/>
    <w:rPr>
      <w:rFonts w:ascii="Times New Roman Bold" w:hAnsi="Times New Roman Bold"/>
      <w:b/>
      <w:caps/>
      <w:sz w:val="22"/>
      <w:szCs w:val="22"/>
    </w:rPr>
  </w:style>
  <w:style w:type="paragraph" w:customStyle="1" w:styleId="StyleParaNumTimesNewRoman11pt">
    <w:name w:val="Style ParaNum + Times New Roman 11 pt"/>
    <w:basedOn w:val="ParaNum"/>
    <w:link w:val="StyleParaNumTimesNewRoman11ptChar"/>
    <w:autoRedefine/>
    <w:rsid w:val="00552862"/>
    <w:pPr>
      <w:widowControl/>
      <w:numPr>
        <w:numId w:val="0"/>
      </w:numPr>
      <w:tabs>
        <w:tab w:val="num" w:pos="360"/>
        <w:tab w:val="left" w:pos="1440"/>
      </w:tabs>
      <w:autoSpaceDE/>
      <w:autoSpaceDN/>
      <w:ind w:left="360" w:hanging="360"/>
    </w:pPr>
    <w:rPr>
      <w:kern w:val="28"/>
      <w:szCs w:val="20"/>
    </w:rPr>
  </w:style>
  <w:style w:type="character" w:customStyle="1" w:styleId="StyleParaNumTimesNewRoman11ptChar">
    <w:name w:val="Style ParaNum + Times New Roman 11 pt Char"/>
    <w:link w:val="StyleParaNumTimesNewRoman11pt"/>
    <w:locked/>
    <w:rsid w:val="00552862"/>
    <w:rPr>
      <w:kern w:val="28"/>
      <w:sz w:val="22"/>
    </w:rPr>
  </w:style>
  <w:style w:type="character" w:customStyle="1" w:styleId="FootnoteTextCharChar1">
    <w:name w:val="Footnote Text Char Char1"/>
    <w:aliases w:val="Footnote Text Char Char1 Char Char,Footnote Text Char Char1 Char Char Char Char,Footnote Text Char1 Char1 Char Char Char Char Char,Footnote Text Char2 Char2 Char,Footnote Text Char2 Char2 Char Char Char,fn Char Char"/>
    <w:rsid w:val="00392DBD"/>
    <w:rPr>
      <w:lang w:val="en-US" w:eastAsia="en-US"/>
    </w:rPr>
  </w:style>
  <w:style w:type="character" w:customStyle="1" w:styleId="FootnoteCharacters">
    <w:name w:val="Footnote Characters"/>
    <w:rsid w:val="00392D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about-fcc/fcc-initiatives/incentive-auctions" TargetMode="External" /><Relationship Id="rId2" Type="http://schemas.openxmlformats.org/officeDocument/2006/relationships/hyperlink" Target="https://docs.fcc.gov/public/attachments/DOC-365479A1.pdf" TargetMode="External" /><Relationship Id="rId3" Type="http://schemas.openxmlformats.org/officeDocument/2006/relationships/hyperlink" Target="https://auctionfiling.fcc.gov/form175/search175/index.htm" TargetMode="External" /><Relationship Id="rId4" Type="http://schemas.openxmlformats.org/officeDocument/2006/relationships/hyperlink" Target="https://docs.fcc.gov/public/attachments/DOC-367849A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