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77307E" w:rsidP="00C82B6B" w14:paraId="7ED3214A" w14:textId="77777777">
      <w:pPr>
        <w:jc w:val="right"/>
        <w:rPr>
          <w:sz w:val="24"/>
          <w:szCs w:val="24"/>
        </w:rPr>
      </w:pPr>
    </w:p>
    <w:p w:rsidR="0077307E" w:rsidRPr="0077307E" w:rsidP="0077307E" w14:paraId="04EE8D93" w14:textId="7B684603">
      <w:pPr>
        <w:jc w:val="right"/>
        <w:rPr>
          <w:b/>
          <w:sz w:val="24"/>
          <w:szCs w:val="24"/>
        </w:rPr>
      </w:pPr>
      <w:r w:rsidRPr="0077307E">
        <w:rPr>
          <w:b/>
          <w:sz w:val="24"/>
          <w:szCs w:val="24"/>
        </w:rPr>
        <w:t>DA 20-</w:t>
      </w:r>
      <w:r>
        <w:rPr>
          <w:b/>
          <w:sz w:val="24"/>
          <w:szCs w:val="24"/>
        </w:rPr>
        <w:t>1446</w:t>
      </w:r>
    </w:p>
    <w:p w:rsidR="0077307E" w:rsidRPr="0077307E" w:rsidP="0077307E" w14:paraId="512607B8" w14:textId="77777777">
      <w:pPr>
        <w:jc w:val="right"/>
        <w:rPr>
          <w:b/>
          <w:sz w:val="24"/>
          <w:szCs w:val="24"/>
        </w:rPr>
      </w:pPr>
      <w:r w:rsidRPr="0077307E">
        <w:rPr>
          <w:b/>
          <w:sz w:val="24"/>
          <w:szCs w:val="24"/>
        </w:rPr>
        <w:t>Released:  December 3, 2020</w:t>
      </w:r>
    </w:p>
    <w:p w:rsidR="0077307E" w:rsidRPr="0077307E" w:rsidP="0077307E" w14:paraId="3B02EB9F" w14:textId="77777777">
      <w:pPr>
        <w:spacing w:after="120"/>
        <w:jc w:val="center"/>
        <w:rPr>
          <w:sz w:val="24"/>
          <w:szCs w:val="24"/>
        </w:rPr>
      </w:pPr>
    </w:p>
    <w:p w:rsidR="0077307E" w:rsidRPr="0077307E" w:rsidP="0077307E" w14:paraId="7A15FB10" w14:textId="77777777">
      <w:pPr>
        <w:jc w:val="center"/>
        <w:rPr>
          <w:b/>
          <w:i/>
          <w:iCs/>
          <w:caps/>
          <w:sz w:val="24"/>
          <w:szCs w:val="24"/>
        </w:rPr>
      </w:pPr>
      <w:r w:rsidRPr="0077307E">
        <w:rPr>
          <w:b/>
          <w:caps/>
          <w:sz w:val="24"/>
          <w:szCs w:val="24"/>
        </w:rPr>
        <w:t xml:space="preserve">PETITION FOR RECONSIDERATION OF THE </w:t>
      </w:r>
      <w:r w:rsidRPr="0077307E">
        <w:rPr>
          <w:b/>
          <w:i/>
          <w:iCs/>
          <w:caps/>
          <w:sz w:val="24"/>
          <w:szCs w:val="24"/>
        </w:rPr>
        <w:t xml:space="preserve">2020 Inmate Calling </w:t>
      </w:r>
    </w:p>
    <w:p w:rsidR="0077307E" w:rsidRPr="0077307E" w:rsidP="0077307E" w14:paraId="384D9FE1" w14:textId="77777777">
      <w:pPr>
        <w:jc w:val="center"/>
        <w:rPr>
          <w:b/>
          <w:i/>
          <w:iCs/>
          <w:caps/>
          <w:sz w:val="24"/>
          <w:szCs w:val="24"/>
        </w:rPr>
      </w:pPr>
      <w:r w:rsidRPr="0077307E">
        <w:rPr>
          <w:b/>
          <w:i/>
          <w:iCs/>
          <w:caps/>
          <w:sz w:val="24"/>
          <w:szCs w:val="24"/>
        </w:rPr>
        <w:t xml:space="preserve">services Report and order on Remand </w:t>
      </w:r>
    </w:p>
    <w:p w:rsidR="0077307E" w:rsidRPr="0077307E" w:rsidP="0077307E" w14:paraId="14FB5960" w14:textId="77777777">
      <w:pPr>
        <w:jc w:val="center"/>
        <w:rPr>
          <w:b/>
          <w:caps/>
          <w:sz w:val="24"/>
          <w:szCs w:val="24"/>
        </w:rPr>
      </w:pPr>
    </w:p>
    <w:p w:rsidR="0077307E" w:rsidRPr="0077307E" w:rsidP="0077307E" w14:paraId="09A07B2A" w14:textId="77777777">
      <w:pPr>
        <w:jc w:val="center"/>
        <w:rPr>
          <w:b/>
          <w:sz w:val="24"/>
          <w:szCs w:val="24"/>
        </w:rPr>
      </w:pPr>
      <w:r w:rsidRPr="0077307E">
        <w:rPr>
          <w:b/>
          <w:sz w:val="24"/>
          <w:szCs w:val="24"/>
        </w:rPr>
        <w:t>WC Docket No. 12-375</w:t>
      </w:r>
    </w:p>
    <w:p w:rsidR="0077307E" w:rsidRPr="0077307E" w:rsidP="0077307E" w14:paraId="6CA1B214" w14:textId="77777777">
      <w:pPr>
        <w:jc w:val="center"/>
        <w:rPr>
          <w:b/>
          <w:sz w:val="24"/>
          <w:szCs w:val="24"/>
        </w:rPr>
      </w:pPr>
    </w:p>
    <w:p w:rsidR="0077307E" w:rsidRPr="0077307E" w:rsidP="0077307E" w14:paraId="12398F79" w14:textId="77777777">
      <w:pPr>
        <w:tabs>
          <w:tab w:val="left" w:pos="1620"/>
        </w:tabs>
        <w:ind w:left="1620" w:hanging="1710"/>
        <w:rPr>
          <w:b/>
          <w:spacing w:val="-2"/>
          <w:sz w:val="24"/>
          <w:szCs w:val="24"/>
        </w:rPr>
      </w:pPr>
      <w:r w:rsidRPr="0077307E">
        <w:rPr>
          <w:b/>
          <w:spacing w:val="-2"/>
          <w:sz w:val="24"/>
          <w:szCs w:val="24"/>
        </w:rPr>
        <w:t xml:space="preserve"> Opposition Date:  January 11, 2021 </w:t>
      </w:r>
    </w:p>
    <w:p w:rsidR="0077307E" w:rsidRPr="0077307E" w:rsidP="0077307E" w14:paraId="4541BF24" w14:textId="77777777">
      <w:pPr>
        <w:rPr>
          <w:b/>
          <w:spacing w:val="-2"/>
          <w:sz w:val="24"/>
          <w:szCs w:val="24"/>
        </w:rPr>
      </w:pPr>
    </w:p>
    <w:p w:rsidR="0077307E" w:rsidRPr="0077307E" w:rsidP="0077307E" w14:paraId="064EAC09" w14:textId="77777777">
      <w:pPr>
        <w:ind w:left="1170" w:hanging="1170"/>
        <w:rPr>
          <w:b/>
          <w:spacing w:val="-2"/>
          <w:sz w:val="24"/>
          <w:szCs w:val="24"/>
        </w:rPr>
      </w:pPr>
      <w:r w:rsidRPr="0077307E">
        <w:rPr>
          <w:b/>
          <w:spacing w:val="-2"/>
          <w:sz w:val="24"/>
          <w:szCs w:val="24"/>
        </w:rPr>
        <w:t xml:space="preserve">Reply Date:  January 21, 2021 </w:t>
      </w:r>
    </w:p>
    <w:p w:rsidR="0077307E" w:rsidRPr="0077307E" w:rsidP="0077307E" w14:paraId="132A9496" w14:textId="77777777">
      <w:pPr>
        <w:ind w:left="1170"/>
        <w:rPr>
          <w:b/>
          <w:spacing w:val="-2"/>
          <w:sz w:val="24"/>
          <w:szCs w:val="24"/>
        </w:rPr>
      </w:pPr>
      <w:r w:rsidRPr="0077307E">
        <w:rPr>
          <w:b/>
          <w:spacing w:val="-2"/>
          <w:sz w:val="24"/>
          <w:szCs w:val="24"/>
        </w:rPr>
        <w:t xml:space="preserve"> </w:t>
      </w:r>
    </w:p>
    <w:p w:rsidR="0077307E" w:rsidRPr="0077307E" w:rsidP="0077307E" w14:paraId="639304A0" w14:textId="77777777">
      <w:pPr>
        <w:spacing w:after="120"/>
        <w:ind w:firstLine="720"/>
        <w:rPr>
          <w:sz w:val="24"/>
          <w:szCs w:val="24"/>
        </w:rPr>
      </w:pPr>
      <w:r w:rsidRPr="0077307E">
        <w:rPr>
          <w:sz w:val="24"/>
          <w:szCs w:val="24"/>
        </w:rPr>
        <w:t>By this Public Notice, the Wireline Competition Bureau (Bureau) announces that Global Tel*Link Corporation (GTL) has filed a petition for reconsideration</w:t>
      </w:r>
      <w:r>
        <w:rPr>
          <w:rStyle w:val="FootnoteReference"/>
          <w:sz w:val="24"/>
          <w:szCs w:val="24"/>
        </w:rPr>
        <w:footnoteReference w:id="3"/>
      </w:r>
      <w:r w:rsidRPr="0077307E">
        <w:rPr>
          <w:sz w:val="24"/>
          <w:szCs w:val="24"/>
        </w:rPr>
        <w:t xml:space="preserve"> of the </w:t>
      </w:r>
      <w:r w:rsidRPr="0077307E">
        <w:rPr>
          <w:i/>
          <w:iCs/>
          <w:sz w:val="24"/>
          <w:szCs w:val="24"/>
        </w:rPr>
        <w:t>2020 ICS Report and Order on Remand.</w:t>
      </w:r>
      <w:r>
        <w:rPr>
          <w:rStyle w:val="FootnoteReference"/>
          <w:sz w:val="24"/>
          <w:szCs w:val="24"/>
        </w:rPr>
        <w:footnoteReference w:id="4"/>
      </w:r>
      <w:r w:rsidRPr="0077307E">
        <w:rPr>
          <w:sz w:val="24"/>
          <w:szCs w:val="24"/>
        </w:rPr>
        <w:t xml:space="preserve">  GTL requests reconsideration of a single sentence from the </w:t>
      </w:r>
      <w:r w:rsidRPr="0077307E">
        <w:rPr>
          <w:i/>
          <w:iCs/>
          <w:sz w:val="24"/>
          <w:szCs w:val="24"/>
        </w:rPr>
        <w:t>2020 ICS Report and Order on Remand</w:t>
      </w:r>
      <w:r w:rsidRPr="0077307E">
        <w:rPr>
          <w:sz w:val="24"/>
          <w:szCs w:val="24"/>
        </w:rPr>
        <w:t xml:space="preserve"> stating that “the jurisdictional nature of a call depends on the physical location of the endpoints of the call and not on whether the area code or NXX prefix of the telephone number associated with the account, are associated with a particular state.”</w:t>
      </w:r>
      <w:r>
        <w:rPr>
          <w:rStyle w:val="FootnoteReference"/>
          <w:sz w:val="24"/>
          <w:szCs w:val="24"/>
        </w:rPr>
        <w:footnoteReference w:id="5"/>
      </w:r>
    </w:p>
    <w:p w:rsidR="0077307E" w:rsidRPr="0077307E" w:rsidP="0077307E" w14:paraId="1A254891" w14:textId="77777777">
      <w:pPr>
        <w:keepNext/>
        <w:spacing w:after="120"/>
        <w:ind w:firstLine="720"/>
        <w:rPr>
          <w:sz w:val="24"/>
          <w:szCs w:val="24"/>
        </w:rPr>
      </w:pPr>
      <w:r w:rsidRPr="0077307E">
        <w:rPr>
          <w:sz w:val="24"/>
          <w:szCs w:val="24"/>
        </w:rPr>
        <w:t xml:space="preserve">The Commission published a summary of the </w:t>
      </w:r>
      <w:r w:rsidRPr="0077307E">
        <w:rPr>
          <w:i/>
          <w:iCs/>
          <w:sz w:val="24"/>
          <w:szCs w:val="24"/>
        </w:rPr>
        <w:t xml:space="preserve">2020 ICS Report and Order on Remand </w:t>
      </w:r>
      <w:r w:rsidRPr="0077307E">
        <w:rPr>
          <w:sz w:val="24"/>
          <w:szCs w:val="24"/>
        </w:rPr>
        <w:t>in the Federal Register on October 23, 2020.</w:t>
      </w:r>
      <w:r>
        <w:rPr>
          <w:rStyle w:val="FootnoteReference"/>
          <w:sz w:val="24"/>
          <w:szCs w:val="24"/>
        </w:rPr>
        <w:footnoteReference w:id="6"/>
      </w:r>
      <w:r w:rsidRPr="0077307E">
        <w:rPr>
          <w:sz w:val="24"/>
          <w:szCs w:val="24"/>
        </w:rPr>
        <w:t xml:space="preserve">  Petitions for reconsideration were due by November 23, 2020.</w:t>
      </w:r>
      <w:r>
        <w:rPr>
          <w:rStyle w:val="FootnoteReference"/>
          <w:sz w:val="24"/>
          <w:szCs w:val="24"/>
        </w:rPr>
        <w:footnoteReference w:id="7"/>
      </w:r>
      <w:r w:rsidRPr="0077307E">
        <w:rPr>
          <w:sz w:val="24"/>
          <w:szCs w:val="24"/>
        </w:rPr>
        <w:t xml:space="preserve">  The Petition, filed November 23, 2020, is therefore timely filed.  </w:t>
      </w:r>
    </w:p>
    <w:p w:rsidR="0077307E" w:rsidRPr="0077307E" w:rsidP="0077307E" w14:paraId="235D9F5F" w14:textId="77777777">
      <w:pPr>
        <w:widowControl/>
        <w:spacing w:after="120"/>
        <w:ind w:firstLine="720"/>
        <w:rPr>
          <w:sz w:val="24"/>
          <w:szCs w:val="24"/>
        </w:rPr>
      </w:pPr>
      <w:r w:rsidRPr="0077307E">
        <w:rPr>
          <w:sz w:val="24"/>
          <w:szCs w:val="24"/>
        </w:rPr>
        <w:t>Under the Commission’s rules, oppositions to petitions for reconsideration of final orders in rulemaking proceedings are due within 15 days after the Commission publishes notice in the Federal Register of a timely filed petition for reconsideration.</w:t>
      </w:r>
      <w:r>
        <w:rPr>
          <w:rStyle w:val="FootnoteReference"/>
          <w:sz w:val="24"/>
          <w:szCs w:val="24"/>
        </w:rPr>
        <w:footnoteReference w:id="8"/>
      </w:r>
      <w:r w:rsidRPr="0077307E">
        <w:rPr>
          <w:sz w:val="24"/>
          <w:szCs w:val="24"/>
        </w:rPr>
        <w:t xml:space="preserve">  Replies to oppositions to petitions for reconsideration of final orders in rulemaking proceedings are due 10 days after the time for filing oppositions has expired.</w:t>
      </w:r>
      <w:r>
        <w:rPr>
          <w:rStyle w:val="FootnoteReference"/>
          <w:sz w:val="24"/>
          <w:szCs w:val="24"/>
        </w:rPr>
        <w:footnoteReference w:id="9"/>
      </w:r>
      <w:r w:rsidRPr="0077307E">
        <w:rPr>
          <w:sz w:val="24"/>
          <w:szCs w:val="24"/>
        </w:rPr>
        <w:t xml:space="preserve">  Because reply comments with respect to the </w:t>
      </w:r>
      <w:r w:rsidRPr="0077307E">
        <w:rPr>
          <w:i/>
          <w:iCs/>
          <w:sz w:val="24"/>
          <w:szCs w:val="24"/>
        </w:rPr>
        <w:t xml:space="preserve">Further </w:t>
      </w:r>
      <w:r w:rsidRPr="0077307E">
        <w:rPr>
          <w:i/>
          <w:iCs/>
          <w:sz w:val="24"/>
          <w:szCs w:val="24"/>
        </w:rPr>
        <w:t>Notice</w:t>
      </w:r>
      <w:r w:rsidRPr="0077307E">
        <w:rPr>
          <w:sz w:val="24"/>
          <w:szCs w:val="24"/>
        </w:rPr>
        <w:t xml:space="preserve"> are due on December 22, 2020,</w:t>
      </w:r>
      <w:r>
        <w:rPr>
          <w:rStyle w:val="FootnoteReference"/>
          <w:sz w:val="24"/>
          <w:szCs w:val="24"/>
        </w:rPr>
        <w:footnoteReference w:id="10"/>
      </w:r>
      <w:r w:rsidRPr="0077307E">
        <w:rPr>
          <w:sz w:val="24"/>
          <w:szCs w:val="24"/>
        </w:rPr>
        <w:t xml:space="preserve"> the Bureau seeks to avoid a potential overlap between the due date for </w:t>
      </w:r>
      <w:r w:rsidRPr="0077307E">
        <w:rPr>
          <w:i/>
          <w:iCs/>
          <w:sz w:val="24"/>
          <w:szCs w:val="24"/>
        </w:rPr>
        <w:t>Further Notice</w:t>
      </w:r>
      <w:r w:rsidRPr="0077307E">
        <w:rPr>
          <w:sz w:val="24"/>
          <w:szCs w:val="24"/>
        </w:rPr>
        <w:t xml:space="preserve"> reply comments and the initial opposition filing date with respect to the Petition.  In order to provide more certainty with regard to the commencement of the pleading cycle for this Petition, and in the interest of allowing all stakeholders the opportunity to fully and meaningfully respond to both the </w:t>
      </w:r>
      <w:r w:rsidRPr="0077307E">
        <w:rPr>
          <w:i/>
          <w:iCs/>
          <w:sz w:val="24"/>
          <w:szCs w:val="24"/>
        </w:rPr>
        <w:t xml:space="preserve">Further Notice </w:t>
      </w:r>
      <w:r w:rsidRPr="0077307E">
        <w:rPr>
          <w:sz w:val="24"/>
          <w:szCs w:val="24"/>
        </w:rPr>
        <w:t>and the Petition, the Bureau finds good cause pursuant to 47 CFR § 1.3 to waive, on its own motion, if necessary, the deadline for oppositions as set forth in 47 CFR § 1.429(f) to permit a longer pleading cycle should Federal Register publication of a notice of the filing of the Petition occur on or before December 24, 2020.</w:t>
      </w:r>
      <w:r>
        <w:rPr>
          <w:rStyle w:val="FootnoteReference"/>
          <w:sz w:val="24"/>
          <w:szCs w:val="24"/>
        </w:rPr>
        <w:footnoteReference w:id="11"/>
      </w:r>
      <w:r w:rsidRPr="0077307E">
        <w:rPr>
          <w:sz w:val="24"/>
          <w:szCs w:val="24"/>
        </w:rPr>
        <w:t xml:space="preserve">  </w:t>
      </w:r>
    </w:p>
    <w:p w:rsidR="0077307E" w:rsidRPr="0077307E" w:rsidP="0077307E" w14:paraId="59B7B7EE" w14:textId="77777777">
      <w:pPr>
        <w:widowControl/>
        <w:spacing w:after="120"/>
        <w:ind w:firstLine="720"/>
        <w:rPr>
          <w:sz w:val="24"/>
          <w:szCs w:val="24"/>
        </w:rPr>
      </w:pPr>
      <w:r w:rsidRPr="0077307E">
        <w:rPr>
          <w:sz w:val="24"/>
          <w:szCs w:val="24"/>
        </w:rPr>
        <w:t>As required by the Commission’s rules, the Commission will publish a separate notice in the Federal Register announcing the filing of the Petition</w:t>
      </w:r>
      <w:r>
        <w:rPr>
          <w:rStyle w:val="FootnoteReference"/>
          <w:sz w:val="24"/>
          <w:szCs w:val="24"/>
        </w:rPr>
        <w:footnoteReference w:id="12"/>
      </w:r>
      <w:r w:rsidRPr="0077307E">
        <w:rPr>
          <w:sz w:val="24"/>
          <w:szCs w:val="24"/>
        </w:rPr>
        <w:t xml:space="preserve"> and specifying that oppositions to the Petition shall be filed no later than January 11, 2021 and replies to oppositions shall be filed no later than January 21, 2021.</w:t>
      </w:r>
      <w:r>
        <w:rPr>
          <w:rStyle w:val="FootnoteReference"/>
          <w:sz w:val="24"/>
          <w:szCs w:val="24"/>
        </w:rPr>
        <w:footnoteReference w:id="13"/>
      </w:r>
      <w:r w:rsidRPr="0077307E">
        <w:rPr>
          <w:sz w:val="24"/>
          <w:szCs w:val="24"/>
        </w:rPr>
        <w:t xml:space="preserve">  </w:t>
      </w:r>
    </w:p>
    <w:p w:rsidR="0077307E" w:rsidRPr="0077307E" w:rsidP="0077307E" w14:paraId="78181D0B" w14:textId="77777777">
      <w:pPr>
        <w:spacing w:after="120"/>
        <w:ind w:firstLine="720"/>
        <w:rPr>
          <w:sz w:val="24"/>
          <w:szCs w:val="24"/>
        </w:rPr>
      </w:pPr>
      <w:r w:rsidRPr="0077307E">
        <w:rPr>
          <w:sz w:val="24"/>
          <w:szCs w:val="24"/>
        </w:rPr>
        <w:t>Action by the Chief, Wireline Competition Bureau.</w:t>
      </w:r>
    </w:p>
    <w:p w:rsidR="0077307E" w:rsidRPr="0077307E" w:rsidP="0077307E" w14:paraId="501F2B4D" w14:textId="77777777">
      <w:pPr>
        <w:spacing w:after="120"/>
        <w:ind w:firstLine="720"/>
        <w:rPr>
          <w:sz w:val="24"/>
          <w:szCs w:val="24"/>
        </w:rPr>
      </w:pPr>
      <w:r w:rsidRPr="0077307E">
        <w:rPr>
          <w:sz w:val="24"/>
          <w:szCs w:val="24"/>
        </w:rPr>
        <w:t xml:space="preserve">For further information, please contact Peter Bean of the Wireline Competition Bureau, Pricing Policy Division, at (202) 418-0786 or </w:t>
      </w:r>
      <w:hyperlink r:id="rId5" w:history="1">
        <w:r w:rsidRPr="0077307E">
          <w:rPr>
            <w:rStyle w:val="Hyperlink"/>
            <w:sz w:val="24"/>
            <w:szCs w:val="24"/>
          </w:rPr>
          <w:t>peter.bean@fcc.gov</w:t>
        </w:r>
      </w:hyperlink>
      <w:r w:rsidRPr="0077307E">
        <w:rPr>
          <w:sz w:val="24"/>
          <w:szCs w:val="24"/>
        </w:rPr>
        <w:t xml:space="preserve">.  </w:t>
      </w:r>
    </w:p>
    <w:p w:rsidR="0077307E" w:rsidRPr="0077307E" w:rsidP="0077307E" w14:paraId="56CD0FFF" w14:textId="77777777">
      <w:pPr>
        <w:spacing w:after="120"/>
        <w:rPr>
          <w:sz w:val="24"/>
          <w:szCs w:val="24"/>
        </w:rPr>
      </w:pPr>
    </w:p>
    <w:p w:rsidR="0077307E" w:rsidRPr="0077307E" w:rsidP="0077307E" w14:paraId="13EBA07A" w14:textId="77777777">
      <w:pPr>
        <w:spacing w:after="120"/>
        <w:jc w:val="center"/>
        <w:rPr>
          <w:b/>
          <w:sz w:val="24"/>
          <w:szCs w:val="24"/>
        </w:rPr>
      </w:pPr>
      <w:r w:rsidRPr="0077307E">
        <w:rPr>
          <w:b/>
          <w:sz w:val="24"/>
          <w:szCs w:val="24"/>
        </w:rPr>
        <w:t>– FCC –</w:t>
      </w:r>
    </w:p>
    <w:p w:rsidR="0077307E" w:rsidRPr="0077307E" w:rsidP="0077307E" w14:paraId="51781EF1" w14:textId="77777777">
      <w:pPr>
        <w:spacing w:after="120"/>
        <w:rPr>
          <w:sz w:val="24"/>
          <w:szCs w:val="24"/>
        </w:rPr>
      </w:pPr>
    </w:p>
    <w:p w:rsidR="00930ECF" w:rsidRPr="0077307E" w:rsidP="0077307E" w14:paraId="119686EF" w14:textId="77777777">
      <w:pPr>
        <w:jc w:val="right"/>
        <w:rPr>
          <w:sz w:val="24"/>
          <w:szCs w:val="24"/>
        </w:rPr>
      </w:pPr>
      <w:bookmarkStart w:id="0" w:name="_GoBack"/>
      <w:bookmarkEnd w:id="0"/>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8739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C74E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A047E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EFA9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E8F" w14:paraId="0E2482E2" w14:textId="77777777">
      <w:r>
        <w:separator/>
      </w:r>
    </w:p>
  </w:footnote>
  <w:footnote w:type="continuationSeparator" w:id="1">
    <w:p w:rsidR="00917E8F" w14:paraId="6F3255B7" w14:textId="77777777">
      <w:pPr>
        <w:rPr>
          <w:sz w:val="20"/>
        </w:rPr>
      </w:pPr>
      <w:r>
        <w:rPr>
          <w:sz w:val="20"/>
        </w:rPr>
        <w:t xml:space="preserve">(Continued from previous page)  </w:t>
      </w:r>
      <w:r>
        <w:rPr>
          <w:sz w:val="20"/>
        </w:rPr>
        <w:separator/>
      </w:r>
    </w:p>
  </w:footnote>
  <w:footnote w:type="continuationNotice" w:id="2">
    <w:p w:rsidR="00917E8F" w:rsidP="00910F12" w14:paraId="57417111" w14:textId="77777777">
      <w:pPr>
        <w:jc w:val="right"/>
        <w:rPr>
          <w:sz w:val="20"/>
        </w:rPr>
      </w:pPr>
      <w:r>
        <w:rPr>
          <w:sz w:val="20"/>
        </w:rPr>
        <w:t>(continued….)</w:t>
      </w:r>
    </w:p>
  </w:footnote>
  <w:footnote w:id="3">
    <w:p w:rsidR="0077307E" w:rsidRPr="00D357D6" w:rsidP="0077307E" w14:paraId="0847ED5A" w14:textId="77777777">
      <w:pPr>
        <w:pStyle w:val="FootnoteText"/>
      </w:pPr>
      <w:r>
        <w:rPr>
          <w:rStyle w:val="FootnoteReference"/>
        </w:rPr>
        <w:footnoteRef/>
      </w:r>
      <w:r>
        <w:t xml:space="preserve"> </w:t>
      </w:r>
      <w:r>
        <w:rPr>
          <w:i/>
          <w:iCs/>
        </w:rPr>
        <w:t xml:space="preserve">See </w:t>
      </w:r>
      <w:r>
        <w:t xml:space="preserve">Petition for Reconsideration of Global Tel*Link Corporation, WC Docket No. 12-375 (filed Nov. 23, 2020) (Petition).  </w:t>
      </w:r>
    </w:p>
  </w:footnote>
  <w:footnote w:id="4">
    <w:p w:rsidR="0077307E" w:rsidRPr="00D357D6" w:rsidP="0077307E" w14:paraId="4A695B74" w14:textId="77777777">
      <w:pPr>
        <w:pStyle w:val="FootnoteText"/>
      </w:pPr>
      <w:r>
        <w:rPr>
          <w:rStyle w:val="FootnoteReference"/>
        </w:rPr>
        <w:footnoteRef/>
      </w:r>
      <w:r>
        <w:t xml:space="preserve"> </w:t>
      </w:r>
      <w:r>
        <w:rPr>
          <w:i/>
          <w:iCs/>
        </w:rPr>
        <w:t>Rates for Interstate Inmate Calling Services</w:t>
      </w:r>
      <w:r>
        <w:t>, WC Docket No. 12-375, Report and Order on Remand and Fourth Further Notice of Proposed Rulemaking, 35 FCC Rcd 8485 (2020) (</w:t>
      </w:r>
      <w:r>
        <w:rPr>
          <w:i/>
          <w:iCs/>
        </w:rPr>
        <w:t xml:space="preserve">2020 ICS Report and Order on Remand </w:t>
      </w:r>
      <w:r w:rsidRPr="00C459D7">
        <w:t>or</w:t>
      </w:r>
      <w:r>
        <w:rPr>
          <w:i/>
          <w:iCs/>
        </w:rPr>
        <w:t xml:space="preserve"> 2020 ICS Fourth Further Notice </w:t>
      </w:r>
      <w:r w:rsidRPr="00C459D7">
        <w:t xml:space="preserve">or </w:t>
      </w:r>
      <w:r>
        <w:rPr>
          <w:i/>
          <w:iCs/>
        </w:rPr>
        <w:t>Further Notice</w:t>
      </w:r>
      <w:r>
        <w:t xml:space="preserve">).  </w:t>
      </w:r>
    </w:p>
  </w:footnote>
  <w:footnote w:id="5">
    <w:p w:rsidR="0077307E" w:rsidRPr="00B469E3" w:rsidP="0077307E" w14:paraId="46E64F1A" w14:textId="77777777">
      <w:pPr>
        <w:pStyle w:val="FootnoteText"/>
      </w:pPr>
      <w:r>
        <w:rPr>
          <w:rStyle w:val="FootnoteReference"/>
        </w:rPr>
        <w:footnoteRef/>
      </w:r>
      <w:r>
        <w:t xml:space="preserve"> </w:t>
      </w:r>
      <w:r>
        <w:rPr>
          <w:i/>
          <w:iCs/>
        </w:rPr>
        <w:t>2020 ICS Report and Order on Remand</w:t>
      </w:r>
      <w:r>
        <w:t xml:space="preserve">, 35 FCC Rcd at 8503, para. 53; Petition at ii, 3.  </w:t>
      </w:r>
    </w:p>
  </w:footnote>
  <w:footnote w:id="6">
    <w:p w:rsidR="0077307E" w:rsidP="0077307E" w14:paraId="0C7569BF" w14:textId="77777777">
      <w:pPr>
        <w:pStyle w:val="FootnoteText"/>
      </w:pPr>
      <w:r>
        <w:rPr>
          <w:rStyle w:val="FootnoteReference"/>
        </w:rPr>
        <w:footnoteRef/>
      </w:r>
      <w:r>
        <w:t xml:space="preserve"> Federal Communications Commission, Rates for Interstate Inmate Calling Services, 85 Fed. Reg. 67450 (Oct. 23, 2020).  </w:t>
      </w:r>
    </w:p>
  </w:footnote>
  <w:footnote w:id="7">
    <w:p w:rsidR="0077307E" w:rsidP="0077307E" w14:paraId="0F667AF0" w14:textId="77777777">
      <w:pPr>
        <w:pStyle w:val="FootnoteText"/>
      </w:pPr>
      <w:r>
        <w:rPr>
          <w:rStyle w:val="FootnoteReference"/>
        </w:rPr>
        <w:footnoteRef/>
      </w:r>
      <w:r>
        <w:t xml:space="preserve"> 47 CFR §§ 1.4(b)(1), (j), 1.429(d).  </w:t>
      </w:r>
    </w:p>
  </w:footnote>
  <w:footnote w:id="8">
    <w:p w:rsidR="0077307E" w:rsidRPr="003A4C15" w:rsidP="0077307E" w14:paraId="698705A7" w14:textId="77777777">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1.4(b)(1), </w:t>
      </w:r>
      <w:r w:rsidRPr="009A66F2">
        <w:t>1.</w:t>
      </w:r>
      <w:r>
        <w:t xml:space="preserve">429(f).  </w:t>
      </w:r>
    </w:p>
  </w:footnote>
  <w:footnote w:id="9">
    <w:p w:rsidR="0077307E" w:rsidRPr="003A4C15" w:rsidP="0077307E" w14:paraId="7BF0C7E8" w14:textId="77777777">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1.429(g).  </w:t>
      </w:r>
    </w:p>
  </w:footnote>
  <w:footnote w:id="10">
    <w:p w:rsidR="0077307E" w:rsidP="0077307E" w14:paraId="5F32133A" w14:textId="77777777">
      <w:pPr>
        <w:pStyle w:val="FootnoteText"/>
      </w:pPr>
      <w:r>
        <w:rPr>
          <w:rStyle w:val="FootnoteReference"/>
        </w:rPr>
        <w:footnoteRef/>
      </w:r>
      <w:r>
        <w:t xml:space="preserve"> Federal Communications Commission, Rates for Interstate Inmate Calling Services, 85 Fed. Reg. 67480 (Oct. 23, 2020).  </w:t>
      </w:r>
    </w:p>
  </w:footnote>
  <w:footnote w:id="11">
    <w:p w:rsidR="0077307E" w:rsidP="0077307E" w14:paraId="1F189354" w14:textId="77777777">
      <w:pPr>
        <w:pStyle w:val="FootnoteText"/>
      </w:pPr>
      <w:r>
        <w:rPr>
          <w:rStyle w:val="FootnoteReference"/>
        </w:rPr>
        <w:footnoteRef/>
      </w:r>
      <w:r>
        <w:t xml:space="preserve"> 47 CFR §§ 1.3, 1.429(f).  January 11, 2020 is the eighteenth day after December 24, 2020.  Should </w:t>
      </w:r>
      <w:r>
        <w:t>Federal</w:t>
      </w:r>
      <w:r>
        <w:t xml:space="preserve"> Register publication of this notice occur on or before December 24, 2020, interested parties will have longer than the period provided by the Commission’s rules to file oppositions to the Petition.  </w:t>
      </w:r>
      <w:r>
        <w:rPr>
          <w:i/>
          <w:iCs/>
        </w:rPr>
        <w:t xml:space="preserve">See </w:t>
      </w:r>
      <w:r>
        <w:t xml:space="preserve">47 CFR § 1.429(f).   </w:t>
      </w:r>
    </w:p>
  </w:footnote>
  <w:footnote w:id="12">
    <w:p w:rsidR="0077307E" w:rsidP="0077307E" w14:paraId="0CD8CFA4" w14:textId="77777777">
      <w:pPr>
        <w:pStyle w:val="FootnoteText"/>
      </w:pPr>
      <w:r>
        <w:rPr>
          <w:rStyle w:val="FootnoteReference"/>
        </w:rPr>
        <w:footnoteRef/>
      </w:r>
      <w:r>
        <w:t xml:space="preserve"> 47 CFR § 1.429(e).  </w:t>
      </w:r>
    </w:p>
  </w:footnote>
  <w:footnote w:id="13">
    <w:p w:rsidR="0077307E" w:rsidRPr="00241674" w:rsidP="0077307E" w14:paraId="74A27D0C" w14:textId="77777777">
      <w:pPr>
        <w:pStyle w:val="FootnoteText"/>
      </w:pPr>
      <w:r>
        <w:rPr>
          <w:rStyle w:val="FootnoteReference"/>
        </w:rPr>
        <w:footnoteRef/>
      </w:r>
      <w:r>
        <w:t xml:space="preserve"> Should </w:t>
      </w:r>
      <w:r>
        <w:t>Federal</w:t>
      </w:r>
      <w:r>
        <w:t xml:space="preserve"> Register Publication of the notice of the Petition occur after Thursday, December 24, 2020, the Bureau will extend the deadline for oppositions and replies to provide a full 15/10 day opposition period, respectively, as required under the Commission’s rules.  </w:t>
      </w:r>
      <w:r>
        <w:rPr>
          <w:i/>
          <w:iCs/>
        </w:rPr>
        <w:t>See</w:t>
      </w:r>
      <w:r>
        <w:t xml:space="preserve"> 47 CFR § 1.429(f)-(g).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0E602E" w14:textId="6E27783D">
    <w:pPr>
      <w:tabs>
        <w:tab w:val="center" w:pos="4680"/>
        <w:tab w:val="right" w:pos="9360"/>
      </w:tabs>
    </w:pPr>
    <w:r w:rsidRPr="009838BC">
      <w:rPr>
        <w:b/>
      </w:rPr>
      <w:tab/>
      <w:t>Federal Communications Commission</w:t>
    </w:r>
    <w:r w:rsidRPr="009838BC">
      <w:rPr>
        <w:b/>
      </w:rPr>
      <w:tab/>
    </w:r>
    <w:r w:rsidR="00F52C6C">
      <w:rPr>
        <w:b/>
      </w:rPr>
      <w:t>DA 20-1446</w:t>
    </w:r>
  </w:p>
  <w:p w:rsidR="009838BC" w:rsidRPr="009838BC" w:rsidP="009838BC" w14:paraId="468CA97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D4F060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83305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466FC69" w14:textId="77777777">
                <w:pPr>
                  <w:rPr>
                    <w:rFonts w:ascii="Arial" w:hAnsi="Arial"/>
                    <w:b/>
                  </w:rPr>
                </w:pPr>
                <w:r>
                  <w:rPr>
                    <w:rFonts w:ascii="Arial" w:hAnsi="Arial"/>
                    <w:b/>
                  </w:rPr>
                  <w:t>Federal Communications Commission</w:t>
                </w:r>
              </w:p>
              <w:p w:rsidR="009838BC" w:rsidP="009838BC" w14:paraId="6DEE11A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127EE6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1E19AB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A187953" w14:textId="77777777">
                <w:pPr>
                  <w:spacing w:before="40"/>
                  <w:jc w:val="right"/>
                  <w:rPr>
                    <w:rFonts w:ascii="Arial" w:hAnsi="Arial"/>
                    <w:b/>
                    <w:sz w:val="16"/>
                  </w:rPr>
                </w:pPr>
                <w:r>
                  <w:rPr>
                    <w:rFonts w:ascii="Arial" w:hAnsi="Arial"/>
                    <w:b/>
                    <w:sz w:val="16"/>
                  </w:rPr>
                  <w:t>News Media Information 202 / 418-0500</w:t>
                </w:r>
              </w:p>
              <w:p w:rsidR="009838BC" w:rsidP="009838BC" w14:paraId="67F30AF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1F981B2" w14:textId="77777777">
                <w:pPr>
                  <w:jc w:val="right"/>
                </w:pPr>
                <w:r>
                  <w:rPr>
                    <w:rFonts w:ascii="Arial" w:hAnsi="Arial"/>
                    <w:b/>
                    <w:sz w:val="16"/>
                  </w:rPr>
                  <w:t>TTY: 1-888-835-5322</w:t>
                </w:r>
              </w:p>
            </w:txbxContent>
          </v:textbox>
        </v:shape>
      </w:pict>
    </w:r>
  </w:p>
  <w:p w:rsidR="006F7393" w:rsidRPr="009838BC" w:rsidP="009838BC" w14:paraId="06FA6CE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7E"/>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41674"/>
    <w:rsid w:val="00260594"/>
    <w:rsid w:val="00260AF5"/>
    <w:rsid w:val="00285017"/>
    <w:rsid w:val="002A2D2E"/>
    <w:rsid w:val="00343749"/>
    <w:rsid w:val="00357D50"/>
    <w:rsid w:val="003925DC"/>
    <w:rsid w:val="003A4C15"/>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7307E"/>
    <w:rsid w:val="00785689"/>
    <w:rsid w:val="0079754B"/>
    <w:rsid w:val="007A1E6D"/>
    <w:rsid w:val="00822CE0"/>
    <w:rsid w:val="00837C62"/>
    <w:rsid w:val="00841AB1"/>
    <w:rsid w:val="008C22FD"/>
    <w:rsid w:val="00910F12"/>
    <w:rsid w:val="00917E8F"/>
    <w:rsid w:val="00926503"/>
    <w:rsid w:val="00930ECF"/>
    <w:rsid w:val="009838BC"/>
    <w:rsid w:val="009A66F2"/>
    <w:rsid w:val="00A45F4F"/>
    <w:rsid w:val="00A600A9"/>
    <w:rsid w:val="00A866AC"/>
    <w:rsid w:val="00AA55B7"/>
    <w:rsid w:val="00AA5B9E"/>
    <w:rsid w:val="00AB2407"/>
    <w:rsid w:val="00AB53DF"/>
    <w:rsid w:val="00B07E5C"/>
    <w:rsid w:val="00B326E3"/>
    <w:rsid w:val="00B469E3"/>
    <w:rsid w:val="00B811F7"/>
    <w:rsid w:val="00BA5DC6"/>
    <w:rsid w:val="00BA6196"/>
    <w:rsid w:val="00BC6D8C"/>
    <w:rsid w:val="00C16AF2"/>
    <w:rsid w:val="00C34006"/>
    <w:rsid w:val="00C426B1"/>
    <w:rsid w:val="00C459D7"/>
    <w:rsid w:val="00C82B6B"/>
    <w:rsid w:val="00C90D6A"/>
    <w:rsid w:val="00CC72B6"/>
    <w:rsid w:val="00CF1DBF"/>
    <w:rsid w:val="00D0218D"/>
    <w:rsid w:val="00D216CD"/>
    <w:rsid w:val="00D357D6"/>
    <w:rsid w:val="00DA2529"/>
    <w:rsid w:val="00DB130A"/>
    <w:rsid w:val="00DC10A1"/>
    <w:rsid w:val="00DC655F"/>
    <w:rsid w:val="00DD7EBD"/>
    <w:rsid w:val="00DF62B6"/>
    <w:rsid w:val="00E07225"/>
    <w:rsid w:val="00E155B7"/>
    <w:rsid w:val="00E5409F"/>
    <w:rsid w:val="00EC0185"/>
    <w:rsid w:val="00F021FA"/>
    <w:rsid w:val="00F52C6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590C01-D042-4B75-8D8E-1D3DEFC0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7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77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eter.be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