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0E5884" w:rsidP="00C82B6B" w14:paraId="7EB68C7E" w14:textId="77777777">
      <w:pPr>
        <w:jc w:val="right"/>
        <w:rPr>
          <w:sz w:val="24"/>
        </w:rPr>
      </w:pPr>
    </w:p>
    <w:p w:rsidR="0064776A" w:rsidRPr="0064776A" w:rsidP="0064776A" w14:paraId="22938D26" w14:textId="77777777">
      <w:pPr>
        <w:jc w:val="right"/>
        <w:rPr>
          <w:b/>
          <w:sz w:val="24"/>
          <w:szCs w:val="24"/>
        </w:rPr>
      </w:pPr>
      <w:r w:rsidRPr="0064776A">
        <w:rPr>
          <w:b/>
          <w:sz w:val="24"/>
          <w:szCs w:val="24"/>
        </w:rPr>
        <w:t>DA 20-1454</w:t>
      </w:r>
    </w:p>
    <w:p w:rsidR="0064776A" w:rsidRPr="0064776A" w:rsidP="0064776A" w14:paraId="119AA879" w14:textId="77777777">
      <w:pPr>
        <w:spacing w:before="60"/>
        <w:jc w:val="right"/>
        <w:rPr>
          <w:b/>
          <w:sz w:val="24"/>
          <w:szCs w:val="24"/>
        </w:rPr>
      </w:pPr>
      <w:r w:rsidRPr="0064776A">
        <w:rPr>
          <w:b/>
          <w:sz w:val="24"/>
          <w:szCs w:val="24"/>
        </w:rPr>
        <w:t>Released:  December 4, 2020</w:t>
      </w:r>
    </w:p>
    <w:p w:rsidR="0064776A" w:rsidRPr="0064776A" w:rsidP="0064776A" w14:paraId="753DF03D" w14:textId="77777777">
      <w:pPr>
        <w:jc w:val="right"/>
        <w:rPr>
          <w:sz w:val="24"/>
          <w:szCs w:val="24"/>
        </w:rPr>
      </w:pPr>
    </w:p>
    <w:p w:rsidR="0064776A" w:rsidRPr="0064776A" w:rsidP="0064776A" w14:paraId="64363C89" w14:textId="77777777">
      <w:pPr>
        <w:jc w:val="center"/>
        <w:rPr>
          <w:b/>
          <w:sz w:val="24"/>
          <w:szCs w:val="24"/>
        </w:rPr>
      </w:pPr>
      <w:bookmarkStart w:id="0" w:name="_Hlk529450826"/>
      <w:r w:rsidRPr="0064776A">
        <w:rPr>
          <w:b/>
          <w:sz w:val="24"/>
          <w:szCs w:val="24"/>
        </w:rPr>
        <w:t>WIRELINE COMPETITION BUREAU SEEKS COMMENT ON REQUESTS FOR EXTENSION OF STIR/SHAKEN DEADLINE AND ON VERIZON PETITION FOR DECLARATORY RULING</w:t>
      </w:r>
    </w:p>
    <w:p w:rsidR="0064776A" w:rsidRPr="0064776A" w:rsidP="0064776A" w14:paraId="0FBD2EA9" w14:textId="77777777">
      <w:pPr>
        <w:jc w:val="center"/>
        <w:rPr>
          <w:b/>
          <w:sz w:val="24"/>
          <w:szCs w:val="24"/>
        </w:rPr>
      </w:pPr>
    </w:p>
    <w:p w:rsidR="0064776A" w:rsidRPr="0064776A" w:rsidP="0064776A" w14:paraId="67B3C988" w14:textId="77777777">
      <w:pPr>
        <w:jc w:val="center"/>
        <w:rPr>
          <w:b/>
          <w:sz w:val="24"/>
          <w:szCs w:val="24"/>
        </w:rPr>
      </w:pPr>
      <w:r w:rsidRPr="0064776A">
        <w:rPr>
          <w:b/>
          <w:sz w:val="24"/>
          <w:szCs w:val="24"/>
        </w:rPr>
        <w:t>WC Docket No. 17-97</w:t>
      </w:r>
    </w:p>
    <w:p w:rsidR="0064776A" w:rsidRPr="0064776A" w:rsidP="0064776A" w14:paraId="774752D3" w14:textId="77777777">
      <w:pPr>
        <w:rPr>
          <w:b/>
          <w:sz w:val="24"/>
          <w:szCs w:val="24"/>
        </w:rPr>
      </w:pPr>
    </w:p>
    <w:p w:rsidR="0064776A" w:rsidRPr="0064776A" w:rsidP="0064776A" w14:paraId="0641627D" w14:textId="77777777">
      <w:pPr>
        <w:rPr>
          <w:b/>
          <w:sz w:val="24"/>
          <w:szCs w:val="24"/>
        </w:rPr>
      </w:pPr>
      <w:r w:rsidRPr="0064776A">
        <w:rPr>
          <w:b/>
          <w:sz w:val="24"/>
          <w:szCs w:val="24"/>
        </w:rPr>
        <w:t>Comment Date:  January 4, 2021</w:t>
      </w:r>
    </w:p>
    <w:p w:rsidR="0064776A" w:rsidRPr="0064776A" w:rsidP="0064776A" w14:paraId="156C1660" w14:textId="77777777">
      <w:pPr>
        <w:rPr>
          <w:b/>
          <w:sz w:val="24"/>
          <w:szCs w:val="24"/>
        </w:rPr>
      </w:pPr>
      <w:r w:rsidRPr="0064776A">
        <w:rPr>
          <w:b/>
          <w:sz w:val="24"/>
          <w:szCs w:val="24"/>
        </w:rPr>
        <w:t>Reply Comment Date:  January 19, 2021</w:t>
      </w:r>
    </w:p>
    <w:p w:rsidR="0064776A" w:rsidRPr="0064776A" w:rsidP="0064776A" w14:paraId="6EA326DB" w14:textId="77777777">
      <w:pPr>
        <w:rPr>
          <w:bCs/>
          <w:sz w:val="24"/>
          <w:szCs w:val="24"/>
        </w:rPr>
      </w:pPr>
      <w:r w:rsidRPr="0064776A">
        <w:rPr>
          <w:b/>
          <w:sz w:val="24"/>
          <w:szCs w:val="24"/>
        </w:rPr>
        <w:tab/>
      </w:r>
    </w:p>
    <w:p w:rsidR="0064776A" w:rsidRPr="0064776A" w:rsidP="0064776A" w14:paraId="0416926D" w14:textId="77777777">
      <w:pPr>
        <w:rPr>
          <w:b/>
          <w:sz w:val="24"/>
          <w:szCs w:val="24"/>
        </w:rPr>
      </w:pPr>
      <w:r w:rsidRPr="0064776A">
        <w:rPr>
          <w:bCs/>
          <w:sz w:val="24"/>
          <w:szCs w:val="24"/>
        </w:rPr>
        <w:tab/>
        <w:t>The Pallone-Thune Telephone Robocall Abuse Criminal Enforcement and Deterrence (TRACED) Act and section 64.6301(a)(3) of the Commission’s rules require voice service providers to fully implement the STIR/SHAKEN caller ID authentication framework in the Internet Protocol (IP) portions of their networks by June 30, 2021.</w:t>
      </w:r>
      <w:r>
        <w:rPr>
          <w:rStyle w:val="FootnoteReference"/>
          <w:bCs/>
          <w:sz w:val="24"/>
          <w:szCs w:val="24"/>
        </w:rPr>
        <w:footnoteReference w:id="3"/>
      </w:r>
      <w:r w:rsidRPr="0064776A">
        <w:rPr>
          <w:bCs/>
          <w:sz w:val="24"/>
          <w:szCs w:val="24"/>
        </w:rPr>
        <w:t xml:space="preserve">  The Commission granted certain categories of voice service providers an extension from this implementation deadline,</w:t>
      </w:r>
      <w:r>
        <w:rPr>
          <w:rStyle w:val="FootnoteReference"/>
          <w:bCs/>
          <w:sz w:val="24"/>
          <w:szCs w:val="24"/>
        </w:rPr>
        <w:footnoteReference w:id="4"/>
      </w:r>
      <w:r w:rsidRPr="0064776A">
        <w:rPr>
          <w:bCs/>
          <w:sz w:val="24"/>
          <w:szCs w:val="24"/>
        </w:rPr>
        <w:t xml:space="preserve"> and it established a process whereby voice service providers may file individual petitions for an extension on the basis of undue hardship.</w:t>
      </w:r>
      <w:r>
        <w:rPr>
          <w:rStyle w:val="FootnoteReference"/>
          <w:bCs/>
          <w:sz w:val="24"/>
          <w:szCs w:val="24"/>
        </w:rPr>
        <w:footnoteReference w:id="5"/>
      </w:r>
      <w:r w:rsidRPr="0064776A">
        <w:rPr>
          <w:bCs/>
          <w:sz w:val="24"/>
          <w:szCs w:val="24"/>
        </w:rPr>
        <w:t xml:space="preserve"> </w:t>
      </w:r>
      <w:r w:rsidRPr="0064776A">
        <w:rPr>
          <w:b/>
          <w:sz w:val="24"/>
          <w:szCs w:val="24"/>
        </w:rPr>
        <w:t xml:space="preserve"> </w:t>
      </w:r>
      <w:r w:rsidRPr="0064776A">
        <w:rPr>
          <w:bCs/>
          <w:sz w:val="24"/>
          <w:szCs w:val="24"/>
        </w:rPr>
        <w:t>Those portions of a voice service provider’s network that rely on non-IP technology are deemed subject to a continuing extension but providers must work to develop a non-IP solution or upgrade their networks to support the STIR/SHAKEN framework.</w:t>
      </w:r>
      <w:r>
        <w:rPr>
          <w:rStyle w:val="FootnoteReference"/>
          <w:bCs/>
          <w:sz w:val="24"/>
          <w:szCs w:val="24"/>
        </w:rPr>
        <w:footnoteReference w:id="6"/>
      </w:r>
    </w:p>
    <w:p w:rsidR="0064776A" w:rsidRPr="0064776A" w:rsidP="0064776A" w14:paraId="70FC249B" w14:textId="77777777">
      <w:pPr>
        <w:rPr>
          <w:b/>
          <w:sz w:val="24"/>
          <w:szCs w:val="24"/>
        </w:rPr>
      </w:pPr>
    </w:p>
    <w:p w:rsidR="0064776A" w:rsidRPr="0064776A" w:rsidP="0064776A" w14:paraId="14153351" w14:textId="77777777">
      <w:pPr>
        <w:rPr>
          <w:bCs/>
          <w:sz w:val="24"/>
          <w:szCs w:val="24"/>
        </w:rPr>
      </w:pPr>
      <w:r w:rsidRPr="0064776A">
        <w:rPr>
          <w:b/>
          <w:sz w:val="24"/>
          <w:szCs w:val="24"/>
        </w:rPr>
        <w:tab/>
      </w:r>
      <w:r w:rsidRPr="0064776A">
        <w:rPr>
          <w:bCs/>
          <w:sz w:val="24"/>
          <w:szCs w:val="24"/>
        </w:rPr>
        <w:t>The Wireline Competition Bureau hereby seeks comment on four timely-filed extension requests and on a related petition for declaratory ruling filed by Verizon:</w:t>
      </w:r>
    </w:p>
    <w:p w:rsidR="0064776A" w:rsidRPr="0064776A" w:rsidP="0064776A" w14:paraId="0C5E5836" w14:textId="77777777">
      <w:pPr>
        <w:rPr>
          <w:bCs/>
          <w:sz w:val="24"/>
          <w:szCs w:val="24"/>
        </w:rPr>
      </w:pPr>
    </w:p>
    <w:p w:rsidR="0064776A" w:rsidRPr="0064776A" w:rsidP="0064776A" w14:paraId="1A6AC26C" w14:textId="77777777">
      <w:pPr>
        <w:pStyle w:val="ListParagraph"/>
        <w:numPr>
          <w:ilvl w:val="0"/>
          <w:numId w:val="10"/>
        </w:numPr>
        <w:spacing w:line="240" w:lineRule="auto"/>
        <w:ind w:left="360"/>
        <w:rPr>
          <w:bCs/>
          <w:sz w:val="24"/>
          <w:szCs w:val="24"/>
        </w:rPr>
      </w:pPr>
      <w:r w:rsidRPr="0064776A">
        <w:rPr>
          <w:rFonts w:ascii="Times New Roman" w:hAnsi="Times New Roman"/>
          <w:bCs/>
          <w:sz w:val="24"/>
          <w:szCs w:val="24"/>
        </w:rPr>
        <w:t>AT&amp;T seeks a one-year extension for “two discrete gaps” in its IP network that it has recently identified as unable to support STIR/SHAKEN.</w:t>
      </w:r>
      <w:r>
        <w:rPr>
          <w:rStyle w:val="FootnoteReference"/>
          <w:bCs/>
          <w:sz w:val="24"/>
          <w:szCs w:val="24"/>
        </w:rPr>
        <w:footnoteReference w:id="7"/>
      </w:r>
      <w:r w:rsidRPr="0064776A">
        <w:rPr>
          <w:rFonts w:ascii="Times New Roman" w:hAnsi="Times New Roman"/>
          <w:bCs/>
          <w:sz w:val="24"/>
          <w:szCs w:val="24"/>
        </w:rPr>
        <w:t xml:space="preserve"> </w:t>
      </w:r>
    </w:p>
    <w:p w:rsidR="0064776A" w:rsidRPr="0064776A" w:rsidP="0064776A" w14:paraId="0CB1628F" w14:textId="77777777">
      <w:pPr>
        <w:pStyle w:val="ListParagraph"/>
        <w:numPr>
          <w:ilvl w:val="0"/>
          <w:numId w:val="9"/>
        </w:numPr>
        <w:spacing w:line="240" w:lineRule="auto"/>
        <w:ind w:left="360"/>
        <w:rPr>
          <w:bCs/>
          <w:sz w:val="24"/>
          <w:szCs w:val="24"/>
        </w:rPr>
      </w:pPr>
      <w:r w:rsidRPr="0064776A">
        <w:rPr>
          <w:rFonts w:ascii="Times New Roman" w:hAnsi="Times New Roman"/>
          <w:bCs/>
          <w:sz w:val="24"/>
          <w:szCs w:val="24"/>
        </w:rPr>
        <w:t>Lumen seeks a six-month extension for its entire IP network “to accommodate the potential for specific equipment-related delays.”</w:t>
      </w:r>
      <w:r>
        <w:rPr>
          <w:rStyle w:val="FootnoteReference"/>
          <w:bCs/>
          <w:sz w:val="24"/>
          <w:szCs w:val="24"/>
        </w:rPr>
        <w:footnoteReference w:id="8"/>
      </w:r>
    </w:p>
    <w:p w:rsidR="0064776A" w:rsidRPr="0064776A" w:rsidP="0064776A" w14:paraId="0C1EB9B5" w14:textId="77777777">
      <w:pPr>
        <w:pStyle w:val="ListParagraph"/>
        <w:numPr>
          <w:ilvl w:val="0"/>
          <w:numId w:val="9"/>
        </w:numPr>
        <w:spacing w:after="0" w:line="240" w:lineRule="auto"/>
        <w:ind w:left="360"/>
        <w:rPr>
          <w:bCs/>
          <w:sz w:val="24"/>
          <w:szCs w:val="24"/>
        </w:rPr>
      </w:pPr>
      <w:r w:rsidRPr="0064776A">
        <w:rPr>
          <w:rFonts w:ascii="Times New Roman" w:hAnsi="Times New Roman"/>
          <w:bCs/>
          <w:sz w:val="24"/>
          <w:szCs w:val="24"/>
        </w:rPr>
        <w:t xml:space="preserve">U.S. Cellular seeks an extension for both its IP and non-IP networks.  For its IP networks, U.S. Cellular requests an extension regarding traffic for which it has not yet “complete[d] interconnection with other carriers with which it has </w:t>
      </w:r>
      <w:r w:rsidRPr="0064776A">
        <w:rPr>
          <w:rFonts w:ascii="Times New Roman" w:hAnsi="Times New Roman"/>
          <w:bCs/>
          <w:sz w:val="24"/>
          <w:szCs w:val="24"/>
        </w:rPr>
        <w:t>an</w:t>
      </w:r>
      <w:r w:rsidRPr="0064776A">
        <w:rPr>
          <w:rFonts w:ascii="Times New Roman" w:hAnsi="Times New Roman"/>
          <w:bCs/>
          <w:sz w:val="24"/>
          <w:szCs w:val="24"/>
        </w:rPr>
        <w:t xml:space="preserve"> SIP interconnection agreement . . . until such time that such interconnection is completed.”</w:t>
      </w:r>
      <w:r>
        <w:rPr>
          <w:rStyle w:val="FootnoteReference"/>
          <w:bCs/>
          <w:sz w:val="24"/>
          <w:szCs w:val="24"/>
        </w:rPr>
        <w:footnoteReference w:id="9"/>
      </w:r>
      <w:r w:rsidRPr="0064776A">
        <w:rPr>
          <w:rFonts w:ascii="Times New Roman" w:hAnsi="Times New Roman"/>
          <w:bCs/>
          <w:sz w:val="24"/>
          <w:szCs w:val="24"/>
        </w:rPr>
        <w:t xml:space="preserve">  For its non-IP networks, U.S. Cellular requests an extension until it can complete migration of non-IP customers to its STIR/SHAKEN-enabled IP network.</w:t>
      </w:r>
      <w:r>
        <w:rPr>
          <w:rStyle w:val="FootnoteReference"/>
          <w:bCs/>
          <w:sz w:val="24"/>
          <w:szCs w:val="24"/>
        </w:rPr>
        <w:footnoteReference w:id="10"/>
      </w:r>
    </w:p>
    <w:p w:rsidR="0064776A" w:rsidRPr="0064776A" w:rsidP="0064776A" w14:paraId="11C6F93F" w14:textId="77777777">
      <w:pPr>
        <w:pStyle w:val="ListParagraph"/>
        <w:numPr>
          <w:ilvl w:val="0"/>
          <w:numId w:val="9"/>
        </w:numPr>
        <w:spacing w:line="240" w:lineRule="auto"/>
        <w:ind w:left="360"/>
        <w:rPr>
          <w:rFonts w:ascii="Times New Roman" w:hAnsi="Times New Roman"/>
          <w:bCs/>
          <w:sz w:val="24"/>
          <w:szCs w:val="24"/>
        </w:rPr>
      </w:pPr>
      <w:r w:rsidRPr="0064776A">
        <w:rPr>
          <w:rFonts w:ascii="Times New Roman" w:hAnsi="Times New Roman"/>
          <w:bCs/>
          <w:sz w:val="24"/>
          <w:szCs w:val="24"/>
        </w:rPr>
        <w:t>Verizon seeks a declaratory ruling that a “specific and limited” portion of its Plain Old Telephone Service network “falls outside the scope of the TRACED Act’s STIR/SHAKEN implementation mandate.”</w:t>
      </w:r>
      <w:r>
        <w:rPr>
          <w:rStyle w:val="FootnoteReference"/>
          <w:bCs/>
          <w:sz w:val="24"/>
          <w:szCs w:val="24"/>
        </w:rPr>
        <w:footnoteReference w:id="11"/>
      </w:r>
      <w:r w:rsidRPr="0064776A">
        <w:rPr>
          <w:rFonts w:ascii="Times New Roman" w:hAnsi="Times New Roman"/>
          <w:bCs/>
          <w:sz w:val="24"/>
          <w:szCs w:val="24"/>
        </w:rPr>
        <w:t xml:space="preserve">  Verizon alternatively seeks a three-year extension to implement STIR/SHAKEN on that portion of its network.</w:t>
      </w:r>
      <w:r>
        <w:rPr>
          <w:rStyle w:val="FootnoteReference"/>
          <w:bCs/>
          <w:sz w:val="24"/>
          <w:szCs w:val="24"/>
        </w:rPr>
        <w:footnoteReference w:id="12"/>
      </w:r>
    </w:p>
    <w:p w:rsidR="0064776A" w:rsidRPr="0064776A" w:rsidP="0064776A" w14:paraId="1954AAF9" w14:textId="77777777">
      <w:pPr>
        <w:rPr>
          <w:bCs/>
          <w:sz w:val="24"/>
          <w:szCs w:val="24"/>
        </w:rPr>
      </w:pPr>
      <w:r w:rsidRPr="0064776A">
        <w:rPr>
          <w:bCs/>
          <w:sz w:val="24"/>
          <w:szCs w:val="24"/>
        </w:rPr>
        <w:tab/>
      </w:r>
    </w:p>
    <w:p w:rsidR="0064776A" w:rsidRPr="0064776A" w:rsidP="0064776A" w14:paraId="602FD810" w14:textId="77777777">
      <w:pPr>
        <w:rPr>
          <w:snapToGrid/>
          <w:kern w:val="0"/>
          <w:sz w:val="24"/>
          <w:szCs w:val="24"/>
        </w:rPr>
      </w:pPr>
      <w:r w:rsidRPr="0064776A">
        <w:rPr>
          <w:i/>
          <w:iCs/>
          <w:sz w:val="24"/>
          <w:szCs w:val="24"/>
        </w:rPr>
        <w:tab/>
        <w:t xml:space="preserve">Filing Requirements.  </w:t>
      </w:r>
      <w:r w:rsidRPr="0064776A">
        <w:rPr>
          <w:sz w:val="24"/>
          <w:szCs w:val="24"/>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64776A">
        <w:rPr>
          <w:i/>
          <w:sz w:val="24"/>
          <w:szCs w:val="24"/>
        </w:rPr>
        <w:t>See Electronic Filing of Documents in Rulemaking Proceedings</w:t>
      </w:r>
      <w:r w:rsidRPr="0064776A">
        <w:rPr>
          <w:sz w:val="24"/>
          <w:szCs w:val="24"/>
        </w:rPr>
        <w:t>, 63 FR 24121 (1998).</w:t>
      </w:r>
    </w:p>
    <w:p w:rsidR="0064776A" w:rsidRPr="0064776A" w:rsidP="0064776A" w14:paraId="2680D433" w14:textId="77777777">
      <w:pPr>
        <w:rPr>
          <w:snapToGrid/>
          <w:kern w:val="0"/>
          <w:sz w:val="24"/>
          <w:szCs w:val="24"/>
        </w:rPr>
      </w:pPr>
    </w:p>
    <w:p w:rsidR="0064776A" w:rsidRPr="0064776A" w:rsidP="0064776A" w14:paraId="37598211" w14:textId="77777777">
      <w:pPr>
        <w:pStyle w:val="ListParagraph"/>
        <w:numPr>
          <w:ilvl w:val="0"/>
          <w:numId w:val="8"/>
        </w:numPr>
        <w:spacing w:line="240" w:lineRule="auto"/>
        <w:rPr>
          <w:sz w:val="24"/>
          <w:szCs w:val="24"/>
        </w:rPr>
      </w:pPr>
      <w:r w:rsidRPr="0064776A">
        <w:rPr>
          <w:rFonts w:ascii="Times New Roman" w:hAnsi="Times New Roman"/>
          <w:sz w:val="24"/>
          <w:szCs w:val="24"/>
        </w:rPr>
        <w:t xml:space="preserve">Electronic Filers:  Comments may be filed electronically using the Internet by accessing the ECFS:  </w:t>
      </w:r>
      <w:hyperlink r:id="rId5" w:history="1">
        <w:r w:rsidRPr="0064776A">
          <w:rPr>
            <w:rStyle w:val="Hyperlink"/>
            <w:rFonts w:ascii="Times New Roman" w:hAnsi="Times New Roman"/>
            <w:sz w:val="24"/>
            <w:szCs w:val="24"/>
          </w:rPr>
          <w:t>http://apps.fcc.gov/ecfs/</w:t>
        </w:r>
      </w:hyperlink>
      <w:r w:rsidRPr="0064776A">
        <w:rPr>
          <w:rFonts w:ascii="Times New Roman" w:hAnsi="Times New Roman"/>
          <w:sz w:val="24"/>
          <w:szCs w:val="24"/>
        </w:rPr>
        <w:t xml:space="preserve">.  </w:t>
      </w:r>
    </w:p>
    <w:p w:rsidR="0064776A" w:rsidRPr="0064776A" w:rsidP="0064776A" w14:paraId="7FDFA256" w14:textId="77777777">
      <w:pPr>
        <w:pStyle w:val="ListParagraph"/>
        <w:spacing w:line="240" w:lineRule="auto"/>
        <w:rPr>
          <w:sz w:val="24"/>
          <w:szCs w:val="24"/>
        </w:rPr>
      </w:pPr>
    </w:p>
    <w:p w:rsidR="0064776A" w:rsidRPr="0064776A" w:rsidP="0064776A" w14:paraId="4163A71E" w14:textId="77777777">
      <w:pPr>
        <w:pStyle w:val="ListParagraph"/>
        <w:numPr>
          <w:ilvl w:val="0"/>
          <w:numId w:val="8"/>
        </w:numPr>
        <w:spacing w:line="240" w:lineRule="auto"/>
        <w:rPr>
          <w:sz w:val="24"/>
          <w:szCs w:val="24"/>
        </w:rPr>
      </w:pPr>
      <w:r w:rsidRPr="0064776A">
        <w:rPr>
          <w:rFonts w:ascii="Times New Roman" w:hAnsi="Times New Roman"/>
          <w:sz w:val="24"/>
          <w:szCs w:val="24"/>
        </w:rPr>
        <w:t>Paper Filers:  Parties who choose to file by paper must file an original and one copy of each filing.</w:t>
      </w:r>
    </w:p>
    <w:p w:rsidR="0064776A" w:rsidRPr="0064776A" w:rsidP="0064776A" w14:paraId="270EF6B4" w14:textId="77777777">
      <w:pPr>
        <w:pStyle w:val="ListParagraph"/>
        <w:spacing w:line="240" w:lineRule="auto"/>
        <w:rPr>
          <w:sz w:val="24"/>
          <w:szCs w:val="24"/>
        </w:rPr>
      </w:pPr>
    </w:p>
    <w:p w:rsidR="0064776A" w:rsidRPr="0064776A" w:rsidP="0064776A" w14:paraId="041B11D7" w14:textId="77777777">
      <w:pPr>
        <w:pStyle w:val="ListParagraph"/>
        <w:numPr>
          <w:ilvl w:val="0"/>
          <w:numId w:val="8"/>
        </w:numPr>
        <w:spacing w:line="240" w:lineRule="auto"/>
        <w:rPr>
          <w:sz w:val="24"/>
          <w:szCs w:val="24"/>
        </w:rPr>
      </w:pPr>
      <w:r w:rsidRPr="0064776A">
        <w:rPr>
          <w:rFonts w:ascii="Times New Roman" w:hAnsi="Times New Roman"/>
          <w:sz w:val="24"/>
          <w:szCs w:val="24"/>
        </w:rPr>
        <w:t>Filings can be sent by commercial overnight courier, or by first-class or overnight U.S. Postal Service mail. All filings must be addressed to the Commission’s Secretary, Office of the Secretary, Federal Communications Commission.</w:t>
      </w:r>
    </w:p>
    <w:p w:rsidR="0064776A" w:rsidRPr="0064776A" w:rsidP="0064776A" w14:paraId="1D880C4C" w14:textId="77777777">
      <w:pPr>
        <w:pStyle w:val="ListParagraph"/>
        <w:spacing w:line="240" w:lineRule="auto"/>
        <w:rPr>
          <w:sz w:val="24"/>
          <w:szCs w:val="24"/>
        </w:rPr>
      </w:pPr>
      <w:bookmarkStart w:id="1" w:name="_GoBack"/>
      <w:bookmarkEnd w:id="1"/>
    </w:p>
    <w:p w:rsidR="0064776A" w:rsidRPr="0064776A" w:rsidP="0064776A" w14:paraId="074C7304" w14:textId="77777777">
      <w:pPr>
        <w:pStyle w:val="ListParagraph"/>
        <w:numPr>
          <w:ilvl w:val="0"/>
          <w:numId w:val="8"/>
        </w:numPr>
        <w:spacing w:line="240" w:lineRule="auto"/>
        <w:rPr>
          <w:sz w:val="24"/>
          <w:szCs w:val="24"/>
        </w:rPr>
      </w:pPr>
      <w:r w:rsidRPr="0064776A">
        <w:rPr>
          <w:rFonts w:ascii="Times New Roman" w:hAnsi="Times New Roman"/>
          <w:sz w:val="24"/>
          <w:szCs w:val="24"/>
        </w:rPr>
        <w:t>Commercial overnight mail (other than U.S. Postal Service Express Mail and Priority Mail) must be sent to 9050 Junction Drive, Annapolis Junction, MD 20701.U.S. Postal Service first-class, Express, and Priority mail must be addressed to 45 L Street NE, Washington, DC 20554.</w:t>
      </w:r>
    </w:p>
    <w:p w:rsidR="0064776A" w:rsidRPr="0064776A" w:rsidP="0064776A" w14:paraId="1AE504CC" w14:textId="77777777">
      <w:pPr>
        <w:pStyle w:val="ListParagraph"/>
        <w:spacing w:line="240" w:lineRule="auto"/>
        <w:rPr>
          <w:sz w:val="24"/>
          <w:szCs w:val="24"/>
        </w:rPr>
      </w:pPr>
    </w:p>
    <w:p w:rsidR="0064776A" w:rsidRPr="0064776A" w:rsidP="0064776A" w14:paraId="5EF5BD41" w14:textId="77777777">
      <w:pPr>
        <w:pStyle w:val="ListParagraph"/>
        <w:numPr>
          <w:ilvl w:val="0"/>
          <w:numId w:val="8"/>
        </w:numPr>
        <w:spacing w:line="240" w:lineRule="auto"/>
        <w:rPr>
          <w:rFonts w:ascii="Times New Roman" w:hAnsi="Times New Roman"/>
          <w:sz w:val="24"/>
          <w:szCs w:val="24"/>
        </w:rPr>
      </w:pPr>
      <w:r w:rsidRPr="0064776A">
        <w:rPr>
          <w:rFonts w:ascii="Times New Roman" w:hAnsi="Times New Roman"/>
          <w:sz w:val="24"/>
          <w:szCs w:val="24"/>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64776A">
          <w:rPr>
            <w:rStyle w:val="Hyperlink"/>
            <w:rFonts w:ascii="Times New Roman" w:eastAsia="Times New Roman" w:hAnsi="Times New Roman"/>
            <w:sz w:val="24"/>
            <w:szCs w:val="24"/>
          </w:rPr>
          <w:t>https://www.fcc.gov/document/fcc-closes-headquarters-open-window-and-changes-hand-delivery-policy</w:t>
        </w:r>
      </w:hyperlink>
      <w:r w:rsidRPr="0064776A">
        <w:rPr>
          <w:rFonts w:ascii="Times New Roman" w:hAnsi="Times New Roman"/>
          <w:sz w:val="24"/>
          <w:szCs w:val="24"/>
        </w:rPr>
        <w:t>.</w:t>
      </w:r>
    </w:p>
    <w:p w:rsidR="0064776A" w:rsidRPr="0064776A" w:rsidP="0064776A" w14:paraId="146A5AD4" w14:textId="77777777">
      <w:pPr>
        <w:rPr>
          <w:sz w:val="24"/>
          <w:szCs w:val="24"/>
        </w:rPr>
      </w:pPr>
    </w:p>
    <w:p w:rsidR="0064776A" w:rsidRPr="0064776A" w:rsidP="0064776A" w14:paraId="4F2B464A" w14:textId="77777777">
      <w:pPr>
        <w:rPr>
          <w:snapToGrid/>
          <w:kern w:val="0"/>
          <w:sz w:val="24"/>
          <w:szCs w:val="24"/>
        </w:rPr>
      </w:pPr>
      <w:r w:rsidRPr="0064776A">
        <w:rPr>
          <w:sz w:val="24"/>
          <w:szCs w:val="24"/>
        </w:rPr>
        <w:tab/>
      </w:r>
      <w:r w:rsidRPr="0064776A">
        <w:rPr>
          <w:i/>
          <w:iCs/>
          <w:sz w:val="24"/>
          <w:szCs w:val="24"/>
        </w:rPr>
        <w:t xml:space="preserve">Ex Parte Rules.  </w:t>
      </w:r>
      <w:r w:rsidRPr="0064776A">
        <w:rPr>
          <w:sz w:val="24"/>
          <w:szCs w:val="24"/>
        </w:rPr>
        <w:t xml:space="preserve">This proceeding is considered a “permit-but-disclose” proceeding in accordance with the Commission’s </w:t>
      </w:r>
      <w:r w:rsidRPr="0064776A">
        <w:rPr>
          <w:i/>
          <w:iCs/>
          <w:sz w:val="24"/>
          <w:szCs w:val="24"/>
        </w:rPr>
        <w:t xml:space="preserve">ex parte </w:t>
      </w:r>
      <w:r w:rsidRPr="0064776A">
        <w:rPr>
          <w:sz w:val="24"/>
          <w:szCs w:val="24"/>
        </w:rPr>
        <w:t>rules.</w:t>
      </w:r>
      <w:r>
        <w:rPr>
          <w:sz w:val="24"/>
          <w:szCs w:val="24"/>
          <w:vertAlign w:val="superscript"/>
        </w:rPr>
        <w:footnoteReference w:id="13"/>
      </w:r>
      <w:r w:rsidRPr="0064776A">
        <w:rPr>
          <w:sz w:val="24"/>
          <w:szCs w:val="24"/>
        </w:rPr>
        <w:t xml:space="preserve">  Persons making </w:t>
      </w:r>
      <w:r w:rsidRPr="0064776A">
        <w:rPr>
          <w:i/>
          <w:sz w:val="24"/>
          <w:szCs w:val="24"/>
        </w:rPr>
        <w:t xml:space="preserve">ex parte </w:t>
      </w:r>
      <w:r w:rsidRPr="0064776A">
        <w:rPr>
          <w:sz w:val="24"/>
          <w:szCs w:val="24"/>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64776A">
        <w:rPr>
          <w:i/>
          <w:iCs/>
          <w:sz w:val="24"/>
          <w:szCs w:val="24"/>
        </w:rPr>
        <w:t xml:space="preserve">ex parte </w:t>
      </w:r>
      <w:r w:rsidRPr="0064776A">
        <w:rPr>
          <w:sz w:val="24"/>
          <w:szCs w:val="24"/>
        </w:rPr>
        <w:t xml:space="preserve">presentations are reminded that memoranda summarizing the presentation must (1) list all persons attending or otherwise participating in the meeting at which the </w:t>
      </w:r>
      <w:r w:rsidRPr="0064776A">
        <w:rPr>
          <w:i/>
          <w:iCs/>
          <w:sz w:val="24"/>
          <w:szCs w:val="24"/>
        </w:rPr>
        <w:t xml:space="preserve">ex parte </w:t>
      </w:r>
      <w:r w:rsidRPr="0064776A">
        <w:rPr>
          <w:sz w:val="24"/>
          <w:szCs w:val="24"/>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4776A">
        <w:rPr>
          <w:i/>
          <w:iCs/>
          <w:sz w:val="24"/>
          <w:szCs w:val="24"/>
        </w:rPr>
        <w:t xml:space="preserve">ex parte </w:t>
      </w:r>
      <w:r w:rsidRPr="0064776A">
        <w:rPr>
          <w:sz w:val="24"/>
          <w:szCs w:val="24"/>
        </w:rPr>
        <w:t xml:space="preserve">meetings are deemed to be written </w:t>
      </w:r>
      <w:r w:rsidRPr="0064776A">
        <w:rPr>
          <w:i/>
          <w:iCs/>
          <w:sz w:val="24"/>
          <w:szCs w:val="24"/>
        </w:rPr>
        <w:t>ex parte</w:t>
      </w:r>
      <w:r w:rsidRPr="0064776A">
        <w:rPr>
          <w:sz w:val="24"/>
          <w:szCs w:val="24"/>
        </w:rPr>
        <w:t xml:space="preserve"> presentations and must be filed consistent with rule 1.1206(b).  In proceedings governed by rule 1.49(f) or for which the Commission has made available a method of electronic filing, written </w:t>
      </w:r>
      <w:r w:rsidRPr="0064776A">
        <w:rPr>
          <w:i/>
          <w:iCs/>
          <w:sz w:val="24"/>
          <w:szCs w:val="24"/>
        </w:rPr>
        <w:t xml:space="preserve">ex parte </w:t>
      </w:r>
      <w:r w:rsidRPr="0064776A">
        <w:rPr>
          <w:sz w:val="24"/>
          <w:szCs w:val="24"/>
        </w:rPr>
        <w:t xml:space="preserve">presentations and memoranda summarizing oral </w:t>
      </w:r>
      <w:r w:rsidRPr="0064776A">
        <w:rPr>
          <w:i/>
          <w:iCs/>
          <w:sz w:val="24"/>
          <w:szCs w:val="24"/>
        </w:rPr>
        <w:t xml:space="preserve">ex parte </w:t>
      </w:r>
      <w:r w:rsidRPr="0064776A">
        <w:rPr>
          <w:sz w:val="24"/>
          <w:szCs w:val="24"/>
        </w:rPr>
        <w:t>presentations, and all attachments thereto, must be filed through the electronic comment filing system available for that proceeding, and must be filed in their native format (</w:t>
      </w:r>
      <w:r w:rsidRPr="0064776A">
        <w:rPr>
          <w:i/>
          <w:iCs/>
          <w:sz w:val="24"/>
          <w:szCs w:val="24"/>
        </w:rPr>
        <w:t>e.g.</w:t>
      </w:r>
      <w:r w:rsidRPr="0064776A">
        <w:rPr>
          <w:sz w:val="24"/>
          <w:szCs w:val="24"/>
        </w:rPr>
        <w:t xml:space="preserve">, .doc, .xml, .ppt, searchable .pdf).  Participants in this proceeding should familiarize themselves with the Commission’s </w:t>
      </w:r>
      <w:r w:rsidRPr="0064776A">
        <w:rPr>
          <w:i/>
          <w:iCs/>
          <w:sz w:val="24"/>
          <w:szCs w:val="24"/>
        </w:rPr>
        <w:t xml:space="preserve">ex parte </w:t>
      </w:r>
      <w:r w:rsidRPr="0064776A">
        <w:rPr>
          <w:sz w:val="24"/>
          <w:szCs w:val="24"/>
        </w:rPr>
        <w:t>rules.</w:t>
      </w:r>
    </w:p>
    <w:p w:rsidR="0064776A" w:rsidRPr="0064776A" w:rsidP="0064776A" w14:paraId="4A346577" w14:textId="77777777">
      <w:pPr>
        <w:rPr>
          <w:sz w:val="24"/>
          <w:szCs w:val="24"/>
        </w:rPr>
      </w:pPr>
    </w:p>
    <w:p w:rsidR="0064776A" w:rsidRPr="0064776A" w:rsidP="0064776A" w14:paraId="5725653D" w14:textId="77777777">
      <w:pPr>
        <w:rPr>
          <w:sz w:val="24"/>
          <w:szCs w:val="24"/>
        </w:rPr>
      </w:pPr>
      <w:r w:rsidRPr="0064776A">
        <w:rPr>
          <w:sz w:val="24"/>
          <w:szCs w:val="24"/>
        </w:rPr>
        <w:tab/>
      </w:r>
      <w:r w:rsidRPr="0064776A">
        <w:rPr>
          <w:i/>
          <w:iCs/>
          <w:sz w:val="24"/>
          <w:szCs w:val="24"/>
        </w:rPr>
        <w:t>People with Disabilities.</w:t>
      </w:r>
      <w:r w:rsidRPr="0064776A">
        <w:rPr>
          <w:sz w:val="24"/>
          <w:szCs w:val="24"/>
        </w:rPr>
        <w:t xml:space="preserve">  To request materials in accessible formats for people with disabilities (braille, large print, electronic files, audio format), send an e-mail to </w:t>
      </w:r>
      <w:hyperlink r:id="rId7" w:history="1">
        <w:r w:rsidRPr="0064776A">
          <w:rPr>
            <w:rStyle w:val="Hyperlink"/>
            <w:sz w:val="24"/>
            <w:szCs w:val="24"/>
          </w:rPr>
          <w:t>fcc504@fcc.gov</w:t>
        </w:r>
      </w:hyperlink>
      <w:r w:rsidRPr="0064776A">
        <w:rPr>
          <w:sz w:val="24"/>
          <w:szCs w:val="24"/>
        </w:rPr>
        <w:t xml:space="preserve"> or call the Consumer &amp; Governmental Affairs Bureau at 202-418-0530 (voice), 202-418-0432 (TTY).</w:t>
      </w:r>
    </w:p>
    <w:p w:rsidR="0064776A" w:rsidRPr="0064776A" w:rsidP="0064776A" w14:paraId="50A9BB49" w14:textId="77777777">
      <w:pPr>
        <w:rPr>
          <w:b/>
          <w:sz w:val="24"/>
          <w:szCs w:val="24"/>
        </w:rPr>
      </w:pPr>
    </w:p>
    <w:p w:rsidR="0064776A" w:rsidRPr="0064776A" w:rsidP="0064776A" w14:paraId="1A82CF77" w14:textId="77777777">
      <w:pPr>
        <w:ind w:firstLine="720"/>
        <w:rPr>
          <w:rStyle w:val="Hyperlink"/>
          <w:sz w:val="24"/>
          <w:szCs w:val="24"/>
        </w:rPr>
      </w:pPr>
      <w:r w:rsidRPr="0064776A">
        <w:rPr>
          <w:i/>
          <w:iCs/>
          <w:sz w:val="24"/>
          <w:szCs w:val="24"/>
        </w:rPr>
        <w:t xml:space="preserve">Additional Information.  </w:t>
      </w:r>
      <w:r w:rsidRPr="0064776A">
        <w:rPr>
          <w:sz w:val="24"/>
          <w:szCs w:val="24"/>
        </w:rPr>
        <w:t xml:space="preserve">For further information, please contact Alexander Hobbs, Attorney Advisor, Competition Policy Division, Wireline Competition Bureau at (202) 418-7433 or by email at </w:t>
      </w:r>
      <w:hyperlink r:id="rId8" w:history="1">
        <w:r w:rsidRPr="0064776A">
          <w:rPr>
            <w:rStyle w:val="Hyperlink"/>
            <w:sz w:val="24"/>
            <w:szCs w:val="24"/>
          </w:rPr>
          <w:t>alexander.hobbs@fcc.gov</w:t>
        </w:r>
      </w:hyperlink>
    </w:p>
    <w:p w:rsidR="0064776A" w:rsidRPr="0064776A" w:rsidP="0064776A" w14:paraId="275DC9F2" w14:textId="77777777">
      <w:pPr>
        <w:ind w:firstLine="720"/>
        <w:rPr>
          <w:sz w:val="24"/>
          <w:szCs w:val="24"/>
        </w:rPr>
      </w:pPr>
    </w:p>
    <w:p w:rsidR="0064776A" w:rsidRPr="0064776A" w:rsidP="0064776A" w14:paraId="541907DA" w14:textId="77777777">
      <w:pPr>
        <w:ind w:firstLine="720"/>
        <w:rPr>
          <w:sz w:val="24"/>
          <w:szCs w:val="24"/>
        </w:rPr>
      </w:pPr>
    </w:p>
    <w:p w:rsidR="0064776A" w:rsidRPr="0064776A" w:rsidP="0064776A" w14:paraId="5F4F2636" w14:textId="77777777">
      <w:pPr>
        <w:jc w:val="center"/>
        <w:rPr>
          <w:sz w:val="24"/>
          <w:szCs w:val="24"/>
        </w:rPr>
      </w:pPr>
      <w:r w:rsidRPr="0064776A">
        <w:rPr>
          <w:b/>
          <w:sz w:val="24"/>
          <w:szCs w:val="24"/>
        </w:rPr>
        <w:t>- FCC -</w:t>
      </w:r>
    </w:p>
    <w:p w:rsidR="0064776A" w:rsidRPr="0064776A" w:rsidP="0064776A" w14:paraId="7A79D4A8" w14:textId="77777777">
      <w:pPr>
        <w:rPr>
          <w:sz w:val="24"/>
          <w:szCs w:val="24"/>
        </w:rPr>
      </w:pPr>
    </w:p>
    <w:bookmarkEnd w:id="0"/>
    <w:p w:rsidR="00930ECF" w:rsidRPr="00930ECF" w:rsidP="0064776A" w14:paraId="79A0CFD6" w14:textId="77777777">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BEB567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E6113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7F617E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01D832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D7DB0" w14:paraId="1CDAE3AB" w14:textId="77777777">
      <w:r>
        <w:separator/>
      </w:r>
    </w:p>
  </w:footnote>
  <w:footnote w:type="continuationSeparator" w:id="1">
    <w:p w:rsidR="00AD7DB0" w14:paraId="4A9AF5CD" w14:textId="77777777">
      <w:pPr>
        <w:rPr>
          <w:sz w:val="20"/>
        </w:rPr>
      </w:pPr>
      <w:r>
        <w:rPr>
          <w:sz w:val="20"/>
        </w:rPr>
        <w:t xml:space="preserve">(Continued from previous page)  </w:t>
      </w:r>
      <w:r>
        <w:rPr>
          <w:sz w:val="20"/>
        </w:rPr>
        <w:separator/>
      </w:r>
    </w:p>
  </w:footnote>
  <w:footnote w:type="continuationNotice" w:id="2">
    <w:p w:rsidR="00AD7DB0" w:rsidP="00910F12" w14:paraId="3688FCB8" w14:textId="77777777">
      <w:pPr>
        <w:jc w:val="right"/>
        <w:rPr>
          <w:sz w:val="20"/>
        </w:rPr>
      </w:pPr>
      <w:r>
        <w:rPr>
          <w:sz w:val="20"/>
        </w:rPr>
        <w:t>(continued….)</w:t>
      </w:r>
    </w:p>
  </w:footnote>
  <w:footnote w:id="3">
    <w:p w:rsidR="0064776A" w:rsidP="0064776A" w14:paraId="46EFEA24" w14:textId="77777777">
      <w:pPr>
        <w:pStyle w:val="FootnoteText"/>
      </w:pPr>
      <w:r>
        <w:rPr>
          <w:rStyle w:val="FootnoteReference"/>
        </w:rPr>
        <w:footnoteRef/>
      </w:r>
      <w:r>
        <w:t xml:space="preserve"> Pallone-Thune Telephone Robocall Abuse Criminal Enforcement and Deterrence Act, Pub. L. No. 116-105 (2019) (TRACED Act) § 4(b)(1)(A); 47 CFR § 64.6301(a)(3).</w:t>
      </w:r>
    </w:p>
  </w:footnote>
  <w:footnote w:id="4">
    <w:p w:rsidR="0064776A" w:rsidP="0064776A" w14:paraId="7CF62F88" w14:textId="77777777">
      <w:pPr>
        <w:pStyle w:val="FootnoteText"/>
      </w:pPr>
      <w:r>
        <w:rPr>
          <w:rStyle w:val="FootnoteReference"/>
        </w:rPr>
        <w:footnoteRef/>
      </w:r>
      <w:r>
        <w:t xml:space="preserve"> TRACED Act §§ 4(b)(5)(A)(ii), 4(b)(5)(B); </w:t>
      </w:r>
      <w:r>
        <w:rPr>
          <w:i/>
          <w:iCs/>
        </w:rPr>
        <w:t>Call Authentication Trust Anchor</w:t>
      </w:r>
      <w:r>
        <w:t xml:space="preserve">, WC Docket No. 17-97, Second Report and Order, </w:t>
      </w:r>
      <w:r w:rsidRPr="009218FA">
        <w:t xml:space="preserve">FCC 20-136, </w:t>
      </w:r>
      <w:r>
        <w:t>at 18, para. 38 (Oct. 1, 2020) (</w:t>
      </w:r>
      <w:r>
        <w:rPr>
          <w:i/>
          <w:iCs/>
        </w:rPr>
        <w:t>Second Caller ID Authentication Report and Order</w:t>
      </w:r>
      <w:r>
        <w:t>).</w:t>
      </w:r>
    </w:p>
  </w:footnote>
  <w:footnote w:id="5">
    <w:p w:rsidR="0064776A" w:rsidP="0064776A" w14:paraId="0B8A670D" w14:textId="77777777">
      <w:pPr>
        <w:pStyle w:val="FootnoteText"/>
      </w:pPr>
      <w:r>
        <w:rPr>
          <w:rStyle w:val="FootnoteReference"/>
        </w:rPr>
        <w:footnoteRef/>
      </w:r>
      <w:r>
        <w:t xml:space="preserve"> </w:t>
      </w:r>
      <w:r>
        <w:rPr>
          <w:i/>
          <w:iCs/>
        </w:rPr>
        <w:t xml:space="preserve">Id. </w:t>
      </w:r>
      <w:r>
        <w:t xml:space="preserve">at 34, para. 65. </w:t>
      </w:r>
    </w:p>
  </w:footnote>
  <w:footnote w:id="6">
    <w:p w:rsidR="0064776A" w:rsidRPr="00DF3EAB" w:rsidP="0064776A" w14:paraId="57A00DE7" w14:textId="77777777">
      <w:pPr>
        <w:pStyle w:val="FootnoteText"/>
      </w:pPr>
      <w:r>
        <w:rPr>
          <w:rStyle w:val="FootnoteReference"/>
        </w:rPr>
        <w:footnoteRef/>
      </w:r>
      <w:r>
        <w:t xml:space="preserve"> 47 CFR §§ 64.6301(a), 64.6303(d); </w:t>
      </w:r>
      <w:r>
        <w:rPr>
          <w:i/>
          <w:iCs/>
        </w:rPr>
        <w:t>Second Caller ID Authentication Report and Order</w:t>
      </w:r>
      <w:r>
        <w:t>,</w:t>
      </w:r>
      <w:r>
        <w:rPr>
          <w:i/>
          <w:iCs/>
        </w:rPr>
        <w:t xml:space="preserve"> </w:t>
      </w:r>
      <w:r>
        <w:t xml:space="preserve">at 35, para. 66. </w:t>
      </w:r>
    </w:p>
  </w:footnote>
  <w:footnote w:id="7">
    <w:p w:rsidR="0064776A" w:rsidP="0064776A" w14:paraId="324228E4" w14:textId="77777777">
      <w:pPr>
        <w:pStyle w:val="FootnoteText"/>
      </w:pPr>
      <w:r>
        <w:rPr>
          <w:rStyle w:val="FootnoteReference"/>
        </w:rPr>
        <w:footnoteRef/>
      </w:r>
      <w:r>
        <w:t xml:space="preserve"> Petition of AT&amp;T Services, Inc., for Extension of Implementation Deadline, WC Docket No. 17-97, at 3 (filed Nov. 23, 2020), </w:t>
      </w:r>
      <w:hyperlink r:id="rId1" w:history="1">
        <w:r w:rsidRPr="00123E4C">
          <w:rPr>
            <w:rStyle w:val="Hyperlink"/>
          </w:rPr>
          <w:t>https://ecfsapi.fcc.gov/file/112141280138/11.20.2020%20Extension%20Request%20FINAL.pdf</w:t>
        </w:r>
      </w:hyperlink>
      <w:r>
        <w:t xml:space="preserve">. </w:t>
      </w:r>
    </w:p>
  </w:footnote>
  <w:footnote w:id="8">
    <w:p w:rsidR="0064776A" w:rsidP="0064776A" w14:paraId="2F2781BB" w14:textId="77777777">
      <w:pPr>
        <w:pStyle w:val="FootnoteText"/>
      </w:pPr>
      <w:r>
        <w:rPr>
          <w:rStyle w:val="FootnoteReference"/>
        </w:rPr>
        <w:footnoteRef/>
      </w:r>
      <w:r>
        <w:t xml:space="preserve"> Request of Lumen for Extension, WC Docket No. 17-97, at 1 (filed Nov. 23, 2020), </w:t>
      </w:r>
      <w:hyperlink r:id="rId2" w:history="1">
        <w:r w:rsidRPr="00123E4C">
          <w:rPr>
            <w:rStyle w:val="Hyperlink"/>
          </w:rPr>
          <w:t>https://ecfsapi.fcc.gov/file/112012406154/201120%20Lumen%20extension%20request%20WC17-97.pdf</w:t>
        </w:r>
      </w:hyperlink>
      <w:r>
        <w:t xml:space="preserve">. </w:t>
      </w:r>
    </w:p>
    <w:p w:rsidR="0064776A" w:rsidP="0064776A" w14:paraId="19A8A0AD" w14:textId="77777777">
      <w:pPr>
        <w:pStyle w:val="FootnoteText"/>
      </w:pPr>
    </w:p>
  </w:footnote>
  <w:footnote w:id="9">
    <w:p w:rsidR="0064776A" w:rsidP="0064776A" w14:paraId="7528DA19" w14:textId="77777777">
      <w:pPr>
        <w:pStyle w:val="FootnoteText"/>
      </w:pPr>
      <w:r>
        <w:rPr>
          <w:rStyle w:val="FootnoteReference"/>
        </w:rPr>
        <w:footnoteRef/>
      </w:r>
      <w:r>
        <w:t xml:space="preserve"> Motion of United States Cellular Corporation for Extension of Time, WC Docket No. 17-97, at 3 (filed Nov. 23, 2020), </w:t>
      </w:r>
      <w:hyperlink r:id="rId3" w:history="1">
        <w:r w:rsidRPr="00123E4C">
          <w:rPr>
            <w:rStyle w:val="Hyperlink"/>
          </w:rPr>
          <w:t>https://ecfsapi.fcc.gov/file/11202118425797/US%20Cellular%20FCC%20Motion%20for%20Extension%20of%20Time%20Dkt%20No.%2017-97%20as%20filed%2011-20-2020.pdf</w:t>
        </w:r>
      </w:hyperlink>
      <w:r>
        <w:t>.</w:t>
      </w:r>
    </w:p>
  </w:footnote>
  <w:footnote w:id="10">
    <w:p w:rsidR="0064776A" w:rsidP="0064776A" w14:paraId="3B43D556" w14:textId="77777777">
      <w:pPr>
        <w:pStyle w:val="FootnoteText"/>
      </w:pPr>
      <w:r>
        <w:rPr>
          <w:rStyle w:val="FootnoteReference"/>
        </w:rPr>
        <w:footnoteRef/>
      </w:r>
      <w:r>
        <w:t xml:space="preserve"> </w:t>
      </w:r>
      <w:r>
        <w:rPr>
          <w:i/>
          <w:iCs/>
        </w:rPr>
        <w:t>Id.</w:t>
      </w:r>
      <w:r>
        <w:t xml:space="preserve"> at 3. </w:t>
      </w:r>
    </w:p>
  </w:footnote>
  <w:footnote w:id="11">
    <w:p w:rsidR="0064776A" w:rsidP="0064776A" w14:paraId="345C1F95" w14:textId="77777777">
      <w:pPr>
        <w:pStyle w:val="FootnoteText"/>
      </w:pPr>
      <w:r>
        <w:rPr>
          <w:rStyle w:val="FootnoteReference"/>
        </w:rPr>
        <w:footnoteRef/>
      </w:r>
      <w:r>
        <w:t xml:space="preserve"> Petition of Verizon for Declaratory Ruling or, in the Alternative, a Limited Extension of the STIR/SHAKEN Implementation Deadline, WC Docket No. 17-97, at 2 (filed Nov. 23, 2020), </w:t>
      </w:r>
      <w:hyperlink r:id="rId4" w:history="1">
        <w:r w:rsidRPr="00123E4C">
          <w:rPr>
            <w:rStyle w:val="Hyperlink"/>
          </w:rPr>
          <w:t>https://ecfsapi.fcc.gov/file/11201014508317/2020%2011%2020%20Verizon%20Petition.pdf</w:t>
        </w:r>
      </w:hyperlink>
      <w:r>
        <w:t>.</w:t>
      </w:r>
    </w:p>
  </w:footnote>
  <w:footnote w:id="12">
    <w:p w:rsidR="0064776A" w:rsidP="0064776A" w14:paraId="4D345AB7" w14:textId="77777777">
      <w:pPr>
        <w:pStyle w:val="FootnoteText"/>
      </w:pPr>
      <w:r>
        <w:rPr>
          <w:rStyle w:val="FootnoteReference"/>
        </w:rPr>
        <w:footnoteRef/>
      </w:r>
      <w:r>
        <w:t xml:space="preserve"> </w:t>
      </w:r>
      <w:r>
        <w:rPr>
          <w:i/>
          <w:iCs/>
        </w:rPr>
        <w:t xml:space="preserve">Id. </w:t>
      </w:r>
      <w:r>
        <w:t xml:space="preserve">at 3.  </w:t>
      </w:r>
    </w:p>
    <w:p w:rsidR="0064776A" w:rsidP="0064776A" w14:paraId="6C88F22C" w14:textId="77777777">
      <w:pPr>
        <w:pStyle w:val="FootnoteText"/>
      </w:pPr>
    </w:p>
  </w:footnote>
  <w:footnote w:id="13">
    <w:p w:rsidR="0064776A" w:rsidP="0064776A" w14:paraId="5CBF7E10" w14:textId="77777777">
      <w:pPr>
        <w:pStyle w:val="FootnoteText"/>
        <w:rPr>
          <w:i/>
          <w:iCs/>
        </w:rPr>
      </w:pPr>
      <w:r>
        <w:rPr>
          <w:rStyle w:val="FootnoteReference"/>
        </w:rPr>
        <w:footnoteRef/>
      </w:r>
      <w:r>
        <w:t xml:space="preserve"> 47 CFR §§ 1.1200 </w:t>
      </w:r>
      <w:r>
        <w:rPr>
          <w:i/>
          <w:iCs/>
        </w:rPr>
        <w:t>et seq.</w:t>
      </w:r>
    </w:p>
    <w:p w:rsidR="0064776A" w:rsidP="0064776A" w14:paraId="39542439" w14:textId="77777777">
      <w:pPr>
        <w:pStyle w:val="FootnoteText"/>
        <w:rPr>
          <w:i/>
          <w:iC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A0A02E3" w14:textId="21C9C8E9">
    <w:pPr>
      <w:tabs>
        <w:tab w:val="center" w:pos="4680"/>
        <w:tab w:val="right" w:pos="9360"/>
      </w:tabs>
    </w:pPr>
    <w:r w:rsidRPr="009838BC">
      <w:rPr>
        <w:b/>
      </w:rPr>
      <w:tab/>
      <w:t>Federal Communications Commission</w:t>
    </w:r>
    <w:r w:rsidRPr="009838BC">
      <w:rPr>
        <w:b/>
      </w:rPr>
      <w:tab/>
    </w:r>
    <w:r w:rsidR="0064776A">
      <w:rPr>
        <w:b/>
      </w:rPr>
      <w:t>DA 20-1454</w:t>
    </w:r>
  </w:p>
  <w:p w:rsidR="009838BC" w:rsidRPr="009838BC" w:rsidP="009838BC" w14:paraId="5D1D812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FF081F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BE9E5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50F927FA" w14:textId="77777777">
                <w:pPr>
                  <w:rPr>
                    <w:rFonts w:ascii="Arial" w:hAnsi="Arial"/>
                    <w:b/>
                  </w:rPr>
                </w:pPr>
                <w:r>
                  <w:rPr>
                    <w:rFonts w:ascii="Arial" w:hAnsi="Arial"/>
                    <w:b/>
                  </w:rPr>
                  <w:t>Federal Communications Commission</w:t>
                </w:r>
              </w:p>
              <w:p w:rsidR="009838BC" w:rsidP="009838BC" w14:paraId="017F887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4A35DF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0CDE29A"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428pt,56.7pt" to="89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28B4C14" w14:textId="77777777">
                <w:pPr>
                  <w:spacing w:before="40"/>
                  <w:jc w:val="right"/>
                  <w:rPr>
                    <w:rFonts w:ascii="Arial" w:hAnsi="Arial"/>
                    <w:b/>
                    <w:sz w:val="16"/>
                  </w:rPr>
                </w:pPr>
                <w:r>
                  <w:rPr>
                    <w:rFonts w:ascii="Arial" w:hAnsi="Arial"/>
                    <w:b/>
                    <w:sz w:val="16"/>
                  </w:rPr>
                  <w:t>News Media Information 202 / 418-0500</w:t>
                </w:r>
              </w:p>
              <w:p w:rsidR="009838BC" w:rsidP="009838BC" w14:paraId="34F25AF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50982B9E" w14:textId="77777777">
                <w:pPr>
                  <w:jc w:val="right"/>
                </w:pPr>
                <w:r>
                  <w:rPr>
                    <w:rFonts w:ascii="Arial" w:hAnsi="Arial"/>
                    <w:b/>
                    <w:sz w:val="16"/>
                  </w:rPr>
                  <w:t>TTY: 1-888-835-5322</w:t>
                </w:r>
              </w:p>
            </w:txbxContent>
          </v:textbox>
        </v:shape>
      </w:pict>
    </w:r>
  </w:p>
  <w:p w:rsidR="006F7393" w:rsidRPr="009838BC" w:rsidP="009838BC" w14:paraId="157AE3D2"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89F36A0"/>
    <w:multiLevelType w:val="hybridMultilevel"/>
    <w:tmpl w:val="369A15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2BB2031"/>
    <w:multiLevelType w:val="hybridMultilevel"/>
    <w:tmpl w:val="FBE416E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57BC02E7"/>
    <w:multiLevelType w:val="hybridMultilevel"/>
    <w:tmpl w:val="04E4DC5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9"/>
  </w:num>
  <w:num w:numId="3">
    <w:abstractNumId w:val="4"/>
  </w:num>
  <w:num w:numId="4">
    <w:abstractNumId w:val="6"/>
  </w:num>
  <w:num w:numId="5">
    <w:abstractNumId w:val="3"/>
  </w:num>
  <w:num w:numId="6">
    <w:abstractNumId w:val="0"/>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6A"/>
    <w:rsid w:val="000072CE"/>
    <w:rsid w:val="00013A8B"/>
    <w:rsid w:val="00021445"/>
    <w:rsid w:val="00036039"/>
    <w:rsid w:val="00037F90"/>
    <w:rsid w:val="000875BF"/>
    <w:rsid w:val="00096D8C"/>
    <w:rsid w:val="000C0B65"/>
    <w:rsid w:val="000E3D42"/>
    <w:rsid w:val="000E5884"/>
    <w:rsid w:val="00122BD5"/>
    <w:rsid w:val="00123E4C"/>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4776A"/>
    <w:rsid w:val="00655D03"/>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18FA"/>
    <w:rsid w:val="00926503"/>
    <w:rsid w:val="00930ECF"/>
    <w:rsid w:val="009838BC"/>
    <w:rsid w:val="00A45F4F"/>
    <w:rsid w:val="00A600A9"/>
    <w:rsid w:val="00A866AC"/>
    <w:rsid w:val="00AA55B7"/>
    <w:rsid w:val="00AA5B9E"/>
    <w:rsid w:val="00AB2407"/>
    <w:rsid w:val="00AB53DF"/>
    <w:rsid w:val="00AD7DB0"/>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3EAB"/>
    <w:rsid w:val="00DF62B6"/>
    <w:rsid w:val="00E07225"/>
    <w:rsid w:val="00E155B7"/>
    <w:rsid w:val="00E5409F"/>
    <w:rsid w:val="00EC0185"/>
    <w:rsid w:val="00F021FA"/>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71FA1C0-723B-49E0-AF72-C6906912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6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ListParagraph">
    <w:name w:val="List Paragraph"/>
    <w:basedOn w:val="Normal"/>
    <w:uiPriority w:val="34"/>
    <w:qFormat/>
    <w:rsid w:val="0064776A"/>
    <w:pPr>
      <w:widowControl/>
      <w:spacing w:after="160" w:line="259" w:lineRule="auto"/>
      <w:ind w:left="720"/>
      <w:contextualSpacing/>
    </w:pPr>
    <w:rPr>
      <w:rFonts w:ascii="Calibri" w:eastAsia="Calibri" w:hAnsi="Calibri"/>
      <w:snapToGrid/>
      <w:kern w:val="0"/>
      <w:szCs w:val="22"/>
    </w:rPr>
  </w:style>
  <w:style w:type="character" w:customStyle="1" w:styleId="FootnoteTextChar">
    <w:name w:val="Footnote Text Char"/>
    <w:aliases w:val="ALTS FOOTNOTE Char,Footnote Text Char Char1 Char Char,Footnote Text Char Char1 Char Char Char Char,Footnote Text Char1 Char1 Char Char Char Char Char,Footnote Text Char2 Char Char Char,Footnote Text Char2 Char2 Char,f Char,fn Char"/>
    <w:link w:val="FootnoteText"/>
    <w:rsid w:val="00647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alexander.hobbs@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12141280138/11.20.2020%20Extension%20Request%20FINAL.pdf" TargetMode="External" /><Relationship Id="rId2" Type="http://schemas.openxmlformats.org/officeDocument/2006/relationships/hyperlink" Target="https://ecfsapi.fcc.gov/file/112012406154/201120%20Lumen%20extension%20request%20WC17-97.pdf" TargetMode="External" /><Relationship Id="rId3" Type="http://schemas.openxmlformats.org/officeDocument/2006/relationships/hyperlink" Target="https://ecfsapi.fcc.gov/file/11202118425797/US%20Cellular%20FCC%20Motion%20for%20Extension%20of%20Time%20Dkt%20No.%2017-97%20as%20filed%2011-20-2020.pdf" TargetMode="External" /><Relationship Id="rId4" Type="http://schemas.openxmlformats.org/officeDocument/2006/relationships/hyperlink" Target="https://ecfsapi.fcc.gov/file/11201014508317/2020%2011%2020%20Verizon%20Petition.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