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75796D0F">
      <w:pPr>
        <w:jc w:val="right"/>
        <w:rPr>
          <w:sz w:val="24"/>
          <w:szCs w:val="24"/>
        </w:rPr>
      </w:pPr>
      <w:r w:rsidRPr="75796D0F">
        <w:rPr>
          <w:sz w:val="24"/>
          <w:szCs w:val="24"/>
        </w:rPr>
        <w:t xml:space="preserve"> </w:t>
      </w:r>
    </w:p>
    <w:p w:rsidR="005614FA" w:rsidP="005614FA">
      <w:pPr>
        <w:widowControl/>
        <w:suppressAutoHyphens/>
        <w:jc w:val="right"/>
        <w:rPr>
          <w:b/>
          <w:color w:val="000000"/>
        </w:rPr>
      </w:pPr>
      <w:r>
        <w:rPr>
          <w:b/>
          <w:color w:val="000000"/>
        </w:rPr>
        <w:t>DA 20-</w:t>
      </w:r>
      <w:r w:rsidR="00CC60EB">
        <w:rPr>
          <w:b/>
          <w:color w:val="000000"/>
        </w:rPr>
        <w:t>1459</w:t>
      </w:r>
      <w:bookmarkStart w:id="0" w:name="_GoBack"/>
      <w:bookmarkEnd w:id="0"/>
    </w:p>
    <w:p w:rsidR="005614FA" w:rsidP="005614FA">
      <w:pPr>
        <w:widowControl/>
        <w:suppressAutoHyphens/>
        <w:spacing w:after="240"/>
        <w:jc w:val="right"/>
        <w:rPr>
          <w:b/>
          <w:color w:val="000000"/>
        </w:rPr>
      </w:pPr>
      <w:r>
        <w:rPr>
          <w:b/>
          <w:color w:val="000000"/>
        </w:rPr>
        <w:t xml:space="preserve">Released:  </w:t>
      </w:r>
      <w:r w:rsidR="008B3DC7">
        <w:rPr>
          <w:b/>
          <w:color w:val="000000"/>
        </w:rPr>
        <w:t>December</w:t>
      </w:r>
      <w:r w:rsidR="00207939">
        <w:rPr>
          <w:b/>
          <w:color w:val="000000"/>
        </w:rPr>
        <w:t xml:space="preserve"> </w:t>
      </w:r>
      <w:r w:rsidR="00B3351F">
        <w:rPr>
          <w:b/>
          <w:color w:val="000000"/>
        </w:rPr>
        <w:t>7</w:t>
      </w:r>
      <w:r>
        <w:rPr>
          <w:b/>
          <w:color w:val="000000"/>
        </w:rPr>
        <w:t>, 2020</w:t>
      </w:r>
    </w:p>
    <w:p w:rsidR="00242F44" w:rsidP="005614FA">
      <w:pPr>
        <w:autoSpaceDE w:val="0"/>
        <w:autoSpaceDN w:val="0"/>
        <w:adjustRightInd w:val="0"/>
        <w:jc w:val="center"/>
        <w:rPr>
          <w:b/>
          <w:szCs w:val="22"/>
        </w:rPr>
      </w:pPr>
      <w:r>
        <w:rPr>
          <w:b/>
          <w:szCs w:val="22"/>
        </w:rPr>
        <w:t xml:space="preserve">DOMESTIC 214 </w:t>
      </w:r>
      <w:r w:rsidRPr="00307030" w:rsidR="00C31891">
        <w:rPr>
          <w:b/>
          <w:szCs w:val="22"/>
        </w:rPr>
        <w:t xml:space="preserve">APPLICATION </w:t>
      </w:r>
      <w:r w:rsidR="00C31891">
        <w:rPr>
          <w:b/>
          <w:szCs w:val="22"/>
        </w:rPr>
        <w:t>GRANTED</w:t>
      </w:r>
      <w:r w:rsidRPr="00307030" w:rsidR="00C31891">
        <w:rPr>
          <w:b/>
          <w:szCs w:val="22"/>
        </w:rPr>
        <w:t xml:space="preserve"> FOR </w:t>
      </w:r>
    </w:p>
    <w:p w:rsidR="0004637E" w:rsidP="005614FA">
      <w:pPr>
        <w:autoSpaceDE w:val="0"/>
        <w:autoSpaceDN w:val="0"/>
        <w:adjustRightInd w:val="0"/>
        <w:jc w:val="center"/>
        <w:rPr>
          <w:b/>
          <w:szCs w:val="22"/>
        </w:rPr>
      </w:pPr>
      <w:r w:rsidRPr="00307030">
        <w:rPr>
          <w:b/>
          <w:szCs w:val="22"/>
        </w:rPr>
        <w:t xml:space="preserve">THE TRANSFER OF CONTROL OF </w:t>
      </w:r>
    </w:p>
    <w:p w:rsidR="00207939" w:rsidRPr="00207939" w:rsidP="00207939">
      <w:pPr>
        <w:autoSpaceDE w:val="0"/>
        <w:autoSpaceDN w:val="0"/>
        <w:adjustRightInd w:val="0"/>
        <w:jc w:val="center"/>
        <w:rPr>
          <w:rFonts w:ascii="Times New Roman Bold" w:hAnsi="Times New Roman Bold"/>
          <w:b/>
          <w:bCs/>
          <w:caps/>
          <w:szCs w:val="22"/>
        </w:rPr>
      </w:pPr>
      <w:r w:rsidRPr="00207939">
        <w:rPr>
          <w:b/>
          <w:bCs/>
          <w:szCs w:val="22"/>
        </w:rPr>
        <w:t xml:space="preserve">OF </w:t>
      </w:r>
      <w:r w:rsidRPr="00207939">
        <w:rPr>
          <w:rFonts w:ascii="Times New Roman Bold" w:hAnsi="Times New Roman Bold"/>
          <w:b/>
          <w:bCs/>
          <w:caps/>
          <w:szCs w:val="22"/>
        </w:rPr>
        <w:t xml:space="preserve">Vanco US, LLC, Debtor-in-Possession, Vanco Solutions, Inc. </w:t>
      </w:r>
    </w:p>
    <w:p w:rsidR="00207939" w:rsidRPr="00207939" w:rsidP="00207939">
      <w:pPr>
        <w:autoSpaceDE w:val="0"/>
        <w:autoSpaceDN w:val="0"/>
        <w:adjustRightInd w:val="0"/>
        <w:jc w:val="center"/>
        <w:rPr>
          <w:b/>
          <w:bCs/>
          <w:szCs w:val="22"/>
        </w:rPr>
      </w:pPr>
      <w:r w:rsidRPr="00207939">
        <w:rPr>
          <w:rFonts w:ascii="Times New Roman Bold" w:hAnsi="Times New Roman Bold"/>
          <w:b/>
          <w:bCs/>
          <w:caps/>
          <w:szCs w:val="22"/>
        </w:rPr>
        <w:t>and Reliance Globalcom Services, Inc</w:t>
      </w:r>
      <w:r w:rsidRPr="00207939">
        <w:rPr>
          <w:b/>
          <w:bCs/>
          <w:szCs w:val="22"/>
        </w:rPr>
        <w:t xml:space="preserve">. </w:t>
      </w:r>
    </w:p>
    <w:p w:rsidR="005614FA" w:rsidRPr="00307030" w:rsidP="0084412A">
      <w:pPr>
        <w:autoSpaceDE w:val="0"/>
        <w:autoSpaceDN w:val="0"/>
        <w:adjustRightInd w:val="0"/>
        <w:rPr>
          <w:b/>
          <w:szCs w:val="22"/>
        </w:rPr>
      </w:pPr>
    </w:p>
    <w:p w:rsidR="005614FA" w:rsidRPr="00307030" w:rsidP="005614FA">
      <w:pPr>
        <w:autoSpaceDE w:val="0"/>
        <w:autoSpaceDN w:val="0"/>
        <w:adjustRightInd w:val="0"/>
        <w:jc w:val="center"/>
        <w:rPr>
          <w:b/>
          <w:szCs w:val="22"/>
        </w:rPr>
      </w:pPr>
      <w:r w:rsidRPr="00307030">
        <w:rPr>
          <w:b/>
          <w:szCs w:val="22"/>
        </w:rPr>
        <w:t xml:space="preserve">WC Docket No. </w:t>
      </w:r>
      <w:r w:rsidR="00207939">
        <w:rPr>
          <w:b/>
          <w:szCs w:val="22"/>
        </w:rPr>
        <w:t>20-38</w:t>
      </w:r>
      <w:r>
        <w:rPr>
          <w:b/>
          <w:szCs w:val="22"/>
        </w:rPr>
        <w:t xml:space="preserve"> </w:t>
      </w:r>
    </w:p>
    <w:p w:rsidR="005614FA" w:rsidP="005614FA">
      <w:pPr>
        <w:widowControl/>
        <w:suppressAutoHyphens/>
        <w:rPr>
          <w:b/>
          <w:color w:val="000000"/>
        </w:rPr>
      </w:pPr>
    </w:p>
    <w:p w:rsidR="00D806AA" w:rsidRPr="00207939" w:rsidP="00207939">
      <w:pPr>
        <w:widowControl/>
        <w:autoSpaceDE w:val="0"/>
        <w:autoSpaceDN w:val="0"/>
        <w:adjustRightInd w:val="0"/>
        <w:ind w:firstLine="720"/>
        <w:rPr>
          <w:snapToGrid/>
          <w:kern w:val="0"/>
          <w:szCs w:val="22"/>
        </w:rPr>
      </w:pPr>
      <w:r w:rsidRPr="00D806AA">
        <w:rPr>
          <w:snapToGrid/>
          <w:kern w:val="0"/>
          <w:szCs w:val="22"/>
        </w:rPr>
        <w:t xml:space="preserve">By this Public Notice, the Wireline Competition Bureau </w:t>
      </w:r>
      <w:r w:rsidR="000D50EB">
        <w:rPr>
          <w:snapToGrid/>
          <w:kern w:val="0"/>
          <w:szCs w:val="22"/>
        </w:rPr>
        <w:t xml:space="preserve">(Bureau) </w:t>
      </w:r>
      <w:r>
        <w:rPr>
          <w:snapToGrid/>
          <w:kern w:val="0"/>
          <w:szCs w:val="22"/>
        </w:rPr>
        <w:t>grant</w:t>
      </w:r>
      <w:r w:rsidRPr="00D806AA">
        <w:rPr>
          <w:snapToGrid/>
          <w:kern w:val="0"/>
          <w:szCs w:val="22"/>
        </w:rPr>
        <w:t>s</w:t>
      </w:r>
      <w:r>
        <w:rPr>
          <w:snapToGrid/>
          <w:kern w:val="0"/>
          <w:szCs w:val="22"/>
        </w:rPr>
        <w:t xml:space="preserve">, as conditioned, </w:t>
      </w:r>
      <w:r w:rsidR="00DF4E87">
        <w:rPr>
          <w:snapToGrid/>
          <w:kern w:val="0"/>
          <w:szCs w:val="22"/>
        </w:rPr>
        <w:t>an</w:t>
      </w:r>
      <w:r>
        <w:rPr>
          <w:snapToGrid/>
          <w:kern w:val="0"/>
          <w:szCs w:val="22"/>
        </w:rPr>
        <w:t xml:space="preserve"> </w:t>
      </w:r>
      <w:r w:rsidRPr="00D806AA">
        <w:rPr>
          <w:snapToGrid/>
          <w:kern w:val="0"/>
          <w:szCs w:val="22"/>
        </w:rPr>
        <w:t xml:space="preserve">application filed by </w:t>
      </w:r>
      <w:r w:rsidRPr="00207939" w:rsidR="00207939">
        <w:rPr>
          <w:snapToGrid/>
          <w:kern w:val="0"/>
          <w:szCs w:val="22"/>
        </w:rPr>
        <w:t xml:space="preserve">GCX Limited, Debtor in-Possession (GCX Limited DIP), Vanco US, LLC, Debtor-in-Possession (Vanco US DIP), Vanco Solutions, Inc. (Vanco Solutions), and Reliance Globalcom Services, Inc. (RGSI, together with </w:t>
      </w:r>
      <w:r w:rsidRPr="00207939" w:rsidR="00F051B1">
        <w:rPr>
          <w:snapToGrid/>
          <w:kern w:val="0"/>
          <w:szCs w:val="22"/>
        </w:rPr>
        <w:t>Vanco US DIP</w:t>
      </w:r>
      <w:r w:rsidR="00F051B1">
        <w:rPr>
          <w:snapToGrid/>
          <w:kern w:val="0"/>
          <w:szCs w:val="22"/>
        </w:rPr>
        <w:t xml:space="preserve"> and</w:t>
      </w:r>
      <w:r w:rsidRPr="00207939" w:rsidR="00F051B1">
        <w:rPr>
          <w:snapToGrid/>
          <w:kern w:val="0"/>
          <w:szCs w:val="22"/>
        </w:rPr>
        <w:t xml:space="preserve"> </w:t>
      </w:r>
      <w:r w:rsidRPr="00207939" w:rsidR="00207939">
        <w:rPr>
          <w:snapToGrid/>
          <w:kern w:val="0"/>
          <w:szCs w:val="22"/>
        </w:rPr>
        <w:t>Vanco Solutions, the Licensees)</w:t>
      </w:r>
      <w:r w:rsidR="00F051B1">
        <w:rPr>
          <w:snapToGrid/>
          <w:kern w:val="0"/>
          <w:szCs w:val="22"/>
        </w:rPr>
        <w:t xml:space="preserve"> (GCX Limited DIP together with the Licensees, Applicants)</w:t>
      </w:r>
      <w:r w:rsidR="00207939">
        <w:rPr>
          <w:snapToGrid/>
          <w:kern w:val="0"/>
          <w:szCs w:val="22"/>
        </w:rPr>
        <w:t>,</w:t>
      </w:r>
      <w:r>
        <w:rPr>
          <w:rStyle w:val="FootnoteReference"/>
          <w:snapToGrid/>
          <w:kern w:val="0"/>
          <w:szCs w:val="22"/>
        </w:rPr>
        <w:footnoteReference w:id="3"/>
      </w:r>
      <w:r w:rsidRPr="00207939" w:rsidR="00207939">
        <w:rPr>
          <w:snapToGrid/>
          <w:kern w:val="0"/>
          <w:szCs w:val="22"/>
        </w:rPr>
        <w:t xml:space="preserve"> pursuant to section 214 of the Communications Act of 1934, as amended</w:t>
      </w:r>
      <w:r w:rsidR="00207939">
        <w:rPr>
          <w:snapToGrid/>
          <w:kern w:val="0"/>
          <w:szCs w:val="22"/>
        </w:rPr>
        <w:t xml:space="preserve"> (Act)</w:t>
      </w:r>
      <w:r w:rsidRPr="00207939" w:rsidR="00207939">
        <w:rPr>
          <w:snapToGrid/>
          <w:kern w:val="0"/>
          <w:szCs w:val="22"/>
        </w:rPr>
        <w:t>, and sections 63.03-04 of the Commission’s rules, requesting consent to:  (a) transfer the domestic section 214 authority held by Vanco US DIP to a reorganized Vanco US, LLC (Reorganized Vanco US); and (b) transfer control of RGSI and Vanco Solutions from GCX Limited DIP to a to-be-formed Bermuda entity, GCX Limited (Reorganized) (Reorganized GCX Limited).</w:t>
      </w:r>
      <w:bookmarkStart w:id="1" w:name="_Hlk19805232"/>
      <w:r>
        <w:rPr>
          <w:snapToGrid/>
          <w:color w:val="231F20"/>
          <w:kern w:val="0"/>
          <w:szCs w:val="22"/>
          <w:vertAlign w:val="superscript"/>
        </w:rPr>
        <w:footnoteReference w:id="4"/>
      </w:r>
      <w:bookmarkEnd w:id="1"/>
      <w:r w:rsidRPr="00D806AA">
        <w:rPr>
          <w:snapToGrid/>
          <w:color w:val="231F20"/>
          <w:kern w:val="0"/>
          <w:szCs w:val="22"/>
        </w:rPr>
        <w:t xml:space="preserve"> </w:t>
      </w:r>
    </w:p>
    <w:p w:rsidR="005614FA" w:rsidP="00A51758">
      <w:pPr>
        <w:autoSpaceDE w:val="0"/>
        <w:autoSpaceDN w:val="0"/>
        <w:adjustRightInd w:val="0"/>
        <w:rPr>
          <w:snapToGrid/>
          <w:kern w:val="0"/>
          <w:szCs w:val="22"/>
        </w:rPr>
      </w:pPr>
    </w:p>
    <w:p w:rsidR="005614FA" w:rsidP="005614FA">
      <w:pPr>
        <w:autoSpaceDE w:val="0"/>
        <w:autoSpaceDN w:val="0"/>
        <w:adjustRightInd w:val="0"/>
        <w:ind w:firstLine="720"/>
        <w:rPr>
          <w:szCs w:val="22"/>
        </w:rPr>
      </w:pPr>
      <w:r>
        <w:rPr>
          <w:color w:val="000000"/>
          <w:szCs w:val="24"/>
        </w:rPr>
        <w:t xml:space="preserve">On </w:t>
      </w:r>
      <w:r w:rsidR="00207939">
        <w:rPr>
          <w:color w:val="000000"/>
          <w:szCs w:val="24"/>
        </w:rPr>
        <w:t>February 11</w:t>
      </w:r>
      <w:r>
        <w:rPr>
          <w:color w:val="000000"/>
          <w:szCs w:val="24"/>
        </w:rPr>
        <w:t>, 20</w:t>
      </w:r>
      <w:r w:rsidR="00A51758">
        <w:rPr>
          <w:color w:val="000000"/>
          <w:szCs w:val="24"/>
        </w:rPr>
        <w:t>20</w:t>
      </w:r>
      <w:r>
        <w:rPr>
          <w:color w:val="000000"/>
          <w:szCs w:val="24"/>
        </w:rPr>
        <w:t xml:space="preserve">, </w:t>
      </w:r>
      <w:r>
        <w:rPr>
          <w:color w:val="000000"/>
        </w:rPr>
        <w:t>the Bureau released a public notice seeking comment on the Application</w:t>
      </w:r>
      <w:r>
        <w:rPr>
          <w:color w:val="000000"/>
          <w:szCs w:val="22"/>
        </w:rPr>
        <w:t>.</w:t>
      </w:r>
      <w:r>
        <w:rPr>
          <w:rStyle w:val="FootnoteReference"/>
          <w:szCs w:val="22"/>
        </w:rPr>
        <w:footnoteReference w:id="5"/>
      </w:r>
      <w:r>
        <w:rPr>
          <w:color w:val="000000"/>
          <w:szCs w:val="22"/>
        </w:rPr>
        <w:t xml:space="preserve">  </w:t>
      </w:r>
      <w:r w:rsidR="007C4371">
        <w:rPr>
          <w:color w:val="000000"/>
          <w:szCs w:val="22"/>
        </w:rPr>
        <w:t>We</w:t>
      </w:r>
      <w:r>
        <w:rPr>
          <w:szCs w:val="22"/>
        </w:rPr>
        <w:t xml:space="preserve"> did not receive comments or petitions in opposition to the Application.</w:t>
      </w:r>
    </w:p>
    <w:p w:rsidR="005614FA" w:rsidP="005614FA">
      <w:pPr>
        <w:autoSpaceDE w:val="0"/>
        <w:autoSpaceDN w:val="0"/>
        <w:adjustRightInd w:val="0"/>
        <w:rPr>
          <w:szCs w:val="22"/>
        </w:rPr>
      </w:pPr>
    </w:p>
    <w:p w:rsidR="00A6538C" w:rsidRPr="00A6538C" w:rsidP="00A6538C">
      <w:pPr>
        <w:autoSpaceDE w:val="0"/>
        <w:autoSpaceDN w:val="0"/>
        <w:adjustRightInd w:val="0"/>
        <w:rPr>
          <w:szCs w:val="22"/>
        </w:rPr>
      </w:pPr>
      <w:r>
        <w:rPr>
          <w:szCs w:val="22"/>
        </w:rPr>
        <w:tab/>
      </w:r>
      <w:r w:rsidRPr="00A6538C">
        <w:rPr>
          <w:szCs w:val="22"/>
        </w:rPr>
        <w:t xml:space="preserve">GCX Limited DIP, a Bermuda entity, is the indirect parent of the Licensees and, through Vanco US DIP, a Delaware limited liability company, it currently provides competitive telecommunications services in multiple states.  Vanco Solutions and RGSI, both Delaware corporations, do not currently serve customers, but </w:t>
      </w:r>
      <w:r w:rsidR="00F051B1">
        <w:rPr>
          <w:szCs w:val="22"/>
        </w:rPr>
        <w:t>A</w:t>
      </w:r>
      <w:r w:rsidRPr="00A6538C">
        <w:rPr>
          <w:szCs w:val="22"/>
        </w:rPr>
        <w:t>pplicants state that upon emergence from bankruptcy, these entities may provide services similar to Vanco US DIP.</w:t>
      </w:r>
    </w:p>
    <w:p w:rsidR="00A6538C" w:rsidP="00A6538C">
      <w:pPr>
        <w:autoSpaceDE w:val="0"/>
        <w:autoSpaceDN w:val="0"/>
        <w:adjustRightInd w:val="0"/>
        <w:rPr>
          <w:szCs w:val="22"/>
        </w:rPr>
      </w:pPr>
    </w:p>
    <w:p w:rsidR="00A6538C" w:rsidP="00A6538C">
      <w:pPr>
        <w:autoSpaceDE w:val="0"/>
        <w:autoSpaceDN w:val="0"/>
        <w:adjustRightInd w:val="0"/>
        <w:ind w:firstLine="720"/>
        <w:rPr>
          <w:szCs w:val="22"/>
        </w:rPr>
      </w:pPr>
      <w:r w:rsidRPr="00A6538C">
        <w:rPr>
          <w:szCs w:val="22"/>
        </w:rPr>
        <w:t xml:space="preserve">Reorganized Vanco US, a Delaware limited liability company, will be indirectly wholly owned by Reorganized GCX Limited, a Bermuda holding company.  Reorganized GCX Limited, in turn, will be owned by GCX Limited DIP’s senior secured noteholders based on ownership of senior secured notes, none of which will hold a controlling interest in Reorganized GCX Limited or collectively exercise control through any other arrangement.  </w:t>
      </w:r>
    </w:p>
    <w:p w:rsidR="005614FA" w:rsidRPr="0054650E" w:rsidP="00885346">
      <w:pPr>
        <w:widowControl/>
        <w:autoSpaceDE w:val="0"/>
        <w:autoSpaceDN w:val="0"/>
        <w:adjustRightInd w:val="0"/>
        <w:rPr>
          <w:snapToGrid/>
          <w:kern w:val="0"/>
          <w:szCs w:val="22"/>
        </w:rPr>
      </w:pPr>
    </w:p>
    <w:p w:rsidR="00E77864" w:rsidP="0054650E">
      <w:pPr>
        <w:pStyle w:val="Default"/>
        <w:ind w:firstLine="720"/>
        <w:rPr>
          <w:sz w:val="22"/>
          <w:szCs w:val="22"/>
        </w:rPr>
      </w:pPr>
      <w:r w:rsidRPr="00A663DB">
        <w:rPr>
          <w:sz w:val="22"/>
          <w:szCs w:val="22"/>
        </w:rPr>
        <w:t xml:space="preserve">On </w:t>
      </w:r>
      <w:r w:rsidR="007F40C5">
        <w:rPr>
          <w:sz w:val="22"/>
          <w:szCs w:val="22"/>
        </w:rPr>
        <w:t>February 20</w:t>
      </w:r>
      <w:r w:rsidRPr="00A663DB">
        <w:rPr>
          <w:sz w:val="22"/>
          <w:szCs w:val="22"/>
        </w:rPr>
        <w:t>, 20</w:t>
      </w:r>
      <w:r w:rsidRPr="00A663DB" w:rsidR="00023E9D">
        <w:rPr>
          <w:sz w:val="22"/>
          <w:szCs w:val="22"/>
        </w:rPr>
        <w:t>20</w:t>
      </w:r>
      <w:r w:rsidRPr="00A663DB">
        <w:rPr>
          <w:sz w:val="22"/>
          <w:szCs w:val="22"/>
        </w:rPr>
        <w:t xml:space="preserve">, the </w:t>
      </w:r>
      <w:r w:rsidRPr="00A663DB" w:rsidR="0092692D">
        <w:rPr>
          <w:sz w:val="22"/>
          <w:szCs w:val="22"/>
        </w:rPr>
        <w:t xml:space="preserve">U.S. </w:t>
      </w:r>
      <w:r w:rsidRPr="00A663DB">
        <w:rPr>
          <w:sz w:val="22"/>
          <w:szCs w:val="22"/>
        </w:rPr>
        <w:t xml:space="preserve">Department of Justice (DOJ), with the concurrence of the </w:t>
      </w:r>
      <w:r w:rsidRPr="00A663DB" w:rsidR="000D50EB">
        <w:rPr>
          <w:sz w:val="22"/>
          <w:szCs w:val="22"/>
        </w:rPr>
        <w:t xml:space="preserve">U.S. </w:t>
      </w:r>
      <w:r w:rsidRPr="00A663DB">
        <w:rPr>
          <w:sz w:val="22"/>
          <w:szCs w:val="22"/>
        </w:rPr>
        <w:t xml:space="preserve">Department of Homeland Security and the </w:t>
      </w:r>
      <w:r w:rsidRPr="00A663DB" w:rsidR="000D50EB">
        <w:rPr>
          <w:sz w:val="22"/>
          <w:szCs w:val="22"/>
        </w:rPr>
        <w:t xml:space="preserve">U.S. </w:t>
      </w:r>
      <w:r w:rsidRPr="00A663DB">
        <w:rPr>
          <w:sz w:val="22"/>
          <w:szCs w:val="22"/>
        </w:rPr>
        <w:t xml:space="preserve">Department of Defense (collectively, </w:t>
      </w:r>
      <w:r w:rsidRPr="004872D0">
        <w:rPr>
          <w:sz w:val="22"/>
          <w:szCs w:val="22"/>
        </w:rPr>
        <w:t xml:space="preserve">the </w:t>
      </w:r>
      <w:r w:rsidR="004872D0">
        <w:rPr>
          <w:sz w:val="22"/>
          <w:szCs w:val="22"/>
        </w:rPr>
        <w:t>Agencies</w:t>
      </w:r>
      <w:r w:rsidRPr="00A663DB">
        <w:rPr>
          <w:sz w:val="22"/>
          <w:szCs w:val="22"/>
        </w:rPr>
        <w:t>), filed a letter requesting that the Commission defer action on the Application while they reviewed potential national security, law enforcement, and public safety issues.</w:t>
      </w:r>
      <w:r>
        <w:rPr>
          <w:rStyle w:val="FootnoteReference"/>
          <w:color w:val="000000"/>
          <w:szCs w:val="22"/>
        </w:rPr>
        <w:footnoteReference w:id="6"/>
      </w:r>
      <w:r w:rsidRPr="00A663DB">
        <w:rPr>
          <w:sz w:val="22"/>
          <w:szCs w:val="22"/>
        </w:rPr>
        <w:t xml:space="preserve">  We deferred action in response to this request</w:t>
      </w:r>
      <w:r w:rsidRPr="00A663DB" w:rsidR="00563C1F">
        <w:rPr>
          <w:sz w:val="22"/>
          <w:szCs w:val="22"/>
        </w:rPr>
        <w:t xml:space="preserve"> from the Agencies</w:t>
      </w:r>
      <w:r w:rsidRPr="00A663DB">
        <w:rPr>
          <w:sz w:val="22"/>
          <w:szCs w:val="22"/>
        </w:rPr>
        <w:t xml:space="preserve">.  </w:t>
      </w:r>
      <w:r>
        <w:rPr>
          <w:sz w:val="22"/>
          <w:szCs w:val="22"/>
        </w:rPr>
        <w:t xml:space="preserve">On August 3, 2020, the </w:t>
      </w:r>
      <w:r w:rsidRPr="004872D0" w:rsidR="004872D0">
        <w:rPr>
          <w:sz w:val="22"/>
          <w:szCs w:val="22"/>
        </w:rPr>
        <w:t>Committee for the Assessment of Foreign Participation in the United States Telecommunications Services Sector (Committee)</w:t>
      </w:r>
      <w:r>
        <w:rPr>
          <w:sz w:val="22"/>
          <w:szCs w:val="22"/>
        </w:rPr>
        <w:t xml:space="preserve"> notified the </w:t>
      </w:r>
      <w:r w:rsidR="00286468">
        <w:rPr>
          <w:sz w:val="22"/>
          <w:szCs w:val="22"/>
        </w:rPr>
        <w:t>Commission</w:t>
      </w:r>
      <w:r w:rsidR="004872D0">
        <w:rPr>
          <w:sz w:val="22"/>
          <w:szCs w:val="22"/>
        </w:rPr>
        <w:t xml:space="preserve"> that the Applicants have </w:t>
      </w:r>
      <w:r w:rsidRPr="004872D0" w:rsidR="004872D0">
        <w:rPr>
          <w:sz w:val="22"/>
          <w:szCs w:val="22"/>
        </w:rPr>
        <w:t xml:space="preserve">provided complete responses to initial questions posed by the Committee </w:t>
      </w:r>
      <w:r w:rsidR="004872D0">
        <w:rPr>
          <w:sz w:val="22"/>
          <w:szCs w:val="22"/>
        </w:rPr>
        <w:t>and that the Committee is conducting</w:t>
      </w:r>
      <w:r w:rsidR="00E96AC2">
        <w:rPr>
          <w:sz w:val="22"/>
          <w:szCs w:val="22"/>
        </w:rPr>
        <w:t xml:space="preserve"> an initial review </w:t>
      </w:r>
      <w:r w:rsidRPr="00E96AC2" w:rsidR="00E96AC2">
        <w:rPr>
          <w:sz w:val="22"/>
          <w:szCs w:val="22"/>
        </w:rPr>
        <w:t xml:space="preserve">to assess whether granting the Application </w:t>
      </w:r>
      <w:r w:rsidR="00564FFA">
        <w:rPr>
          <w:sz w:val="22"/>
          <w:szCs w:val="22"/>
        </w:rPr>
        <w:t>would</w:t>
      </w:r>
      <w:r w:rsidRPr="00E96AC2" w:rsidR="00E96AC2">
        <w:rPr>
          <w:sz w:val="22"/>
          <w:szCs w:val="22"/>
        </w:rPr>
        <w:t xml:space="preserve"> pose a risk to the national security or law enforcement interests of the United States.</w:t>
      </w:r>
      <w:r>
        <w:rPr>
          <w:rStyle w:val="FootnoteReference"/>
          <w:szCs w:val="22"/>
        </w:rPr>
        <w:footnoteReference w:id="7"/>
      </w:r>
    </w:p>
    <w:p w:rsidR="00E77864" w:rsidP="0054650E">
      <w:pPr>
        <w:pStyle w:val="Default"/>
        <w:ind w:firstLine="720"/>
        <w:rPr>
          <w:sz w:val="22"/>
          <w:szCs w:val="22"/>
        </w:rPr>
      </w:pPr>
    </w:p>
    <w:p w:rsidR="00286468" w:rsidRPr="00C41A27" w:rsidP="00C41A27">
      <w:pPr>
        <w:pStyle w:val="Default"/>
        <w:ind w:firstLine="720"/>
        <w:rPr>
          <w:color w:val="212121"/>
          <w:sz w:val="22"/>
          <w:szCs w:val="22"/>
        </w:rPr>
      </w:pPr>
      <w:r>
        <w:rPr>
          <w:color w:val="212121"/>
          <w:sz w:val="22"/>
          <w:szCs w:val="22"/>
        </w:rPr>
        <w:t xml:space="preserve">On December 3, 2020, the </w:t>
      </w:r>
      <w:r w:rsidRPr="00286468">
        <w:rPr>
          <w:color w:val="212121"/>
          <w:sz w:val="22"/>
          <w:szCs w:val="22"/>
        </w:rPr>
        <w:t xml:space="preserve">National Telecommunications and Information Administration </w:t>
      </w:r>
      <w:r>
        <w:rPr>
          <w:color w:val="212121"/>
          <w:sz w:val="22"/>
          <w:szCs w:val="22"/>
        </w:rPr>
        <w:t xml:space="preserve">(NTIA) </w:t>
      </w:r>
      <w:r w:rsidRPr="00286468">
        <w:rPr>
          <w:color w:val="212121"/>
          <w:sz w:val="22"/>
          <w:szCs w:val="22"/>
        </w:rPr>
        <w:t>submit</w:t>
      </w:r>
      <w:r>
        <w:rPr>
          <w:color w:val="212121"/>
          <w:sz w:val="22"/>
          <w:szCs w:val="22"/>
        </w:rPr>
        <w:t>ted</w:t>
      </w:r>
      <w:r w:rsidRPr="00286468">
        <w:rPr>
          <w:color w:val="212121"/>
          <w:sz w:val="22"/>
          <w:szCs w:val="22"/>
        </w:rPr>
        <w:t xml:space="preserve"> </w:t>
      </w:r>
      <w:r>
        <w:rPr>
          <w:color w:val="212121"/>
          <w:sz w:val="22"/>
          <w:szCs w:val="22"/>
        </w:rPr>
        <w:t>a</w:t>
      </w:r>
      <w:r w:rsidRPr="00286468">
        <w:rPr>
          <w:color w:val="212121"/>
          <w:sz w:val="22"/>
          <w:szCs w:val="22"/>
        </w:rPr>
        <w:t xml:space="preserve"> Petition to Adopt Conditions to Authorizations and Licenses (Petition) on behalf of the Committee</w:t>
      </w:r>
      <w:r>
        <w:rPr>
          <w:color w:val="212121"/>
          <w:sz w:val="22"/>
          <w:szCs w:val="22"/>
        </w:rPr>
        <w:t>.</w:t>
      </w:r>
      <w:r>
        <w:rPr>
          <w:rStyle w:val="FootnoteReference"/>
          <w:szCs w:val="22"/>
        </w:rPr>
        <w:footnoteReference w:id="8"/>
      </w:r>
      <w:r w:rsidR="000D5BC1">
        <w:rPr>
          <w:color w:val="212121"/>
          <w:sz w:val="22"/>
          <w:szCs w:val="22"/>
        </w:rPr>
        <w:t xml:space="preserve">  In the Petition, NTIA advises the Commission that</w:t>
      </w:r>
      <w:r w:rsidRPr="000D5BC1" w:rsidR="000D5BC1">
        <w:rPr>
          <w:color w:val="212121"/>
          <w:sz w:val="22"/>
          <w:szCs w:val="22"/>
        </w:rPr>
        <w:t xml:space="preserve"> it has no objection to the Commission granting the </w:t>
      </w:r>
      <w:r w:rsidR="00E85276">
        <w:rPr>
          <w:color w:val="212121"/>
          <w:sz w:val="22"/>
          <w:szCs w:val="22"/>
        </w:rPr>
        <w:t>A</w:t>
      </w:r>
      <w:r w:rsidRPr="000D5BC1" w:rsidR="000D5BC1">
        <w:rPr>
          <w:color w:val="212121"/>
          <w:sz w:val="22"/>
          <w:szCs w:val="22"/>
        </w:rPr>
        <w:t xml:space="preserve">pplication </w:t>
      </w:r>
      <w:r w:rsidR="00E85276">
        <w:rPr>
          <w:color w:val="212121"/>
          <w:sz w:val="22"/>
          <w:szCs w:val="22"/>
        </w:rPr>
        <w:t>“</w:t>
      </w:r>
      <w:r w:rsidRPr="000D5BC1" w:rsidR="000D5BC1">
        <w:rPr>
          <w:color w:val="212121"/>
          <w:sz w:val="22"/>
          <w:szCs w:val="22"/>
        </w:rPr>
        <w:t xml:space="preserve">provided that the Commission conditions its </w:t>
      </w:r>
      <w:r w:rsidR="00564FFA">
        <w:rPr>
          <w:color w:val="212121"/>
          <w:sz w:val="22"/>
          <w:szCs w:val="22"/>
        </w:rPr>
        <w:t>approval on the assurance of GCX Holdings Limited, Van</w:t>
      </w:r>
      <w:r w:rsidR="00CB4801">
        <w:rPr>
          <w:color w:val="212121"/>
          <w:sz w:val="22"/>
          <w:szCs w:val="22"/>
        </w:rPr>
        <w:t>c</w:t>
      </w:r>
      <w:r w:rsidR="00564FFA">
        <w:rPr>
          <w:color w:val="212121"/>
          <w:sz w:val="22"/>
          <w:szCs w:val="22"/>
        </w:rPr>
        <w:t>o US, LLC, Vanco Solutions, Inc., Reliance Globalcom Services, Inc., and FLAG Telecom Group Services, Limited…to abide by the commitments and undertakings set forth in the two Letters of Agre</w:t>
      </w:r>
      <w:r w:rsidR="002B4C9C">
        <w:rPr>
          <w:color w:val="212121"/>
          <w:sz w:val="22"/>
          <w:szCs w:val="22"/>
        </w:rPr>
        <w:t>e</w:t>
      </w:r>
      <w:r w:rsidR="00564FFA">
        <w:rPr>
          <w:color w:val="212121"/>
          <w:sz w:val="22"/>
          <w:szCs w:val="22"/>
        </w:rPr>
        <w:t>ment, dated November 25, 2020</w:t>
      </w:r>
      <w:r w:rsidR="00C41A27">
        <w:rPr>
          <w:color w:val="212121"/>
          <w:sz w:val="22"/>
          <w:szCs w:val="22"/>
        </w:rPr>
        <w:t>.</w:t>
      </w:r>
      <w:r w:rsidR="00B31B86">
        <w:rPr>
          <w:color w:val="212121"/>
          <w:sz w:val="22"/>
          <w:szCs w:val="22"/>
        </w:rPr>
        <w:t>”</w:t>
      </w:r>
      <w:r>
        <w:rPr>
          <w:rStyle w:val="FootnoteReference"/>
          <w:szCs w:val="22"/>
        </w:rPr>
        <w:footnoteReference w:id="9"/>
      </w:r>
    </w:p>
    <w:p w:rsidR="005614FA" w:rsidRPr="00A663DB" w:rsidP="005614FA">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663DB" w:rsidRPr="00FE56A1" w:rsidP="00FE56A1">
      <w:pPr>
        <w:widowControl/>
        <w:ind w:firstLine="720"/>
        <w:rPr>
          <w:rFonts w:ascii="Arial" w:hAnsi="Arial" w:cs="Arial"/>
          <w:color w:val="212121"/>
          <w:szCs w:val="22"/>
        </w:rPr>
      </w:pPr>
      <w:r w:rsidRPr="0054650E">
        <w:rPr>
          <w:color w:val="000000"/>
          <w:szCs w:val="22"/>
        </w:rPr>
        <w:t xml:space="preserve">In accordance with the request of </w:t>
      </w:r>
      <w:r w:rsidR="00C41A27">
        <w:rPr>
          <w:color w:val="000000"/>
          <w:szCs w:val="22"/>
        </w:rPr>
        <w:t>NTIA</w:t>
      </w:r>
      <w:r w:rsidRPr="0054650E">
        <w:rPr>
          <w:color w:val="000000"/>
          <w:szCs w:val="22"/>
        </w:rPr>
        <w:t xml:space="preserve"> and in the absence of any objection from the </w:t>
      </w:r>
      <w:r w:rsidRPr="0054650E" w:rsidR="007D3761">
        <w:rPr>
          <w:color w:val="000000"/>
          <w:szCs w:val="22"/>
        </w:rPr>
        <w:t>Applicants</w:t>
      </w:r>
      <w:r w:rsidRPr="0054650E" w:rsidR="003E7B6C">
        <w:rPr>
          <w:color w:val="000000"/>
          <w:szCs w:val="22"/>
        </w:rPr>
        <w:t>,</w:t>
      </w:r>
      <w:r w:rsidRPr="0054650E" w:rsidR="007D3761">
        <w:rPr>
          <w:color w:val="000000"/>
          <w:szCs w:val="22"/>
        </w:rPr>
        <w:t xml:space="preserve"> </w:t>
      </w:r>
      <w:r w:rsidRPr="0054650E">
        <w:rPr>
          <w:color w:val="000000"/>
          <w:szCs w:val="22"/>
        </w:rPr>
        <w:t xml:space="preserve">we grant the </w:t>
      </w:r>
      <w:r w:rsidRPr="0054650E">
        <w:rPr>
          <w:color w:val="212121"/>
          <w:szCs w:val="22"/>
        </w:rPr>
        <w:t>Petition, and,</w:t>
      </w:r>
      <w:r w:rsidRPr="0054650E">
        <w:rPr>
          <w:color w:val="000000"/>
          <w:szCs w:val="22"/>
        </w:rPr>
        <w:t xml:space="preserve"> accordingly, we condition grant of the Application</w:t>
      </w:r>
      <w:r w:rsidRPr="0054650E">
        <w:rPr>
          <w:color w:val="212121"/>
          <w:szCs w:val="22"/>
        </w:rPr>
        <w:t xml:space="preserve"> on compliance by </w:t>
      </w:r>
      <w:r w:rsidR="00AA52F2">
        <w:rPr>
          <w:color w:val="212121"/>
          <w:szCs w:val="22"/>
        </w:rPr>
        <w:t xml:space="preserve">the </w:t>
      </w:r>
      <w:r w:rsidR="0054650E">
        <w:rPr>
          <w:color w:val="212121"/>
          <w:szCs w:val="22"/>
        </w:rPr>
        <w:t>Applicants</w:t>
      </w:r>
      <w:r w:rsidRPr="0054650E">
        <w:rPr>
          <w:color w:val="212121"/>
          <w:szCs w:val="22"/>
        </w:rPr>
        <w:t xml:space="preserve"> with the commitments and undertaking</w:t>
      </w:r>
      <w:r w:rsidRPr="0054650E" w:rsidR="004903BF">
        <w:rPr>
          <w:color w:val="212121"/>
          <w:szCs w:val="22"/>
        </w:rPr>
        <w:t>s</w:t>
      </w:r>
      <w:r w:rsidRPr="0054650E">
        <w:rPr>
          <w:color w:val="212121"/>
          <w:szCs w:val="22"/>
        </w:rPr>
        <w:t xml:space="preserve"> set out in the </w:t>
      </w:r>
      <w:r w:rsidR="0054650E">
        <w:rPr>
          <w:color w:val="212121"/>
          <w:szCs w:val="22"/>
        </w:rPr>
        <w:t>L</w:t>
      </w:r>
      <w:r w:rsidR="002B4C9C">
        <w:rPr>
          <w:color w:val="212121"/>
          <w:szCs w:val="22"/>
        </w:rPr>
        <w:t>etters of Agreement</w:t>
      </w:r>
      <w:r w:rsidR="00FE56A1">
        <w:rPr>
          <w:color w:val="212121"/>
          <w:szCs w:val="22"/>
        </w:rPr>
        <w:t xml:space="preserve"> that appl</w:t>
      </w:r>
      <w:r w:rsidR="00844109">
        <w:rPr>
          <w:color w:val="212121"/>
          <w:szCs w:val="22"/>
        </w:rPr>
        <w:t>y</w:t>
      </w:r>
      <w:r w:rsidR="00FE56A1">
        <w:rPr>
          <w:color w:val="212121"/>
          <w:szCs w:val="22"/>
        </w:rPr>
        <w:t xml:space="preserve"> to the Application</w:t>
      </w:r>
      <w:r w:rsidRPr="0054650E">
        <w:rPr>
          <w:color w:val="212121"/>
          <w:szCs w:val="22"/>
        </w:rPr>
        <w:t>.</w:t>
      </w:r>
      <w:r>
        <w:rPr>
          <w:rStyle w:val="FootnoteReference"/>
          <w:szCs w:val="22"/>
        </w:rPr>
        <w:footnoteReference w:id="10"/>
      </w:r>
      <w:r w:rsidRPr="0054650E">
        <w:rPr>
          <w:color w:val="212121"/>
          <w:szCs w:val="22"/>
        </w:rPr>
        <w:t xml:space="preserve">  A failure to comply with and/or remain in compliance with any of the provisions of the </w:t>
      </w:r>
      <w:r w:rsidRPr="0054650E">
        <w:rPr>
          <w:color w:val="212121"/>
          <w:szCs w:val="22"/>
        </w:rPr>
        <w:t>L</w:t>
      </w:r>
      <w:r w:rsidR="00CB4801">
        <w:rPr>
          <w:color w:val="212121"/>
          <w:szCs w:val="22"/>
        </w:rPr>
        <w:t>etters of Agreement s</w:t>
      </w:r>
      <w:r w:rsidRPr="0054650E">
        <w:rPr>
          <w:color w:val="212121"/>
          <w:szCs w:val="22"/>
        </w:rPr>
        <w:t>hall constitute a failure to meet a condition of th</w:t>
      </w:r>
      <w:r w:rsidRPr="0054650E" w:rsidR="003B366F">
        <w:rPr>
          <w:color w:val="212121"/>
          <w:szCs w:val="22"/>
        </w:rPr>
        <w:t>i</w:t>
      </w:r>
      <w:r w:rsidRPr="0054650E">
        <w:rPr>
          <w:color w:val="212121"/>
          <w:szCs w:val="22"/>
        </w:rPr>
        <w:t>s authorization and thus grounds for declaring the underlying authorizations and licenses terminated without further action on the part of the Commission.  Failure to meet a condition of th</w:t>
      </w:r>
      <w:r w:rsidRPr="0054650E" w:rsidR="007F5818">
        <w:rPr>
          <w:color w:val="212121"/>
          <w:szCs w:val="22"/>
        </w:rPr>
        <w:t>i</w:t>
      </w:r>
      <w:r w:rsidRPr="0054650E">
        <w:rPr>
          <w:color w:val="212121"/>
          <w:szCs w:val="22"/>
        </w:rPr>
        <w:t>s authorization may also result in monetary sanctions or other enforcement action by the Commission.</w:t>
      </w:r>
      <w:r w:rsidRPr="0054650E">
        <w:rPr>
          <w:rFonts w:ascii="Arial" w:hAnsi="Arial" w:cs="Arial"/>
          <w:color w:val="212121"/>
          <w:szCs w:val="22"/>
        </w:rPr>
        <w:t xml:space="preserve">  </w:t>
      </w:r>
    </w:p>
    <w:p w:rsidR="00A663DB" w:rsidP="005614FA">
      <w:pPr>
        <w:widowControl/>
        <w:autoSpaceDE w:val="0"/>
        <w:autoSpaceDN w:val="0"/>
        <w:adjustRightInd w:val="0"/>
        <w:rPr>
          <w:b/>
          <w:color w:val="212121"/>
          <w:szCs w:val="22"/>
          <w:u w:val="single"/>
        </w:rPr>
      </w:pPr>
    </w:p>
    <w:p w:rsidR="005614FA" w:rsidP="005614FA">
      <w:pPr>
        <w:widowControl/>
        <w:autoSpaceDE w:val="0"/>
        <w:autoSpaceDN w:val="0"/>
        <w:adjustRightInd w:val="0"/>
        <w:rPr>
          <w:b/>
          <w:color w:val="212121"/>
          <w:szCs w:val="22"/>
          <w:u w:val="single"/>
        </w:rPr>
      </w:pPr>
      <w:r w:rsidRPr="001330FF">
        <w:rPr>
          <w:b/>
          <w:color w:val="212121"/>
          <w:szCs w:val="22"/>
          <w:u w:val="single"/>
        </w:rPr>
        <w:t xml:space="preserve">Grant of </w:t>
      </w:r>
      <w:r>
        <w:rPr>
          <w:b/>
          <w:color w:val="212121"/>
          <w:szCs w:val="22"/>
          <w:u w:val="single"/>
        </w:rPr>
        <w:t>Application, Subject to Condition</w:t>
      </w:r>
    </w:p>
    <w:p w:rsidR="00A663DB" w:rsidP="00A663DB">
      <w:pPr>
        <w:widowControl/>
        <w:autoSpaceDE w:val="0"/>
        <w:autoSpaceDN w:val="0"/>
        <w:adjustRightInd w:val="0"/>
        <w:rPr>
          <w:b/>
          <w:color w:val="212121"/>
          <w:szCs w:val="22"/>
          <w:u w:val="single"/>
        </w:rPr>
      </w:pPr>
    </w:p>
    <w:p w:rsidR="005614FA" w:rsidP="00A663DB">
      <w:pPr>
        <w:widowControl/>
        <w:autoSpaceDE w:val="0"/>
        <w:autoSpaceDN w:val="0"/>
        <w:adjustRightInd w:val="0"/>
        <w:ind w:firstLine="720"/>
        <w:rPr>
          <w:color w:val="000000"/>
          <w:szCs w:val="22"/>
        </w:rPr>
      </w:pPr>
      <w:r w:rsidRPr="00DB54CA">
        <w:rPr>
          <w:color w:val="000000"/>
        </w:rPr>
        <w:t>We find, upon consideration of the record, that the proposed transfer will serve the public interest, convenience, and necessity</w:t>
      </w:r>
      <w:r w:rsidRPr="00F66D37">
        <w:t>.</w:t>
      </w:r>
      <w:r>
        <w:rPr>
          <w:rStyle w:val="FootnoteReference"/>
        </w:rPr>
        <w:footnoteReference w:id="11"/>
      </w:r>
      <w:r w:rsidRPr="00F66D37">
        <w:t xml:space="preserve">  </w:t>
      </w:r>
      <w:r>
        <w:rPr>
          <w:color w:val="000000"/>
          <w:szCs w:val="22"/>
        </w:rPr>
        <w:t>This grant of the Applicatio</w:t>
      </w:r>
      <w:r w:rsidR="00A40309">
        <w:rPr>
          <w:color w:val="000000"/>
          <w:szCs w:val="22"/>
        </w:rPr>
        <w:t>n</w:t>
      </w:r>
      <w:r>
        <w:rPr>
          <w:color w:val="000000"/>
          <w:szCs w:val="22"/>
        </w:rPr>
        <w:t xml:space="preserve"> and </w:t>
      </w:r>
      <w:r w:rsidR="003B06B7">
        <w:rPr>
          <w:color w:val="000000"/>
          <w:szCs w:val="22"/>
        </w:rPr>
        <w:t xml:space="preserve">the </w:t>
      </w:r>
      <w:r w:rsidR="00A663DB">
        <w:rPr>
          <w:color w:val="000000"/>
          <w:szCs w:val="22"/>
        </w:rPr>
        <w:t>Pet</w:t>
      </w:r>
      <w:r>
        <w:rPr>
          <w:color w:val="000000"/>
          <w:szCs w:val="22"/>
        </w:rPr>
        <w:t xml:space="preserve">ition is conditioned as set out in this Public Notice. </w:t>
      </w:r>
    </w:p>
    <w:p w:rsidR="00D13707" w:rsidRPr="00D12B3C" w:rsidP="005614FA">
      <w:pPr>
        <w:widowControl/>
        <w:autoSpaceDE w:val="0"/>
        <w:autoSpaceDN w:val="0"/>
        <w:adjustRightInd w:val="0"/>
        <w:ind w:firstLine="720"/>
        <w:rPr>
          <w:rFonts w:ascii="TimesNewRomanPSMT" w:hAnsi="TimesNewRomanPSMT" w:cs="TimesNewRomanPSMT"/>
          <w:snapToGrid/>
          <w:kern w:val="0"/>
          <w:szCs w:val="22"/>
        </w:rPr>
      </w:pPr>
    </w:p>
    <w:p w:rsidR="005614FA" w:rsidRPr="00D6557E" w:rsidP="00D6557E">
      <w:pPr>
        <w:pStyle w:val="ParaNum"/>
        <w:numPr>
          <w:ilvl w:val="0"/>
          <w:numId w:val="0"/>
        </w:numPr>
        <w:spacing w:after="0"/>
        <w:ind w:firstLine="720"/>
      </w:pPr>
      <w:r w:rsidRPr="008338CE">
        <w:t xml:space="preserve">Pursuant to sections 214 of the </w:t>
      </w:r>
      <w:r w:rsidR="000009A3">
        <w:t>Act</w:t>
      </w:r>
      <w:r w:rsidRPr="008338CE">
        <w:t xml:space="preserve">, 47 U.S.C. §§ 214 and sections </w:t>
      </w:r>
      <w:r w:rsidRPr="008338CE" w:rsidR="001975FA">
        <w:t>0.91, 0.291</w:t>
      </w:r>
      <w:r w:rsidRPr="008338CE" w:rsidR="00AB2109">
        <w:t xml:space="preserve">, </w:t>
      </w:r>
      <w:r w:rsidRPr="008338CE">
        <w:t>63.</w:t>
      </w:r>
      <w:r w:rsidRPr="008338CE" w:rsidR="00413423">
        <w:t>03</w:t>
      </w:r>
      <w:r w:rsidRPr="008338CE" w:rsidR="00AB2109">
        <w:t>, and 63.</w:t>
      </w:r>
      <w:r w:rsidRPr="008338CE">
        <w:t xml:space="preserve">04 of the Commission’s rules, 47 CFR §§ </w:t>
      </w:r>
      <w:r w:rsidRPr="008338CE" w:rsidR="00276C04">
        <w:t xml:space="preserve">0.91, 0.291, </w:t>
      </w:r>
      <w:r w:rsidRPr="008338CE">
        <w:t>63.</w:t>
      </w:r>
      <w:r w:rsidRPr="008338CE" w:rsidR="00EB2C44">
        <w:t>03</w:t>
      </w:r>
      <w:r w:rsidRPr="008338CE" w:rsidR="00276C04">
        <w:t xml:space="preserve">, and </w:t>
      </w:r>
      <w:r w:rsidRPr="008338CE" w:rsidR="00C01B19">
        <w:t>63.</w:t>
      </w:r>
      <w:r w:rsidRPr="008338CE">
        <w:t xml:space="preserve">04, we grant the Application and </w:t>
      </w:r>
      <w:r w:rsidR="00470E9D">
        <w:t xml:space="preserve">the </w:t>
      </w:r>
      <w:r w:rsidRPr="008338CE">
        <w:t xml:space="preserve">Petition </w:t>
      </w:r>
      <w:r w:rsidR="00A03FAC">
        <w:t xml:space="preserve">with the </w:t>
      </w:r>
      <w:r w:rsidRPr="008338CE">
        <w:t>condition</w:t>
      </w:r>
      <w:r w:rsidR="00861958">
        <w:t xml:space="preserve"> described above</w:t>
      </w:r>
      <w:r w:rsidRPr="008338CE">
        <w:t>.</w:t>
      </w:r>
      <w:r w:rsidRPr="00C7200D">
        <w:t xml:space="preserve"> </w:t>
      </w:r>
      <w:r w:rsidR="00D6557E">
        <w:t xml:space="preserve"> </w:t>
      </w:r>
      <w:r w:rsidRPr="00DB54CA">
        <w:rPr>
          <w:color w:val="000000"/>
        </w:rPr>
        <w:t>Pursuant to section 1.103 of the Commission’s rules, 47 CFR § 1.103, the consent granted herein is effective upon the release of this Public Notice.  Petitions for reconsideration under section 1.106 or applications for review under section 1.115 of the Commission’s rules, 47 CFR §§ 1.106, 1.115, may be filed within 30 days of the date of this Public Notice.</w:t>
      </w:r>
    </w:p>
    <w:p w:rsidR="005614FA" w:rsidP="005614FA">
      <w:pPr>
        <w:widowControl/>
        <w:ind w:firstLine="720"/>
        <w:rPr>
          <w:color w:val="000000"/>
        </w:rPr>
      </w:pPr>
    </w:p>
    <w:p w:rsidR="005614FA" w:rsidRPr="000505D6" w:rsidP="000505D6">
      <w:pPr>
        <w:widowControl/>
        <w:spacing w:after="240"/>
        <w:ind w:firstLine="720"/>
        <w:rPr>
          <w:szCs w:val="22"/>
        </w:rPr>
      </w:pPr>
      <w:r>
        <w:rPr>
          <w:szCs w:val="22"/>
        </w:rPr>
        <w:t xml:space="preserve">For further information, please contact </w:t>
      </w:r>
      <w:r w:rsidR="00C27859">
        <w:rPr>
          <w:szCs w:val="22"/>
        </w:rPr>
        <w:t>Gregory Kwan</w:t>
      </w:r>
      <w:r>
        <w:rPr>
          <w:szCs w:val="22"/>
        </w:rPr>
        <w:t>, Wireline Competition Bureau, (202) 418-1191</w:t>
      </w:r>
      <w:r w:rsidR="00EF5E4D">
        <w:rPr>
          <w:szCs w:val="22"/>
        </w:rPr>
        <w:t>.</w:t>
      </w:r>
    </w:p>
    <w:p w:rsidR="005614FA" w:rsidP="005614FA">
      <w:pPr>
        <w:rPr>
          <w:b/>
          <w:color w:val="000000"/>
          <w:szCs w:val="22"/>
        </w:rPr>
      </w:pPr>
    </w:p>
    <w:p w:rsidR="00930ECF" w:rsidRPr="00930ECF" w:rsidP="002B0207">
      <w:pPr>
        <w:jc w:val="center"/>
        <w:rPr>
          <w:sz w:val="24"/>
        </w:rPr>
      </w:pPr>
      <w:r w:rsidRPr="00D8472B">
        <w:rPr>
          <w:b/>
          <w:color w:val="000000"/>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sidR="00631B7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3745">
      <w:r>
        <w:separator/>
      </w:r>
    </w:p>
  </w:footnote>
  <w:footnote w:type="continuationSeparator" w:id="1">
    <w:p w:rsidR="00CC3745">
      <w:pPr>
        <w:rPr>
          <w:sz w:val="20"/>
        </w:rPr>
      </w:pPr>
      <w:r>
        <w:rPr>
          <w:sz w:val="20"/>
        </w:rPr>
        <w:t xml:space="preserve">(Continued from previous page)  </w:t>
      </w:r>
      <w:r>
        <w:rPr>
          <w:sz w:val="20"/>
        </w:rPr>
        <w:separator/>
      </w:r>
    </w:p>
  </w:footnote>
  <w:footnote w:type="continuationNotice" w:id="2">
    <w:p w:rsidR="00CC3745" w:rsidP="00910F12">
      <w:pPr>
        <w:jc w:val="right"/>
        <w:rPr>
          <w:sz w:val="20"/>
        </w:rPr>
      </w:pPr>
      <w:r>
        <w:rPr>
          <w:sz w:val="20"/>
        </w:rPr>
        <w:t>(continued….)</w:t>
      </w:r>
    </w:p>
  </w:footnote>
  <w:footnote w:id="3">
    <w:p w:rsidR="00A6538C">
      <w:pPr>
        <w:pStyle w:val="FootnoteText"/>
      </w:pPr>
      <w:r>
        <w:rPr>
          <w:rStyle w:val="FootnoteReference"/>
        </w:rPr>
        <w:footnoteRef/>
      </w:r>
      <w:r>
        <w:t xml:space="preserve"> </w:t>
      </w:r>
      <w:r w:rsidRPr="00A6538C">
        <w:t>On September 15, 2019, Vanco US DIP, a Delaware entity, along with its parent company, VNO Direct Limited, a United Kingdom entity, its indirect parent company, GCX Limited DIP, a Bermuda entity (also indirect parent to both Vanco Solutions and RGSI), and certain other affiliates, filed for bankruptcy protection under Chapter 11 of the U.S. Bankruptcy Code in the United States Bankruptcy Court for the District of Delaware.  The Bankruptcy Court has confirmed the bankruptcy plan, dated December 2, 2019</w:t>
      </w:r>
      <w:r w:rsidRPr="00A6538C">
        <w:rPr>
          <w:i/>
          <w:iCs/>
        </w:rPr>
        <w:t>.  Findings of Fact, Conclusions of Law, and Order (I) Approving Debtors’ (A) Disclosure Statement, (B) Solicitation of Votes and Voting Procedures, and (C) Forms of Ballots and (II) Confirming Joint Prepackaged Chapter 11 Plan of GCX Limited and Its Debtor Affiliates</w:t>
      </w:r>
      <w:r w:rsidRPr="00A6538C">
        <w:t>, Case 19-112031-CSS (Doc 203) (Bankr. D. Del).  RGSI and Vanco Solutions are not debtors in any Chapter 11 proceedings.</w:t>
      </w:r>
    </w:p>
  </w:footnote>
  <w:footnote w:id="4">
    <w:p w:rsidR="00D806AA" w:rsidRPr="00204D99" w:rsidP="00F11F96">
      <w:pPr>
        <w:pStyle w:val="FootnoteText"/>
      </w:pPr>
      <w:r w:rsidRPr="00A7404D">
        <w:rPr>
          <w:rStyle w:val="FootnoteReference"/>
          <w:sz w:val="20"/>
        </w:rPr>
        <w:footnoteRef/>
      </w:r>
      <w:r w:rsidRPr="00A7404D">
        <w:t xml:space="preserve"> </w:t>
      </w:r>
      <w:bookmarkStart w:id="2" w:name="_Hlk37410251"/>
      <w:r w:rsidRPr="00A7404D">
        <w:rPr>
          <w:i/>
        </w:rPr>
        <w:t>See</w:t>
      </w:r>
      <w:r w:rsidRPr="00A7404D">
        <w:t xml:space="preserve"> 47 U.S.C. § 214; 47 CFR §§ 63.03-04.  </w:t>
      </w:r>
      <w:bookmarkEnd w:id="2"/>
      <w:r w:rsidRPr="00207939" w:rsidR="00207939">
        <w:t xml:space="preserve">Authorized Carrier Subsidiaries of GCX Limited, Debtor-in-Possession; Application for Consent to Assign </w:t>
      </w:r>
      <w:r w:rsidRPr="00CB4801" w:rsidR="00C41A27">
        <w:t>International and</w:t>
      </w:r>
      <w:r w:rsidR="00C41A27">
        <w:t xml:space="preserve"> </w:t>
      </w:r>
      <w:r w:rsidRPr="00207939" w:rsidR="00207939">
        <w:t xml:space="preserve">Domestic Section 214 Authority and to Transfer Control of Section 214 Authority Holders, WC Docket No. 20-38 (filed Jan. 27, 2020) (Application).  </w:t>
      </w:r>
      <w:r w:rsidRPr="00A7404D" w:rsidR="00016BF1">
        <w:t>A</w:t>
      </w:r>
      <w:r w:rsidR="00016BF1">
        <w:t xml:space="preserve"> grant</w:t>
      </w:r>
      <w:r w:rsidRPr="00A7404D" w:rsidR="00016BF1">
        <w:t xml:space="preserve"> o</w:t>
      </w:r>
      <w:r w:rsidR="00016BF1">
        <w:t>f</w:t>
      </w:r>
      <w:r w:rsidRPr="00A7404D" w:rsidR="00016BF1">
        <w:t xml:space="preserve"> th</w:t>
      </w:r>
      <w:r w:rsidR="00016BF1">
        <w:t>e</w:t>
      </w:r>
      <w:r w:rsidRPr="00A7404D" w:rsidR="00016BF1">
        <w:t xml:space="preserve"> domestic section 214 application is without prejudice to Commission action on other related, pending applications.  </w:t>
      </w:r>
    </w:p>
  </w:footnote>
  <w:footnote w:id="5">
    <w:p w:rsidR="005614FA" w:rsidP="001F1CB2">
      <w:pPr>
        <w:pStyle w:val="FootnoteText"/>
      </w:pPr>
      <w:r>
        <w:rPr>
          <w:rStyle w:val="FootnoteReference"/>
        </w:rPr>
        <w:footnoteRef/>
      </w:r>
      <w:r>
        <w:t xml:space="preserve"> </w:t>
      </w:r>
      <w:r w:rsidRPr="00207939" w:rsidR="00207939">
        <w:rPr>
          <w:i/>
          <w:iCs/>
        </w:rPr>
        <w:t>Domestic Section 214 Application Filed for the Transfer of Control of Vanco US, LLC, Debtor-in-Possession, Vanco Solutions, Inc., and Reliance Globalcom Services, Inc.</w:t>
      </w:r>
      <w:r w:rsidRPr="00207939" w:rsidR="00207939">
        <w:t>, WC Docket No. 20-38</w:t>
      </w:r>
      <w:r w:rsidR="00207939">
        <w:t>, Public Notice, DA 20-149</w:t>
      </w:r>
      <w:r w:rsidRPr="008670A1">
        <w:t xml:space="preserve"> </w:t>
      </w:r>
      <w:r>
        <w:t>(WCB 20</w:t>
      </w:r>
      <w:r w:rsidR="00A51758">
        <w:t>20</w:t>
      </w:r>
      <w:r>
        <w:t xml:space="preserve">).     </w:t>
      </w:r>
    </w:p>
  </w:footnote>
  <w:footnote w:id="6">
    <w:p w:rsidR="005614FA" w:rsidRPr="000009A3" w:rsidP="001F1CB2">
      <w:pPr>
        <w:pStyle w:val="FootnoteText"/>
        <w:rPr>
          <w:color w:val="000000"/>
        </w:rPr>
      </w:pPr>
      <w:r>
        <w:rPr>
          <w:rStyle w:val="FootnoteReference"/>
          <w:color w:val="000000"/>
        </w:rPr>
        <w:footnoteRef/>
      </w:r>
      <w:r>
        <w:rPr>
          <w:color w:val="000000"/>
        </w:rPr>
        <w:t xml:space="preserve">  </w:t>
      </w:r>
      <w:bookmarkStart w:id="3" w:name="_Hlk54947808"/>
      <w:r>
        <w:rPr>
          <w:color w:val="000000"/>
        </w:rPr>
        <w:t xml:space="preserve">Letter from </w:t>
      </w:r>
      <w:r w:rsidR="007F40C5">
        <w:rPr>
          <w:color w:val="000000"/>
        </w:rPr>
        <w:t>Alice Suh Jou</w:t>
      </w:r>
      <w:r>
        <w:rPr>
          <w:color w:val="000000"/>
        </w:rPr>
        <w:t xml:space="preserve">, U.S. Department of Justice, to Marlene H. Dortch, FCC, </w:t>
      </w:r>
      <w:r w:rsidRPr="007F40C5" w:rsidR="007F40C5">
        <w:rPr>
          <w:color w:val="000000"/>
        </w:rPr>
        <w:t>WC Docket No. 20-38</w:t>
      </w:r>
      <w:r w:rsidR="007F40C5">
        <w:rPr>
          <w:color w:val="000000"/>
        </w:rPr>
        <w:t>;</w:t>
      </w:r>
      <w:r w:rsidRPr="007F40C5" w:rsidR="007F40C5">
        <w:rPr>
          <w:color w:val="000000"/>
        </w:rPr>
        <w:t xml:space="preserve"> ITC-ASG-20200127-00015</w:t>
      </w:r>
      <w:r w:rsidR="007F40C5">
        <w:rPr>
          <w:color w:val="000000"/>
        </w:rPr>
        <w:t>;</w:t>
      </w:r>
      <w:r w:rsidRPr="007F40C5" w:rsidR="007F40C5">
        <w:rPr>
          <w:color w:val="000000"/>
        </w:rPr>
        <w:t xml:space="preserve"> ITC-T/C-20200127-00016</w:t>
      </w:r>
      <w:r w:rsidR="007F40C5">
        <w:rPr>
          <w:color w:val="000000"/>
        </w:rPr>
        <w:t>;</w:t>
      </w:r>
      <w:r w:rsidRPr="007F40C5" w:rsidR="007F40C5">
        <w:rPr>
          <w:color w:val="000000"/>
        </w:rPr>
        <w:t xml:space="preserve"> ITC-T/C-20200127-00017</w:t>
      </w:r>
      <w:r w:rsidR="007F40C5">
        <w:rPr>
          <w:color w:val="000000"/>
        </w:rPr>
        <w:t>;</w:t>
      </w:r>
      <w:r w:rsidRPr="007F40C5" w:rsidR="007F40C5">
        <w:rPr>
          <w:color w:val="000000"/>
        </w:rPr>
        <w:t xml:space="preserve"> SCL-ASG-20200127-</w:t>
      </w:r>
      <w:r w:rsidRPr="000D5BC1" w:rsidR="007F40C5">
        <w:rPr>
          <w:color w:val="000000"/>
        </w:rPr>
        <w:t>00005</w:t>
      </w:r>
      <w:r w:rsidR="00441312">
        <w:rPr>
          <w:color w:val="000000"/>
        </w:rPr>
        <w:t xml:space="preserve"> (Feb. 20, 2020)</w:t>
      </w:r>
      <w:r w:rsidRPr="000D5BC1" w:rsidR="007F40C5">
        <w:rPr>
          <w:color w:val="000000"/>
        </w:rPr>
        <w:t xml:space="preserve"> </w:t>
      </w:r>
      <w:r w:rsidRPr="000D5BC1" w:rsidR="00413423">
        <w:rPr>
          <w:color w:val="000000"/>
        </w:rPr>
        <w:t>(</w:t>
      </w:r>
      <w:r w:rsidRPr="000D5BC1" w:rsidR="00413423">
        <w:t xml:space="preserve">on file in WC Docket No. </w:t>
      </w:r>
      <w:r w:rsidRPr="000D5BC1" w:rsidR="007F40C5">
        <w:t>20-38</w:t>
      </w:r>
      <w:r w:rsidRPr="000D5BC1" w:rsidR="00413423">
        <w:t>)</w:t>
      </w:r>
      <w:r w:rsidRPr="000D5BC1">
        <w:rPr>
          <w:color w:val="000000"/>
        </w:rPr>
        <w:t>.</w:t>
      </w:r>
      <w:bookmarkEnd w:id="3"/>
    </w:p>
  </w:footnote>
  <w:footnote w:id="7">
    <w:p w:rsidR="00E96AC2">
      <w:pPr>
        <w:pStyle w:val="FootnoteText"/>
      </w:pPr>
      <w:r>
        <w:rPr>
          <w:rStyle w:val="FootnoteReference"/>
        </w:rPr>
        <w:footnoteRef/>
      </w:r>
      <w:r>
        <w:t xml:space="preserve"> </w:t>
      </w:r>
      <w:r w:rsidRPr="00E96AC2">
        <w:t>Letter from Alice Suh Jou, U.S. Department of Justice, to Marlene H. Dortch, FCC, WC Docket No. 20-38; ITC-ASG-20200127-00015; ITC-T/C-20200127-00016; ITC-T/C-20200127-00017; SCL-ASG-20200127-00005</w:t>
      </w:r>
      <w:r>
        <w:t xml:space="preserve"> </w:t>
      </w:r>
      <w:r w:rsidR="00441312">
        <w:t xml:space="preserve">(Aug. 3, 2020) </w:t>
      </w:r>
      <w:r w:rsidRPr="00E96AC2">
        <w:t>(on file in WC Docket No. 20-38).</w:t>
      </w:r>
    </w:p>
  </w:footnote>
  <w:footnote w:id="8">
    <w:p w:rsidR="000D5BC1" w:rsidP="00286468">
      <w:pPr>
        <w:pStyle w:val="FootnoteText"/>
      </w:pPr>
      <w:r>
        <w:rPr>
          <w:rStyle w:val="FootnoteReference"/>
        </w:rPr>
        <w:footnoteRef/>
      </w:r>
      <w:r>
        <w:t xml:space="preserve"> </w:t>
      </w:r>
      <w:r w:rsidRPr="00286468">
        <w:t>Petition to Adopt Conditions to Authorizations and Licenses</w:t>
      </w:r>
      <w:r>
        <w:rPr>
          <w:color w:val="000000"/>
          <w:sz w:val="24"/>
          <w:szCs w:val="24"/>
        </w:rPr>
        <w:t xml:space="preserve">, </w:t>
      </w:r>
      <w:r w:rsidRPr="00286468">
        <w:t>WC Docket No. 20-38</w:t>
      </w:r>
      <w:r>
        <w:t>;</w:t>
      </w:r>
      <w:r w:rsidRPr="00286468">
        <w:t xml:space="preserve"> ITC-T/C-20200127-00016</w:t>
      </w:r>
      <w:r>
        <w:t xml:space="preserve">; </w:t>
      </w:r>
      <w:r w:rsidRPr="00286468">
        <w:t>ITC-T/C-20200127-00017</w:t>
      </w:r>
      <w:r>
        <w:t>;</w:t>
      </w:r>
      <w:r w:rsidRPr="00286468">
        <w:t xml:space="preserve"> ITC-ASG-20200127-00015</w:t>
      </w:r>
      <w:r>
        <w:t xml:space="preserve">; </w:t>
      </w:r>
      <w:r w:rsidRPr="00286468">
        <w:t>SCL-ASG-20200127-00005</w:t>
      </w:r>
      <w:r>
        <w:t xml:space="preserve"> (</w:t>
      </w:r>
      <w:r w:rsidR="00C41A27">
        <w:t>o</w:t>
      </w:r>
      <w:r>
        <w:t>n file in WC Docket No. 20-38).</w:t>
      </w:r>
    </w:p>
  </w:footnote>
  <w:footnote w:id="9">
    <w:p w:rsidR="00E85276" w:rsidRPr="00E85276">
      <w:pPr>
        <w:pStyle w:val="FootnoteText"/>
      </w:pPr>
      <w:r>
        <w:rPr>
          <w:rStyle w:val="FootnoteReference"/>
        </w:rPr>
        <w:footnoteRef/>
      </w:r>
      <w:r>
        <w:t xml:space="preserve"> </w:t>
      </w:r>
      <w:r w:rsidRPr="002B4C9C" w:rsidR="002B4C9C">
        <w:rPr>
          <w:i/>
          <w:iCs/>
        </w:rPr>
        <w:t>Id</w:t>
      </w:r>
      <w:r w:rsidR="002B4C9C">
        <w:t xml:space="preserve">. </w:t>
      </w:r>
      <w:r>
        <w:t xml:space="preserve">at 3; </w:t>
      </w:r>
      <w:r>
        <w:rPr>
          <w:i/>
          <w:iCs/>
        </w:rPr>
        <w:t>see</w:t>
      </w:r>
      <w:r w:rsidRPr="002B4C9C" w:rsidR="002B4C9C">
        <w:t xml:space="preserve"> </w:t>
      </w:r>
      <w:r w:rsidRPr="00E85276" w:rsidR="002B4C9C">
        <w:t xml:space="preserve">Letter from </w:t>
      </w:r>
      <w:r w:rsidR="002B4C9C">
        <w:t xml:space="preserve">Carl Grivner, GCX Holdings Limited, Janet K. Troxell, Vanco US, LLC, Vanco Solutions, Inc., and Reliance Globalcom Services, Inc., to </w:t>
      </w:r>
      <w:r w:rsidRPr="00E85276" w:rsidR="002B4C9C">
        <w:t>Assistant Attorney General for National Security, U</w:t>
      </w:r>
      <w:r w:rsidR="002B4C9C">
        <w:t xml:space="preserve">.S. </w:t>
      </w:r>
      <w:r w:rsidRPr="00E85276" w:rsidR="002B4C9C">
        <w:t xml:space="preserve">Department of Justice, WC Docket No. </w:t>
      </w:r>
      <w:r w:rsidRPr="00286468" w:rsidR="002B4C9C">
        <w:t>20-38</w:t>
      </w:r>
      <w:r w:rsidRPr="00E85276" w:rsidR="002B4C9C">
        <w:t>;</w:t>
      </w:r>
      <w:r w:rsidRPr="00286468" w:rsidR="002B4C9C">
        <w:t xml:space="preserve"> ITC-T/C-20200127-00016</w:t>
      </w:r>
      <w:r w:rsidRPr="00E85276" w:rsidR="002B4C9C">
        <w:t xml:space="preserve">; </w:t>
      </w:r>
      <w:r w:rsidRPr="00286468" w:rsidR="002B4C9C">
        <w:t>ITC-T/C-20200127-00017</w:t>
      </w:r>
      <w:r w:rsidRPr="00E85276" w:rsidR="002B4C9C">
        <w:t>;</w:t>
      </w:r>
      <w:r w:rsidRPr="00286468" w:rsidR="002B4C9C">
        <w:t xml:space="preserve"> ITC-ASG-20200127-00015</w:t>
      </w:r>
      <w:r w:rsidRPr="00E85276" w:rsidR="002B4C9C">
        <w:t xml:space="preserve"> </w:t>
      </w:r>
      <w:r w:rsidR="002B4C9C">
        <w:t xml:space="preserve">(Nov. 25, 2020) </w:t>
      </w:r>
      <w:r w:rsidRPr="00E85276" w:rsidR="002B4C9C">
        <w:t>(</w:t>
      </w:r>
      <w:r w:rsidR="002B4C9C">
        <w:t>o</w:t>
      </w:r>
      <w:r w:rsidRPr="00E85276" w:rsidR="002B4C9C">
        <w:t>n file in WC Docket No. 20-38)</w:t>
      </w:r>
      <w:r w:rsidR="002B4C9C">
        <w:t>;</w:t>
      </w:r>
      <w:r>
        <w:rPr>
          <w:i/>
          <w:iCs/>
        </w:rPr>
        <w:t xml:space="preserve"> </w:t>
      </w:r>
      <w:r w:rsidRPr="00E85276">
        <w:t xml:space="preserve">Letter from </w:t>
      </w:r>
      <w:r w:rsidR="002B4C9C">
        <w:t xml:space="preserve">Carl Grivner, GCX Holdings Limited, </w:t>
      </w:r>
      <w:r w:rsidRPr="00E85276">
        <w:t xml:space="preserve">to </w:t>
      </w:r>
      <w:r w:rsidR="002B4C9C">
        <w:t>A</w:t>
      </w:r>
      <w:r w:rsidRPr="00E85276">
        <w:t xml:space="preserve">ssistant </w:t>
      </w:r>
      <w:r w:rsidR="002B4C9C">
        <w:t xml:space="preserve">Secretary for Trade and Economic Security, U.S. Department of Homeland Security </w:t>
      </w:r>
      <w:r>
        <w:t xml:space="preserve">(Nov. 25, 2020) </w:t>
      </w:r>
      <w:r w:rsidRPr="00E85276">
        <w:t>(</w:t>
      </w:r>
      <w:r w:rsidR="00C41A27">
        <w:t>o</w:t>
      </w:r>
      <w:r w:rsidRPr="00E85276">
        <w:t>n file in WC Docket No. 20-38).</w:t>
      </w:r>
    </w:p>
  </w:footnote>
  <w:footnote w:id="10">
    <w:p w:rsidR="005614FA" w:rsidRPr="00EE0028" w:rsidP="001F1CB2">
      <w:pPr>
        <w:widowControl/>
        <w:autoSpaceDE w:val="0"/>
        <w:autoSpaceDN w:val="0"/>
        <w:adjustRightInd w:val="0"/>
        <w:spacing w:after="120"/>
      </w:pPr>
      <w:r>
        <w:rPr>
          <w:rStyle w:val="FootnoteReference"/>
        </w:rPr>
        <w:footnoteRef/>
      </w:r>
      <w:r>
        <w:t xml:space="preserve"> </w:t>
      </w:r>
      <w:r w:rsidRPr="00C27859">
        <w:rPr>
          <w:i/>
          <w:iCs/>
          <w:snapToGrid/>
          <w:kern w:val="0"/>
          <w:sz w:val="20"/>
        </w:rPr>
        <w:t>Applications</w:t>
      </w:r>
      <w:r>
        <w:rPr>
          <w:rFonts w:ascii="TimesNewRomanPS-ItalicMT" w:hAnsi="TimesNewRomanPS-ItalicMT" w:cs="TimesNewRomanPS-ItalicMT"/>
          <w:i/>
          <w:iCs/>
          <w:snapToGrid/>
          <w:kern w:val="0"/>
          <w:sz w:val="20"/>
        </w:rPr>
        <w:t xml:space="preserve"> of T-Mobile US, Inc. and Sprint Corporation for Consent to Transfer Control of Licenses and Authorizations, et al.</w:t>
      </w:r>
      <w:r>
        <w:rPr>
          <w:rFonts w:ascii="TimesNewRomanPSMT" w:hAnsi="TimesNewRomanPSMT" w:cs="TimesNewRomanPSMT"/>
          <w:snapToGrid/>
          <w:kern w:val="0"/>
          <w:sz w:val="20"/>
        </w:rPr>
        <w:t>, WT Docket 18-197, Memorandum Opinion and Order, Declaratory Ruling, and Order of Proposed Modification, 34 FCC Rcd 10578, 10732-33, para. 349</w:t>
      </w:r>
      <w:r w:rsidR="00E72298">
        <w:rPr>
          <w:rFonts w:ascii="TimesNewRomanPSMT" w:hAnsi="TimesNewRomanPSMT" w:cs="TimesNewRomanPSMT"/>
          <w:snapToGrid/>
          <w:kern w:val="0"/>
          <w:sz w:val="20"/>
        </w:rPr>
        <w:t xml:space="preserve"> (2019)</w:t>
      </w:r>
      <w:r w:rsidR="000009A3">
        <w:rPr>
          <w:rFonts w:ascii="TimesNewRomanPSMT" w:hAnsi="TimesNewRomanPSMT" w:cs="TimesNewRomanPSMT"/>
          <w:snapToGrid/>
          <w:kern w:val="0"/>
          <w:sz w:val="20"/>
        </w:rPr>
        <w:t xml:space="preserve">; </w:t>
      </w:r>
      <w:r>
        <w:rPr>
          <w:color w:val="000000"/>
        </w:rPr>
        <w:t xml:space="preserve"> </w:t>
      </w:r>
      <w:r w:rsidR="000009A3">
        <w:rPr>
          <w:rFonts w:ascii="TimesNewRomanPS-ItalicMT" w:hAnsi="TimesNewRomanPS-ItalicMT" w:cs="TimesNewRomanPS-ItalicMT"/>
          <w:i/>
          <w:iCs/>
          <w:snapToGrid/>
          <w:kern w:val="0"/>
          <w:sz w:val="20"/>
        </w:rPr>
        <w:t>Rules and Policies on Foreign Participation in the U.S. Telecommunications Market; Market Entry and Regulation of Foreign-Affiliated Entities</w:t>
      </w:r>
      <w:r w:rsidR="000009A3">
        <w:rPr>
          <w:rFonts w:ascii="TimesNewRomanPSMT" w:hAnsi="TimesNewRomanPSMT" w:cs="TimesNewRomanPSMT"/>
          <w:snapToGrid/>
          <w:kern w:val="0"/>
          <w:sz w:val="20"/>
        </w:rPr>
        <w:t>, Report and Order and Order on Reconsideration, 12 FCC Rcd 23891, 23918-21, paras. 59-66 (1997) (</w:t>
      </w:r>
      <w:r w:rsidR="000009A3">
        <w:rPr>
          <w:rFonts w:ascii="TimesNewRomanPS-ItalicMT" w:hAnsi="TimesNewRomanPS-ItalicMT" w:cs="TimesNewRomanPS-ItalicMT"/>
          <w:i/>
          <w:iCs/>
          <w:snapToGrid/>
          <w:kern w:val="0"/>
          <w:sz w:val="20"/>
        </w:rPr>
        <w:t>Foreign Participation Order</w:t>
      </w:r>
      <w:r w:rsidR="000009A3">
        <w:rPr>
          <w:rFonts w:ascii="TimesNewRomanPSMT" w:hAnsi="TimesNewRomanPSMT" w:cs="TimesNewRomanPSMT"/>
          <w:snapToGrid/>
          <w:kern w:val="0"/>
          <w:sz w:val="20"/>
        </w:rPr>
        <w:t xml:space="preserve">), </w:t>
      </w:r>
      <w:r w:rsidR="000009A3">
        <w:rPr>
          <w:rFonts w:ascii="TimesNewRomanPS-ItalicMT" w:hAnsi="TimesNewRomanPS-ItalicMT" w:cs="TimesNewRomanPS-ItalicMT"/>
          <w:i/>
          <w:iCs/>
          <w:snapToGrid/>
          <w:kern w:val="0"/>
          <w:sz w:val="20"/>
        </w:rPr>
        <w:t>recon. denied</w:t>
      </w:r>
      <w:r w:rsidR="000009A3">
        <w:rPr>
          <w:rFonts w:ascii="TimesNewRomanPSMT" w:hAnsi="TimesNewRomanPSMT" w:cs="TimesNewRomanPSMT"/>
          <w:snapToGrid/>
          <w:kern w:val="0"/>
          <w:sz w:val="20"/>
        </w:rPr>
        <w:t>, 15 FCC Rcd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applications for international section 214 authority, submarine cable landing licenses, and declaratory rulings to exceed the foreign ownership benchmarks of section 310(b) of the Act))</w:t>
      </w:r>
      <w:r w:rsidR="000009A3">
        <w:rPr>
          <w:color w:val="000000"/>
        </w:rPr>
        <w:t xml:space="preserve">.  </w:t>
      </w:r>
      <w:r>
        <w:rPr>
          <w:color w:val="000000"/>
        </w:rPr>
        <w:t xml:space="preserve"> </w:t>
      </w:r>
    </w:p>
  </w:footnote>
  <w:footnote w:id="11">
    <w:p w:rsidR="00353A57">
      <w:pPr>
        <w:pStyle w:val="FootnoteText"/>
      </w:pPr>
      <w:r>
        <w:rPr>
          <w:rStyle w:val="FootnoteReference"/>
        </w:rPr>
        <w:footnoteRef/>
      </w:r>
      <w:r>
        <w:t xml:space="preserve"> </w:t>
      </w:r>
      <w:r w:rsidRPr="00A7404D" w:rsidR="00377C00">
        <w:rPr>
          <w:i/>
        </w:rPr>
        <w:t>See</w:t>
      </w:r>
      <w:r w:rsidRPr="00A7404D" w:rsidR="00377C00">
        <w:t xml:space="preserve"> 47 U.S.C. § 214</w:t>
      </w:r>
      <w:r w:rsidR="00E70C9B">
        <w:t>(a)</w:t>
      </w:r>
      <w:r w:rsidRPr="00A7404D" w:rsidR="00377C00">
        <w:t xml:space="preserve">; 47 CFR § 63.03.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45 L St., N.E.</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75796D0F" w:rsidR="00C31891">
      <w:rPr>
        <w:rFonts w:ascii="Arial" w:hAnsi="Arial" w:cs="Arial"/>
        <w:b/>
        <w:bCs/>
        <w:sz w:val="96"/>
        <w:szCs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833.6pt,56.7pt" to="1301.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FA"/>
    <w:rsid w:val="000009A3"/>
    <w:rsid w:val="000072CE"/>
    <w:rsid w:val="00013A8B"/>
    <w:rsid w:val="00016BF1"/>
    <w:rsid w:val="00021252"/>
    <w:rsid w:val="00021445"/>
    <w:rsid w:val="00023E9D"/>
    <w:rsid w:val="000326B7"/>
    <w:rsid w:val="00036039"/>
    <w:rsid w:val="00037F90"/>
    <w:rsid w:val="00044FC2"/>
    <w:rsid w:val="0004637E"/>
    <w:rsid w:val="000505D6"/>
    <w:rsid w:val="000578D9"/>
    <w:rsid w:val="000654FE"/>
    <w:rsid w:val="0007304F"/>
    <w:rsid w:val="000875BF"/>
    <w:rsid w:val="00090879"/>
    <w:rsid w:val="00096D8C"/>
    <w:rsid w:val="000A719C"/>
    <w:rsid w:val="000B206F"/>
    <w:rsid w:val="000C0B65"/>
    <w:rsid w:val="000D50EB"/>
    <w:rsid w:val="000D5BC1"/>
    <w:rsid w:val="000E3D42"/>
    <w:rsid w:val="000E5884"/>
    <w:rsid w:val="000E6601"/>
    <w:rsid w:val="000F248A"/>
    <w:rsid w:val="000F70F5"/>
    <w:rsid w:val="000F7336"/>
    <w:rsid w:val="000F7AFB"/>
    <w:rsid w:val="00114C73"/>
    <w:rsid w:val="00122BD5"/>
    <w:rsid w:val="0012361D"/>
    <w:rsid w:val="001330FF"/>
    <w:rsid w:val="001415BA"/>
    <w:rsid w:val="001539F3"/>
    <w:rsid w:val="001541A8"/>
    <w:rsid w:val="00154EB8"/>
    <w:rsid w:val="00164FFA"/>
    <w:rsid w:val="00181174"/>
    <w:rsid w:val="001975FA"/>
    <w:rsid w:val="001979D9"/>
    <w:rsid w:val="001A0E9C"/>
    <w:rsid w:val="001A6361"/>
    <w:rsid w:val="001B158F"/>
    <w:rsid w:val="001C4655"/>
    <w:rsid w:val="001D6BCF"/>
    <w:rsid w:val="001E01CA"/>
    <w:rsid w:val="001F1CB2"/>
    <w:rsid w:val="001F1FC6"/>
    <w:rsid w:val="001F1FF1"/>
    <w:rsid w:val="001F3582"/>
    <w:rsid w:val="00204D99"/>
    <w:rsid w:val="002060D9"/>
    <w:rsid w:val="00206137"/>
    <w:rsid w:val="002078DE"/>
    <w:rsid w:val="00207939"/>
    <w:rsid w:val="00215AF2"/>
    <w:rsid w:val="0021655B"/>
    <w:rsid w:val="00224DB8"/>
    <w:rsid w:val="0022664E"/>
    <w:rsid w:val="00226822"/>
    <w:rsid w:val="00227E61"/>
    <w:rsid w:val="002334CD"/>
    <w:rsid w:val="00240A9F"/>
    <w:rsid w:val="00242F44"/>
    <w:rsid w:val="00245087"/>
    <w:rsid w:val="002456F6"/>
    <w:rsid w:val="0025072B"/>
    <w:rsid w:val="0025082C"/>
    <w:rsid w:val="00254E19"/>
    <w:rsid w:val="002572DC"/>
    <w:rsid w:val="00260594"/>
    <w:rsid w:val="00264313"/>
    <w:rsid w:val="00276C04"/>
    <w:rsid w:val="00280975"/>
    <w:rsid w:val="00285017"/>
    <w:rsid w:val="00286468"/>
    <w:rsid w:val="002A03DD"/>
    <w:rsid w:val="002A2D2E"/>
    <w:rsid w:val="002A6D6A"/>
    <w:rsid w:val="002B0207"/>
    <w:rsid w:val="002B4C9C"/>
    <w:rsid w:val="002C1AF9"/>
    <w:rsid w:val="002D447E"/>
    <w:rsid w:val="002D62DD"/>
    <w:rsid w:val="002D7A48"/>
    <w:rsid w:val="002F2339"/>
    <w:rsid w:val="002F7221"/>
    <w:rsid w:val="00307030"/>
    <w:rsid w:val="0031328E"/>
    <w:rsid w:val="0032799C"/>
    <w:rsid w:val="00327A84"/>
    <w:rsid w:val="00343749"/>
    <w:rsid w:val="00344102"/>
    <w:rsid w:val="00353A57"/>
    <w:rsid w:val="00357D50"/>
    <w:rsid w:val="003602FC"/>
    <w:rsid w:val="00377C00"/>
    <w:rsid w:val="00381FE8"/>
    <w:rsid w:val="003925DC"/>
    <w:rsid w:val="00395F38"/>
    <w:rsid w:val="0039668F"/>
    <w:rsid w:val="003A3FC6"/>
    <w:rsid w:val="003A49D1"/>
    <w:rsid w:val="003B0550"/>
    <w:rsid w:val="003B06B7"/>
    <w:rsid w:val="003B28FF"/>
    <w:rsid w:val="003B366F"/>
    <w:rsid w:val="003B694F"/>
    <w:rsid w:val="003C2436"/>
    <w:rsid w:val="003C47B1"/>
    <w:rsid w:val="003C589A"/>
    <w:rsid w:val="003E7B6C"/>
    <w:rsid w:val="003F171C"/>
    <w:rsid w:val="00402A03"/>
    <w:rsid w:val="00403231"/>
    <w:rsid w:val="00412582"/>
    <w:rsid w:val="00412FC5"/>
    <w:rsid w:val="00413423"/>
    <w:rsid w:val="00422276"/>
    <w:rsid w:val="004242F1"/>
    <w:rsid w:val="004243FE"/>
    <w:rsid w:val="00441312"/>
    <w:rsid w:val="00445A00"/>
    <w:rsid w:val="00451B0F"/>
    <w:rsid w:val="0046125F"/>
    <w:rsid w:val="00462520"/>
    <w:rsid w:val="00466B8E"/>
    <w:rsid w:val="0046783E"/>
    <w:rsid w:val="00470E9D"/>
    <w:rsid w:val="004806FB"/>
    <w:rsid w:val="004872D0"/>
    <w:rsid w:val="00487524"/>
    <w:rsid w:val="004876D1"/>
    <w:rsid w:val="004903BF"/>
    <w:rsid w:val="004928F5"/>
    <w:rsid w:val="004943CA"/>
    <w:rsid w:val="0049488B"/>
    <w:rsid w:val="00496106"/>
    <w:rsid w:val="004A660E"/>
    <w:rsid w:val="004B091D"/>
    <w:rsid w:val="004B6492"/>
    <w:rsid w:val="004C12D0"/>
    <w:rsid w:val="004C2EE3"/>
    <w:rsid w:val="004C3FFB"/>
    <w:rsid w:val="004D22C3"/>
    <w:rsid w:val="004E4A22"/>
    <w:rsid w:val="004F4239"/>
    <w:rsid w:val="00511968"/>
    <w:rsid w:val="00516C98"/>
    <w:rsid w:val="0052214B"/>
    <w:rsid w:val="00525F91"/>
    <w:rsid w:val="00536CF8"/>
    <w:rsid w:val="0054650E"/>
    <w:rsid w:val="00550354"/>
    <w:rsid w:val="0055614C"/>
    <w:rsid w:val="005614FA"/>
    <w:rsid w:val="00563C1F"/>
    <w:rsid w:val="00564FFA"/>
    <w:rsid w:val="00577322"/>
    <w:rsid w:val="00577BFF"/>
    <w:rsid w:val="00581C61"/>
    <w:rsid w:val="00595381"/>
    <w:rsid w:val="005A0BF4"/>
    <w:rsid w:val="005A3062"/>
    <w:rsid w:val="005A4610"/>
    <w:rsid w:val="005C680A"/>
    <w:rsid w:val="005C7EF4"/>
    <w:rsid w:val="005D0403"/>
    <w:rsid w:val="005E347C"/>
    <w:rsid w:val="005E5F6A"/>
    <w:rsid w:val="005E74A9"/>
    <w:rsid w:val="00607BA5"/>
    <w:rsid w:val="006126AF"/>
    <w:rsid w:val="00620DBB"/>
    <w:rsid w:val="00620F82"/>
    <w:rsid w:val="00621457"/>
    <w:rsid w:val="00626EB6"/>
    <w:rsid w:val="006275B0"/>
    <w:rsid w:val="00631B71"/>
    <w:rsid w:val="006353A3"/>
    <w:rsid w:val="00642E7B"/>
    <w:rsid w:val="00643878"/>
    <w:rsid w:val="00655D03"/>
    <w:rsid w:val="00664AB4"/>
    <w:rsid w:val="00675E8A"/>
    <w:rsid w:val="00683F84"/>
    <w:rsid w:val="00684738"/>
    <w:rsid w:val="006A6A81"/>
    <w:rsid w:val="006B5D0A"/>
    <w:rsid w:val="006B6F46"/>
    <w:rsid w:val="006C47FA"/>
    <w:rsid w:val="006C7A94"/>
    <w:rsid w:val="006D40DD"/>
    <w:rsid w:val="006D760F"/>
    <w:rsid w:val="006E26AF"/>
    <w:rsid w:val="006E57B3"/>
    <w:rsid w:val="006F1183"/>
    <w:rsid w:val="006F7393"/>
    <w:rsid w:val="00701094"/>
    <w:rsid w:val="0070224F"/>
    <w:rsid w:val="00703BB5"/>
    <w:rsid w:val="0070486C"/>
    <w:rsid w:val="007115F7"/>
    <w:rsid w:val="00725674"/>
    <w:rsid w:val="00726F80"/>
    <w:rsid w:val="00762FC4"/>
    <w:rsid w:val="007668C8"/>
    <w:rsid w:val="00780E7D"/>
    <w:rsid w:val="00785689"/>
    <w:rsid w:val="0079754B"/>
    <w:rsid w:val="007A0B06"/>
    <w:rsid w:val="007A1E6D"/>
    <w:rsid w:val="007B1170"/>
    <w:rsid w:val="007B72F9"/>
    <w:rsid w:val="007C2228"/>
    <w:rsid w:val="007C4371"/>
    <w:rsid w:val="007C5078"/>
    <w:rsid w:val="007C53B3"/>
    <w:rsid w:val="007C674D"/>
    <w:rsid w:val="007D3761"/>
    <w:rsid w:val="007D6054"/>
    <w:rsid w:val="007F0DBB"/>
    <w:rsid w:val="007F29ED"/>
    <w:rsid w:val="007F40C5"/>
    <w:rsid w:val="007F5818"/>
    <w:rsid w:val="00801FDC"/>
    <w:rsid w:val="008068FD"/>
    <w:rsid w:val="00822CE0"/>
    <w:rsid w:val="00825E7D"/>
    <w:rsid w:val="008275B8"/>
    <w:rsid w:val="0083155B"/>
    <w:rsid w:val="008338CE"/>
    <w:rsid w:val="00837C62"/>
    <w:rsid w:val="00841404"/>
    <w:rsid w:val="00841AB1"/>
    <w:rsid w:val="00844109"/>
    <w:rsid w:val="0084412A"/>
    <w:rsid w:val="00845944"/>
    <w:rsid w:val="00851E64"/>
    <w:rsid w:val="0086068D"/>
    <w:rsid w:val="00861958"/>
    <w:rsid w:val="008670A1"/>
    <w:rsid w:val="00880549"/>
    <w:rsid w:val="00885346"/>
    <w:rsid w:val="00890537"/>
    <w:rsid w:val="008928B0"/>
    <w:rsid w:val="00892BEE"/>
    <w:rsid w:val="0089722C"/>
    <w:rsid w:val="008B3DC7"/>
    <w:rsid w:val="008C22FD"/>
    <w:rsid w:val="008C2513"/>
    <w:rsid w:val="008D327D"/>
    <w:rsid w:val="008E5D2B"/>
    <w:rsid w:val="00910F12"/>
    <w:rsid w:val="0091539A"/>
    <w:rsid w:val="0091650F"/>
    <w:rsid w:val="00923F59"/>
    <w:rsid w:val="00925ACF"/>
    <w:rsid w:val="00926397"/>
    <w:rsid w:val="00926503"/>
    <w:rsid w:val="0092692D"/>
    <w:rsid w:val="00926C1D"/>
    <w:rsid w:val="00930ECF"/>
    <w:rsid w:val="0093267F"/>
    <w:rsid w:val="009432A3"/>
    <w:rsid w:val="00943407"/>
    <w:rsid w:val="00943B23"/>
    <w:rsid w:val="0095053C"/>
    <w:rsid w:val="009713DD"/>
    <w:rsid w:val="00976129"/>
    <w:rsid w:val="009801F8"/>
    <w:rsid w:val="009838BC"/>
    <w:rsid w:val="009A65B8"/>
    <w:rsid w:val="009A685A"/>
    <w:rsid w:val="009B3988"/>
    <w:rsid w:val="009B63B0"/>
    <w:rsid w:val="009C448A"/>
    <w:rsid w:val="009C73EF"/>
    <w:rsid w:val="009D36AB"/>
    <w:rsid w:val="009E0A80"/>
    <w:rsid w:val="009F1761"/>
    <w:rsid w:val="00A03FAC"/>
    <w:rsid w:val="00A06E7E"/>
    <w:rsid w:val="00A13DDC"/>
    <w:rsid w:val="00A164EA"/>
    <w:rsid w:val="00A351CE"/>
    <w:rsid w:val="00A40309"/>
    <w:rsid w:val="00A45F4F"/>
    <w:rsid w:val="00A51758"/>
    <w:rsid w:val="00A600A9"/>
    <w:rsid w:val="00A61E25"/>
    <w:rsid w:val="00A6263A"/>
    <w:rsid w:val="00A6329B"/>
    <w:rsid w:val="00A6538C"/>
    <w:rsid w:val="00A663DB"/>
    <w:rsid w:val="00A7404D"/>
    <w:rsid w:val="00A84BCC"/>
    <w:rsid w:val="00A8620D"/>
    <w:rsid w:val="00A866AC"/>
    <w:rsid w:val="00A922E8"/>
    <w:rsid w:val="00A92F17"/>
    <w:rsid w:val="00A950E2"/>
    <w:rsid w:val="00AA52F2"/>
    <w:rsid w:val="00AA55B7"/>
    <w:rsid w:val="00AA5B9E"/>
    <w:rsid w:val="00AB2109"/>
    <w:rsid w:val="00AB2407"/>
    <w:rsid w:val="00AB53DF"/>
    <w:rsid w:val="00AB61ED"/>
    <w:rsid w:val="00AB7889"/>
    <w:rsid w:val="00AD50D4"/>
    <w:rsid w:val="00AD62E9"/>
    <w:rsid w:val="00AE47E9"/>
    <w:rsid w:val="00AF2B5C"/>
    <w:rsid w:val="00B07E5C"/>
    <w:rsid w:val="00B31B86"/>
    <w:rsid w:val="00B326E3"/>
    <w:rsid w:val="00B3351F"/>
    <w:rsid w:val="00B36901"/>
    <w:rsid w:val="00B43169"/>
    <w:rsid w:val="00B44339"/>
    <w:rsid w:val="00B47261"/>
    <w:rsid w:val="00B61C60"/>
    <w:rsid w:val="00B7124D"/>
    <w:rsid w:val="00B73C0C"/>
    <w:rsid w:val="00B74EB4"/>
    <w:rsid w:val="00B811F7"/>
    <w:rsid w:val="00B82285"/>
    <w:rsid w:val="00B84BD2"/>
    <w:rsid w:val="00B959E6"/>
    <w:rsid w:val="00BA1383"/>
    <w:rsid w:val="00BA5DC6"/>
    <w:rsid w:val="00BA6196"/>
    <w:rsid w:val="00BB4022"/>
    <w:rsid w:val="00BC6D8C"/>
    <w:rsid w:val="00BD1F31"/>
    <w:rsid w:val="00BD38DB"/>
    <w:rsid w:val="00BD5994"/>
    <w:rsid w:val="00C01B19"/>
    <w:rsid w:val="00C07140"/>
    <w:rsid w:val="00C14E8F"/>
    <w:rsid w:val="00C16AF2"/>
    <w:rsid w:val="00C24DD2"/>
    <w:rsid w:val="00C27859"/>
    <w:rsid w:val="00C31891"/>
    <w:rsid w:val="00C34006"/>
    <w:rsid w:val="00C35272"/>
    <w:rsid w:val="00C360F5"/>
    <w:rsid w:val="00C367FB"/>
    <w:rsid w:val="00C41A27"/>
    <w:rsid w:val="00C426B1"/>
    <w:rsid w:val="00C4665E"/>
    <w:rsid w:val="00C50A2E"/>
    <w:rsid w:val="00C70F5B"/>
    <w:rsid w:val="00C7200D"/>
    <w:rsid w:val="00C7222F"/>
    <w:rsid w:val="00C82B6B"/>
    <w:rsid w:val="00C90D6A"/>
    <w:rsid w:val="00CB14D4"/>
    <w:rsid w:val="00CB4801"/>
    <w:rsid w:val="00CC3745"/>
    <w:rsid w:val="00CC60EB"/>
    <w:rsid w:val="00CC6A10"/>
    <w:rsid w:val="00CC72B6"/>
    <w:rsid w:val="00CD5655"/>
    <w:rsid w:val="00CE359D"/>
    <w:rsid w:val="00CF1A56"/>
    <w:rsid w:val="00D0218D"/>
    <w:rsid w:val="00D04868"/>
    <w:rsid w:val="00D12B3C"/>
    <w:rsid w:val="00D13707"/>
    <w:rsid w:val="00D216CD"/>
    <w:rsid w:val="00D238CC"/>
    <w:rsid w:val="00D351CC"/>
    <w:rsid w:val="00D51481"/>
    <w:rsid w:val="00D53ADF"/>
    <w:rsid w:val="00D6557E"/>
    <w:rsid w:val="00D76953"/>
    <w:rsid w:val="00D806AA"/>
    <w:rsid w:val="00D8081B"/>
    <w:rsid w:val="00D8472B"/>
    <w:rsid w:val="00D851AB"/>
    <w:rsid w:val="00D90DAC"/>
    <w:rsid w:val="00DA07AA"/>
    <w:rsid w:val="00DA2529"/>
    <w:rsid w:val="00DA455F"/>
    <w:rsid w:val="00DA77F0"/>
    <w:rsid w:val="00DB130A"/>
    <w:rsid w:val="00DB36BF"/>
    <w:rsid w:val="00DB54CA"/>
    <w:rsid w:val="00DC10A1"/>
    <w:rsid w:val="00DC44DE"/>
    <w:rsid w:val="00DC53B1"/>
    <w:rsid w:val="00DC655F"/>
    <w:rsid w:val="00DD0336"/>
    <w:rsid w:val="00DD0F22"/>
    <w:rsid w:val="00DD7EBD"/>
    <w:rsid w:val="00DE0D04"/>
    <w:rsid w:val="00DE4B07"/>
    <w:rsid w:val="00DF1B24"/>
    <w:rsid w:val="00DF4E87"/>
    <w:rsid w:val="00DF62B6"/>
    <w:rsid w:val="00E07225"/>
    <w:rsid w:val="00E155B7"/>
    <w:rsid w:val="00E15AD6"/>
    <w:rsid w:val="00E15F88"/>
    <w:rsid w:val="00E17865"/>
    <w:rsid w:val="00E50F11"/>
    <w:rsid w:val="00E5409F"/>
    <w:rsid w:val="00E63E9C"/>
    <w:rsid w:val="00E65904"/>
    <w:rsid w:val="00E70C9B"/>
    <w:rsid w:val="00E72298"/>
    <w:rsid w:val="00E743F2"/>
    <w:rsid w:val="00E77864"/>
    <w:rsid w:val="00E85276"/>
    <w:rsid w:val="00E87847"/>
    <w:rsid w:val="00E96AC2"/>
    <w:rsid w:val="00E96B4B"/>
    <w:rsid w:val="00EA1D70"/>
    <w:rsid w:val="00EB08CE"/>
    <w:rsid w:val="00EB2C44"/>
    <w:rsid w:val="00EC0185"/>
    <w:rsid w:val="00ED05B6"/>
    <w:rsid w:val="00ED33DB"/>
    <w:rsid w:val="00ED6F96"/>
    <w:rsid w:val="00EE0028"/>
    <w:rsid w:val="00EE6ADD"/>
    <w:rsid w:val="00EF5E4D"/>
    <w:rsid w:val="00F021FA"/>
    <w:rsid w:val="00F03EE6"/>
    <w:rsid w:val="00F051B1"/>
    <w:rsid w:val="00F11F96"/>
    <w:rsid w:val="00F14D69"/>
    <w:rsid w:val="00F1632C"/>
    <w:rsid w:val="00F311FC"/>
    <w:rsid w:val="00F37BD3"/>
    <w:rsid w:val="00F446CC"/>
    <w:rsid w:val="00F5223B"/>
    <w:rsid w:val="00F57ACA"/>
    <w:rsid w:val="00F62E97"/>
    <w:rsid w:val="00F64209"/>
    <w:rsid w:val="00F65711"/>
    <w:rsid w:val="00F66D37"/>
    <w:rsid w:val="00F72B31"/>
    <w:rsid w:val="00F73399"/>
    <w:rsid w:val="00F93BF5"/>
    <w:rsid w:val="00F96438"/>
    <w:rsid w:val="00F96F63"/>
    <w:rsid w:val="00FA3284"/>
    <w:rsid w:val="00FB3EDD"/>
    <w:rsid w:val="00FC392C"/>
    <w:rsid w:val="00FC565D"/>
    <w:rsid w:val="00FE56A1"/>
    <w:rsid w:val="00FF7A37"/>
    <w:rsid w:val="75796D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27D4BA-3978-4C99-8903-819DD7BF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styleId="PlaceholderText">
    <w:name w:val="Placeholder Text"/>
    <w:uiPriority w:val="99"/>
    <w:semiHidden/>
    <w:rsid w:val="00377C00"/>
    <w:rPr>
      <w:color w:val="808080"/>
    </w:rPr>
  </w:style>
  <w:style w:type="paragraph" w:customStyle="1" w:styleId="Default">
    <w:name w:val="Default"/>
    <w:rsid w:val="000D50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