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F2506F" w:rsidRPr="00081313" w:rsidP="00F2506F" w14:paraId="7FD63E3F" w14:textId="558B2B11">
      <w:pPr>
        <w:jc w:val="right"/>
        <w:rPr>
          <w:b/>
          <w:szCs w:val="22"/>
        </w:rPr>
      </w:pPr>
      <w:r w:rsidRPr="00081313">
        <w:rPr>
          <w:b/>
          <w:szCs w:val="22"/>
        </w:rPr>
        <w:t xml:space="preserve">DA </w:t>
      </w:r>
      <w:r w:rsidRPr="00383634">
        <w:rPr>
          <w:b/>
          <w:szCs w:val="22"/>
        </w:rPr>
        <w:t>20-</w:t>
      </w:r>
      <w:r w:rsidR="00BC1AF4">
        <w:rPr>
          <w:b/>
          <w:szCs w:val="22"/>
        </w:rPr>
        <w:t>1460</w:t>
      </w:r>
    </w:p>
    <w:p w:rsidR="00F2506F" w:rsidRPr="00081313" w:rsidP="00F2506F" w14:paraId="591EE747" w14:textId="799CA10B">
      <w:pPr>
        <w:spacing w:before="60"/>
        <w:jc w:val="right"/>
        <w:rPr>
          <w:b/>
          <w:szCs w:val="22"/>
        </w:rPr>
      </w:pPr>
      <w:r w:rsidRPr="00081313">
        <w:rPr>
          <w:b/>
          <w:szCs w:val="22"/>
        </w:rPr>
        <w:t xml:space="preserve">Released:  </w:t>
      </w:r>
      <w:r w:rsidR="00C6381E">
        <w:rPr>
          <w:b/>
          <w:szCs w:val="22"/>
        </w:rPr>
        <w:t xml:space="preserve">December </w:t>
      </w:r>
      <w:r w:rsidR="008B68C6">
        <w:rPr>
          <w:b/>
          <w:szCs w:val="22"/>
        </w:rPr>
        <w:t>7</w:t>
      </w:r>
      <w:r w:rsidR="00C6381E">
        <w:rPr>
          <w:b/>
          <w:szCs w:val="22"/>
        </w:rPr>
        <w:t>, 2020</w:t>
      </w:r>
    </w:p>
    <w:p w:rsidR="00F2506F" w:rsidRPr="00081313" w:rsidP="00F2506F" w14:paraId="119B7A51" w14:textId="77777777">
      <w:pPr>
        <w:jc w:val="right"/>
        <w:rPr>
          <w:szCs w:val="22"/>
        </w:rPr>
      </w:pPr>
    </w:p>
    <w:p w:rsidR="00F2506F" w:rsidRPr="00DC45A0" w:rsidP="00F2506F" w14:paraId="14B04201" w14:textId="626574E7">
      <w:pPr>
        <w:widowControl/>
        <w:spacing w:after="240"/>
        <w:jc w:val="center"/>
        <w:rPr>
          <w:b/>
          <w:caps/>
          <w:sz w:val="24"/>
          <w:szCs w:val="24"/>
        </w:rPr>
      </w:pPr>
      <w:r w:rsidRPr="00DC45A0">
        <w:rPr>
          <w:b/>
          <w:caps/>
          <w:sz w:val="24"/>
          <w:szCs w:val="24"/>
        </w:rPr>
        <w:t xml:space="preserve">office of economics and analytics </w:t>
      </w:r>
      <w:r w:rsidRPr="00DC45A0" w:rsidR="00C6381E">
        <w:rPr>
          <w:b/>
          <w:caps/>
          <w:sz w:val="24"/>
          <w:szCs w:val="24"/>
        </w:rPr>
        <w:t xml:space="preserve">REminds </w:t>
      </w:r>
      <w:r w:rsidRPr="00DC45A0" w:rsidR="00142222">
        <w:rPr>
          <w:b/>
          <w:caps/>
          <w:sz w:val="24"/>
          <w:szCs w:val="24"/>
        </w:rPr>
        <w:t xml:space="preserve">Providers that Form 477 </w:t>
      </w:r>
      <w:r w:rsidR="00D621A3">
        <w:rPr>
          <w:b/>
          <w:caps/>
          <w:sz w:val="24"/>
          <w:szCs w:val="24"/>
        </w:rPr>
        <w:t xml:space="preserve">mobile speed and coverage data are </w:t>
      </w:r>
      <w:r w:rsidRPr="00DC45A0" w:rsidR="00142222">
        <w:rPr>
          <w:b/>
          <w:caps/>
          <w:sz w:val="24"/>
          <w:szCs w:val="24"/>
        </w:rPr>
        <w:t>not confidential</w:t>
      </w:r>
    </w:p>
    <w:p w:rsidR="00F2506F" w:rsidRPr="00DC45A0" w:rsidP="00F2506F" w14:paraId="48E0EC44" w14:textId="05786313">
      <w:pPr>
        <w:spacing w:after="240"/>
        <w:jc w:val="center"/>
        <w:rPr>
          <w:b/>
          <w:sz w:val="24"/>
          <w:szCs w:val="24"/>
        </w:rPr>
      </w:pPr>
      <w:bookmarkStart w:id="0" w:name="TOChere"/>
      <w:r w:rsidRPr="00DC45A0">
        <w:rPr>
          <w:b/>
          <w:sz w:val="24"/>
          <w:szCs w:val="24"/>
        </w:rPr>
        <w:t>WC Docket Nos. 19-195, 11-10</w:t>
      </w:r>
    </w:p>
    <w:bookmarkEnd w:id="0"/>
    <w:p w:rsidR="00D275AB" w:rsidRPr="00DC45A0" w:rsidP="00DC45A0" w14:paraId="5EE12E91" w14:textId="5A190EFE">
      <w:pPr>
        <w:spacing w:before="120" w:after="240"/>
        <w:rPr>
          <w:sz w:val="24"/>
          <w:szCs w:val="24"/>
        </w:rPr>
      </w:pPr>
      <w:r>
        <w:rPr>
          <w:sz w:val="24"/>
          <w:szCs w:val="24"/>
        </w:rPr>
        <w:t>T</w:t>
      </w:r>
      <w:r w:rsidRPr="00DC45A0" w:rsidR="007975C3">
        <w:rPr>
          <w:sz w:val="24"/>
          <w:szCs w:val="24"/>
        </w:rPr>
        <w:t xml:space="preserve">he Office of Economics and Analytics (Office) </w:t>
      </w:r>
      <w:r w:rsidRPr="00DC45A0" w:rsidR="00C6381E">
        <w:rPr>
          <w:sz w:val="24"/>
          <w:szCs w:val="24"/>
        </w:rPr>
        <w:t xml:space="preserve">reminds mobile broadband service providers that their minimum advertised or expected speed data </w:t>
      </w:r>
      <w:r w:rsidR="0097501F">
        <w:rPr>
          <w:sz w:val="24"/>
          <w:szCs w:val="24"/>
        </w:rPr>
        <w:t>are</w:t>
      </w:r>
      <w:r w:rsidRPr="00DC45A0" w:rsidR="0097501F">
        <w:rPr>
          <w:sz w:val="24"/>
          <w:szCs w:val="24"/>
        </w:rPr>
        <w:t xml:space="preserve"> </w:t>
      </w:r>
      <w:r w:rsidRPr="00DC45A0" w:rsidR="00C6381E">
        <w:rPr>
          <w:sz w:val="24"/>
          <w:szCs w:val="24"/>
        </w:rPr>
        <w:t>no longer treated as confidential on FCC Form 477.</w:t>
      </w:r>
      <w:r>
        <w:rPr>
          <w:rStyle w:val="FootnoteReference"/>
          <w:sz w:val="24"/>
          <w:szCs w:val="24"/>
        </w:rPr>
        <w:footnoteReference w:id="3"/>
      </w:r>
      <w:r w:rsidRPr="00DC45A0" w:rsidR="006F286C">
        <w:rPr>
          <w:sz w:val="24"/>
          <w:szCs w:val="24"/>
        </w:rPr>
        <w:t xml:space="preserve">  </w:t>
      </w:r>
      <w:r w:rsidR="00A37023">
        <w:rPr>
          <w:sz w:val="24"/>
          <w:szCs w:val="24"/>
        </w:rPr>
        <w:t>Speed data will be included in the public releases of provider-specific</w:t>
      </w:r>
      <w:r w:rsidR="00B43D26">
        <w:rPr>
          <w:sz w:val="24"/>
          <w:szCs w:val="24"/>
        </w:rPr>
        <w:t xml:space="preserve"> coverage data, beginning with the December 2019 filing</w:t>
      </w:r>
      <w:r w:rsidRPr="00DC45A0" w:rsidR="006F286C">
        <w:rPr>
          <w:sz w:val="24"/>
          <w:szCs w:val="24"/>
        </w:rPr>
        <w:t>.</w:t>
      </w:r>
      <w:r>
        <w:rPr>
          <w:rStyle w:val="FootnoteReference"/>
          <w:sz w:val="24"/>
          <w:szCs w:val="24"/>
        </w:rPr>
        <w:footnoteReference w:id="4"/>
      </w:r>
    </w:p>
    <w:p w:rsidR="0046574B" w:rsidP="00DC45A0" w14:paraId="54629677" w14:textId="0421BC1F">
      <w:pPr>
        <w:spacing w:before="120" w:after="240"/>
        <w:rPr>
          <w:sz w:val="24"/>
          <w:szCs w:val="24"/>
        </w:rPr>
      </w:pPr>
      <w:r w:rsidRPr="00DC45A0">
        <w:rPr>
          <w:sz w:val="24"/>
          <w:szCs w:val="24"/>
        </w:rPr>
        <w:t xml:space="preserve">In the </w:t>
      </w:r>
      <w:bookmarkStart w:id="1" w:name="_Hlk57900406"/>
      <w:r w:rsidR="008D0AEC">
        <w:rPr>
          <w:i/>
          <w:sz w:val="24"/>
          <w:szCs w:val="24"/>
        </w:rPr>
        <w:t>Digital Opportunity Data Collection</w:t>
      </w:r>
      <w:bookmarkEnd w:id="1"/>
      <w:r w:rsidRPr="00DC45A0" w:rsidR="00142222">
        <w:rPr>
          <w:i/>
          <w:sz w:val="24"/>
          <w:szCs w:val="24"/>
        </w:rPr>
        <w:t xml:space="preserve"> </w:t>
      </w:r>
      <w:r w:rsidR="000B087F">
        <w:rPr>
          <w:i/>
          <w:sz w:val="24"/>
          <w:szCs w:val="24"/>
        </w:rPr>
        <w:t>First</w:t>
      </w:r>
      <w:r w:rsidRPr="00DC45A0" w:rsidR="00142222">
        <w:rPr>
          <w:i/>
          <w:sz w:val="24"/>
          <w:szCs w:val="24"/>
        </w:rPr>
        <w:t xml:space="preserve"> Report and Order</w:t>
      </w:r>
      <w:r w:rsidRPr="00DC45A0">
        <w:rPr>
          <w:sz w:val="24"/>
          <w:szCs w:val="24"/>
        </w:rPr>
        <w:t xml:space="preserve">, the Commission </w:t>
      </w:r>
      <w:r w:rsidRPr="00DC45A0" w:rsidR="00142222">
        <w:rPr>
          <w:sz w:val="24"/>
          <w:szCs w:val="24"/>
        </w:rPr>
        <w:t>concluded that minimum advertised or expected speed data filed for mobile broadband services will not be treated as confidential and that such data will be publicly released.</w:t>
      </w:r>
      <w:r>
        <w:rPr>
          <w:rStyle w:val="FootnoteReference"/>
          <w:sz w:val="24"/>
          <w:szCs w:val="24"/>
        </w:rPr>
        <w:footnoteReference w:id="5"/>
      </w:r>
      <w:r w:rsidRPr="00DC45A0" w:rsidR="00142222">
        <w:rPr>
          <w:sz w:val="24"/>
          <w:szCs w:val="24"/>
        </w:rPr>
        <w:t xml:space="preserve">  The Commission found that the bulk of speed data that providers filed had been treated as confidential and that such treatment “unnecessarily limits the ability of consumers and policy makers to effectively analyze the data submitted.”</w:t>
      </w:r>
      <w:r>
        <w:rPr>
          <w:rStyle w:val="FootnoteReference"/>
          <w:sz w:val="24"/>
          <w:szCs w:val="24"/>
        </w:rPr>
        <w:footnoteReference w:id="6"/>
      </w:r>
      <w:r>
        <w:rPr>
          <w:sz w:val="24"/>
          <w:szCs w:val="24"/>
        </w:rPr>
        <w:t xml:space="preserve">  </w:t>
      </w:r>
      <w:r w:rsidRPr="00DC45A0" w:rsidR="00142222">
        <w:rPr>
          <w:sz w:val="24"/>
          <w:szCs w:val="24"/>
        </w:rPr>
        <w:t>The Commission also concluded that public release</w:t>
      </w:r>
      <w:r w:rsidR="00D621A3">
        <w:rPr>
          <w:sz w:val="24"/>
          <w:szCs w:val="24"/>
        </w:rPr>
        <w:t xml:space="preserve"> of</w:t>
      </w:r>
      <w:r w:rsidRPr="00DC45A0" w:rsidR="00142222">
        <w:rPr>
          <w:sz w:val="24"/>
          <w:szCs w:val="24"/>
        </w:rPr>
        <w:t xml:space="preserve"> provider-specific coverage data </w:t>
      </w:r>
      <w:r w:rsidR="00182051">
        <w:rPr>
          <w:sz w:val="24"/>
          <w:szCs w:val="24"/>
        </w:rPr>
        <w:t>is</w:t>
      </w:r>
      <w:r w:rsidRPr="00DC45A0" w:rsidR="00142222">
        <w:rPr>
          <w:sz w:val="24"/>
          <w:szCs w:val="24"/>
        </w:rPr>
        <w:t xml:space="preserve"> “necessary to ensure that consumers can easily use the information that is disclosed to the public” because speed data </w:t>
      </w:r>
      <w:r w:rsidR="00D621A3">
        <w:rPr>
          <w:sz w:val="24"/>
          <w:szCs w:val="24"/>
        </w:rPr>
        <w:t>are</w:t>
      </w:r>
      <w:r w:rsidRPr="00DC45A0" w:rsidR="00142222">
        <w:rPr>
          <w:sz w:val="24"/>
          <w:szCs w:val="24"/>
        </w:rPr>
        <w:t xml:space="preserve"> “only beneficial if consumers know where the service </w:t>
      </w:r>
      <w:r w:rsidR="004A5E63">
        <w:rPr>
          <w:sz w:val="24"/>
          <w:szCs w:val="24"/>
        </w:rPr>
        <w:t>c</w:t>
      </w:r>
      <w:r w:rsidRPr="00DC45A0" w:rsidR="00142222">
        <w:rPr>
          <w:sz w:val="24"/>
          <w:szCs w:val="24"/>
        </w:rPr>
        <w:t>overage is available.”</w:t>
      </w:r>
      <w:r>
        <w:rPr>
          <w:rStyle w:val="FootnoteReference"/>
          <w:sz w:val="24"/>
          <w:szCs w:val="24"/>
        </w:rPr>
        <w:footnoteReference w:id="7"/>
      </w:r>
      <w:r w:rsidRPr="00DC45A0" w:rsidR="00142222">
        <w:rPr>
          <w:sz w:val="24"/>
          <w:szCs w:val="24"/>
        </w:rPr>
        <w:t xml:space="preserve">  </w:t>
      </w:r>
    </w:p>
    <w:p w:rsidR="00D275AB" w:rsidRPr="00DC45A0" w:rsidP="00DC45A0" w14:paraId="1103933E" w14:textId="1E8BBE3D">
      <w:pPr>
        <w:spacing w:before="120" w:after="240"/>
        <w:rPr>
          <w:sz w:val="24"/>
          <w:szCs w:val="24"/>
        </w:rPr>
      </w:pPr>
      <w:r w:rsidRPr="00DC45A0">
        <w:rPr>
          <w:sz w:val="24"/>
          <w:szCs w:val="24"/>
        </w:rPr>
        <w:t xml:space="preserve">The Commission already makes provider-specific coverage data publicly available on its website by publishing each provider’s shapefiles, and Form 477 filers </w:t>
      </w:r>
      <w:r w:rsidRPr="00DC45A0" w:rsidR="00D7342F">
        <w:rPr>
          <w:sz w:val="24"/>
          <w:szCs w:val="24"/>
        </w:rPr>
        <w:t xml:space="preserve">are </w:t>
      </w:r>
      <w:r w:rsidRPr="00DC45A0">
        <w:rPr>
          <w:sz w:val="24"/>
          <w:szCs w:val="24"/>
        </w:rPr>
        <w:t>no longer permitted to request confidential treatment for such information.</w:t>
      </w:r>
      <w:r>
        <w:rPr>
          <w:rStyle w:val="FootnoteReference"/>
          <w:sz w:val="24"/>
          <w:szCs w:val="24"/>
        </w:rPr>
        <w:footnoteReference w:id="8"/>
      </w:r>
      <w:r w:rsidRPr="00DC45A0" w:rsidR="007E0066">
        <w:rPr>
          <w:sz w:val="24"/>
          <w:szCs w:val="24"/>
        </w:rPr>
        <w:t xml:space="preserve">  As the Commission did not subsequently and immediately update the Form 477 filing application to remove the checkbox</w:t>
      </w:r>
      <w:r w:rsidR="007F46C0">
        <w:rPr>
          <w:sz w:val="24"/>
          <w:szCs w:val="24"/>
        </w:rPr>
        <w:t xml:space="preserve"> used to request confidential treatment of these data</w:t>
      </w:r>
      <w:r w:rsidRPr="00DC45A0" w:rsidR="007E0066">
        <w:rPr>
          <w:sz w:val="24"/>
          <w:szCs w:val="24"/>
        </w:rPr>
        <w:t>, some providers may mistakenly be</w:t>
      </w:r>
      <w:r w:rsidRPr="00DC45A0" w:rsidR="00307EDA">
        <w:rPr>
          <w:sz w:val="24"/>
          <w:szCs w:val="24"/>
        </w:rPr>
        <w:t>l</w:t>
      </w:r>
      <w:r w:rsidRPr="00DC45A0" w:rsidR="005A57C0">
        <w:rPr>
          <w:sz w:val="24"/>
          <w:szCs w:val="24"/>
        </w:rPr>
        <w:t>ieve</w:t>
      </w:r>
      <w:r w:rsidRPr="00DC45A0" w:rsidR="007E0066">
        <w:rPr>
          <w:sz w:val="24"/>
          <w:szCs w:val="24"/>
        </w:rPr>
        <w:t xml:space="preserve"> that confidentiality is available for such data.</w:t>
      </w:r>
    </w:p>
    <w:p w:rsidR="00D275AB" w:rsidRPr="00DC45A0" w:rsidP="00DC45A0" w14:paraId="61BD468D" w14:textId="1852F566">
      <w:pPr>
        <w:spacing w:before="120" w:after="240"/>
        <w:rPr>
          <w:sz w:val="24"/>
          <w:szCs w:val="24"/>
        </w:rPr>
      </w:pPr>
      <w:r w:rsidRPr="00DC45A0">
        <w:rPr>
          <w:sz w:val="24"/>
          <w:szCs w:val="24"/>
        </w:rPr>
        <w:t xml:space="preserve">Accordingly, </w:t>
      </w:r>
      <w:r w:rsidRPr="00DC45A0" w:rsidR="007E0066">
        <w:rPr>
          <w:sz w:val="24"/>
          <w:szCs w:val="24"/>
        </w:rPr>
        <w:t>the Office reiterates that</w:t>
      </w:r>
      <w:r w:rsidR="00B56808">
        <w:rPr>
          <w:sz w:val="24"/>
          <w:szCs w:val="24"/>
        </w:rPr>
        <w:t>,</w:t>
      </w:r>
      <w:r w:rsidRPr="00DC45A0" w:rsidR="007E0066">
        <w:rPr>
          <w:sz w:val="24"/>
          <w:szCs w:val="24"/>
        </w:rPr>
        <w:t xml:space="preserve"> notwithstanding the presence of the </w:t>
      </w:r>
      <w:r w:rsidR="002D36D0">
        <w:rPr>
          <w:sz w:val="24"/>
          <w:szCs w:val="24"/>
        </w:rPr>
        <w:t>checkbox</w:t>
      </w:r>
      <w:r w:rsidRPr="00DC45A0" w:rsidR="007E0066">
        <w:rPr>
          <w:sz w:val="24"/>
          <w:szCs w:val="24"/>
        </w:rPr>
        <w:t xml:space="preserve"> in the Form </w:t>
      </w:r>
      <w:r w:rsidRPr="00DC45A0" w:rsidR="007E0066">
        <w:rPr>
          <w:sz w:val="24"/>
          <w:szCs w:val="24"/>
        </w:rPr>
        <w:t xml:space="preserve">477 filing application, </w:t>
      </w:r>
      <w:r w:rsidR="00C4406E">
        <w:rPr>
          <w:sz w:val="24"/>
          <w:szCs w:val="24"/>
        </w:rPr>
        <w:t xml:space="preserve">the Commission has </w:t>
      </w:r>
      <w:r w:rsidR="0007143D">
        <w:rPr>
          <w:sz w:val="24"/>
          <w:szCs w:val="24"/>
        </w:rPr>
        <w:t xml:space="preserve">concluded that </w:t>
      </w:r>
      <w:r w:rsidR="006A3ED9">
        <w:rPr>
          <w:sz w:val="24"/>
          <w:szCs w:val="24"/>
        </w:rPr>
        <w:t xml:space="preserve">these data </w:t>
      </w:r>
      <w:r w:rsidR="00806D27">
        <w:rPr>
          <w:sz w:val="24"/>
          <w:szCs w:val="24"/>
        </w:rPr>
        <w:t>will not be treated as confidential</w:t>
      </w:r>
      <w:r w:rsidRPr="00DC45A0" w:rsidR="00386DD4">
        <w:rPr>
          <w:sz w:val="24"/>
          <w:szCs w:val="24"/>
        </w:rPr>
        <w:t>.</w:t>
      </w:r>
      <w:r w:rsidRPr="00DC45A0" w:rsidR="0032051C">
        <w:rPr>
          <w:sz w:val="24"/>
          <w:szCs w:val="24"/>
        </w:rPr>
        <w:t xml:space="preserve">  </w:t>
      </w:r>
      <w:r w:rsidR="000F7AE4">
        <w:rPr>
          <w:sz w:val="24"/>
          <w:szCs w:val="24"/>
        </w:rPr>
        <w:t>Moreover, t</w:t>
      </w:r>
      <w:r w:rsidRPr="00DC45A0" w:rsidR="0032051C">
        <w:rPr>
          <w:sz w:val="24"/>
          <w:szCs w:val="24"/>
        </w:rPr>
        <w:t xml:space="preserve">he </w:t>
      </w:r>
      <w:r w:rsidRPr="00DC45A0" w:rsidR="007E0066">
        <w:rPr>
          <w:sz w:val="24"/>
          <w:szCs w:val="24"/>
        </w:rPr>
        <w:t>corresponding</w:t>
      </w:r>
      <w:r w:rsidRPr="00DC45A0" w:rsidR="0032051C">
        <w:rPr>
          <w:sz w:val="24"/>
          <w:szCs w:val="24"/>
        </w:rPr>
        <w:t xml:space="preserve"> Form 477 information </w:t>
      </w:r>
      <w:r w:rsidRPr="000F7AE4" w:rsidR="000F7AE4">
        <w:rPr>
          <w:sz w:val="24"/>
          <w:szCs w:val="24"/>
        </w:rPr>
        <w:t xml:space="preserve">that was included in the December 2019 and June 2020 filings </w:t>
      </w:r>
      <w:r w:rsidRPr="00DC45A0" w:rsidR="0032051C">
        <w:rPr>
          <w:sz w:val="24"/>
          <w:szCs w:val="24"/>
        </w:rPr>
        <w:t>will be released</w:t>
      </w:r>
      <w:r w:rsidRPr="00DC45A0" w:rsidR="00D625BE">
        <w:rPr>
          <w:sz w:val="24"/>
          <w:szCs w:val="24"/>
        </w:rPr>
        <w:t xml:space="preserve"> </w:t>
      </w:r>
      <w:r w:rsidR="00F34AD7">
        <w:rPr>
          <w:sz w:val="24"/>
          <w:szCs w:val="24"/>
        </w:rPr>
        <w:t>no sooner than ten (10)</w:t>
      </w:r>
      <w:r w:rsidRPr="00DC45A0" w:rsidR="0032051C">
        <w:rPr>
          <w:sz w:val="24"/>
          <w:szCs w:val="24"/>
        </w:rPr>
        <w:t xml:space="preserve"> days</w:t>
      </w:r>
      <w:r w:rsidRPr="00DC45A0" w:rsidR="00046FC9">
        <w:rPr>
          <w:sz w:val="24"/>
          <w:szCs w:val="24"/>
        </w:rPr>
        <w:t xml:space="preserve"> after </w:t>
      </w:r>
      <w:r w:rsidRPr="00DC45A0" w:rsidR="00454B4E">
        <w:rPr>
          <w:sz w:val="24"/>
          <w:szCs w:val="24"/>
        </w:rPr>
        <w:t>Federal Register publication</w:t>
      </w:r>
      <w:r w:rsidRPr="00DC45A0" w:rsidR="006B4B85">
        <w:rPr>
          <w:sz w:val="24"/>
          <w:szCs w:val="24"/>
        </w:rPr>
        <w:t xml:space="preserve"> of this Public Notice</w:t>
      </w:r>
      <w:r w:rsidRPr="00DC45A0" w:rsidR="00D625BE">
        <w:rPr>
          <w:sz w:val="24"/>
          <w:szCs w:val="24"/>
        </w:rPr>
        <w:t>.</w:t>
      </w:r>
      <w:bookmarkStart w:id="2" w:name="_GoBack"/>
      <w:bookmarkEnd w:id="2"/>
    </w:p>
    <w:p w:rsidR="00F2506F" w:rsidRPr="00DC45A0" w:rsidP="00DC45A0" w14:paraId="64E6B3F9" w14:textId="4F5C10E8">
      <w:pPr>
        <w:spacing w:before="120" w:after="240"/>
        <w:rPr>
          <w:sz w:val="24"/>
          <w:szCs w:val="24"/>
        </w:rPr>
      </w:pPr>
      <w:r w:rsidRPr="00DC45A0">
        <w:rPr>
          <w:sz w:val="24"/>
          <w:szCs w:val="24"/>
        </w:rPr>
        <w:t xml:space="preserve">For further information, contact </w:t>
      </w:r>
      <w:r w:rsidRPr="00DC45A0" w:rsidR="00C6381E">
        <w:rPr>
          <w:sz w:val="24"/>
          <w:szCs w:val="24"/>
        </w:rPr>
        <w:t>Kenneth Lynch</w:t>
      </w:r>
      <w:r w:rsidRPr="00DC45A0">
        <w:rPr>
          <w:sz w:val="24"/>
          <w:szCs w:val="24"/>
        </w:rPr>
        <w:t xml:space="preserve">, </w:t>
      </w:r>
      <w:r w:rsidR="00B8258D">
        <w:rPr>
          <w:sz w:val="24"/>
          <w:szCs w:val="24"/>
        </w:rPr>
        <w:t xml:space="preserve">Chief, </w:t>
      </w:r>
      <w:r w:rsidRPr="00DC45A0" w:rsidR="00C6381E">
        <w:rPr>
          <w:sz w:val="24"/>
          <w:szCs w:val="24"/>
        </w:rPr>
        <w:t>Industry</w:t>
      </w:r>
      <w:r w:rsidRPr="00DC45A0">
        <w:rPr>
          <w:sz w:val="24"/>
          <w:szCs w:val="24"/>
        </w:rPr>
        <w:t xml:space="preserve"> Analysis Division, Office of Economics and Analytics, at </w:t>
      </w:r>
      <w:bookmarkStart w:id="3" w:name="_Hlk58245414"/>
      <w:hyperlink r:id="rId5" w:history="1">
        <w:r w:rsidRPr="00DC45A0" w:rsidR="00C6381E">
          <w:rPr>
            <w:rStyle w:val="Hyperlink"/>
            <w:sz w:val="24"/>
            <w:szCs w:val="24"/>
          </w:rPr>
          <w:t>Kenneth.Lynch@fcc.gov</w:t>
        </w:r>
      </w:hyperlink>
      <w:bookmarkEnd w:id="3"/>
      <w:r w:rsidRPr="00DC45A0" w:rsidR="00C6381E">
        <w:rPr>
          <w:sz w:val="24"/>
          <w:szCs w:val="24"/>
        </w:rPr>
        <w:t>.</w:t>
      </w:r>
    </w:p>
    <w:p w:rsidR="00F2506F" w:rsidRPr="00DC45A0" w:rsidP="00DC45A0" w14:paraId="0193386C" w14:textId="77777777">
      <w:pPr>
        <w:spacing w:before="120" w:after="240"/>
        <w:jc w:val="center"/>
        <w:rPr>
          <w:b/>
          <w:sz w:val="24"/>
          <w:szCs w:val="24"/>
        </w:rPr>
      </w:pPr>
    </w:p>
    <w:p w:rsidR="00930ECF" w:rsidRPr="00DC45A0" w:rsidP="00F2506F" w14:paraId="0CFB54E7" w14:textId="02AACB1E">
      <w:pPr>
        <w:jc w:val="center"/>
        <w:rPr>
          <w:sz w:val="24"/>
          <w:szCs w:val="24"/>
        </w:rPr>
      </w:pPr>
      <w:r w:rsidRPr="00DC45A0">
        <w:rPr>
          <w:b/>
          <w:sz w:val="24"/>
          <w:szCs w:val="24"/>
        </w:rPr>
        <w:t>-FCC-</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40251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5803F6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0CF06A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845E9F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B64B6" w14:paraId="7411995F" w14:textId="77777777">
      <w:r>
        <w:separator/>
      </w:r>
    </w:p>
  </w:footnote>
  <w:footnote w:type="continuationSeparator" w:id="1">
    <w:p w:rsidR="008B64B6" w14:paraId="423493D6" w14:textId="77777777">
      <w:pPr>
        <w:rPr>
          <w:sz w:val="20"/>
        </w:rPr>
      </w:pPr>
      <w:r>
        <w:rPr>
          <w:sz w:val="20"/>
        </w:rPr>
        <w:t xml:space="preserve">(Continued from previous page)  </w:t>
      </w:r>
      <w:r>
        <w:rPr>
          <w:sz w:val="20"/>
        </w:rPr>
        <w:separator/>
      </w:r>
    </w:p>
  </w:footnote>
  <w:footnote w:type="continuationNotice" w:id="2">
    <w:p w:rsidR="008B64B6" w:rsidP="00910F12" w14:paraId="1D925666" w14:textId="77777777">
      <w:pPr>
        <w:jc w:val="right"/>
        <w:rPr>
          <w:sz w:val="20"/>
        </w:rPr>
      </w:pPr>
      <w:r>
        <w:rPr>
          <w:sz w:val="20"/>
        </w:rPr>
        <w:t>(continued….)</w:t>
      </w:r>
    </w:p>
  </w:footnote>
  <w:footnote w:id="3">
    <w:p w:rsidR="00C6381E" w:rsidRPr="00C6381E" w14:paraId="34441530" w14:textId="4CA5FA83">
      <w:pPr>
        <w:pStyle w:val="FootnoteText"/>
      </w:pPr>
      <w:r>
        <w:rPr>
          <w:rStyle w:val="FootnoteReference"/>
        </w:rPr>
        <w:footnoteRef/>
      </w:r>
      <w:r>
        <w:t xml:space="preserve"> </w:t>
      </w:r>
      <w:r>
        <w:rPr>
          <w:i/>
          <w:iCs/>
        </w:rPr>
        <w:t>See</w:t>
      </w:r>
      <w:r w:rsidR="006F286C">
        <w:rPr>
          <w:i/>
          <w:iCs/>
        </w:rPr>
        <w:t xml:space="preserve"> </w:t>
      </w:r>
      <w:r w:rsidR="006F286C">
        <w:t>47 CFR §1.7001</w:t>
      </w:r>
      <w:r w:rsidRPr="00384477" w:rsidR="006F286C">
        <w:t>(d)(2)(ii).</w:t>
      </w:r>
      <w:r w:rsidR="006F286C">
        <w:t xml:space="preserve">  </w:t>
      </w:r>
      <w:r w:rsidR="006F286C">
        <w:rPr>
          <w:i/>
          <w:iCs/>
        </w:rPr>
        <w:t>See also</w:t>
      </w:r>
      <w:r>
        <w:t xml:space="preserve"> </w:t>
      </w:r>
      <w:r>
        <w:rPr>
          <w:i/>
          <w:iCs/>
        </w:rPr>
        <w:t>Establishing the Digital Opportunity Data Collection et al.</w:t>
      </w:r>
      <w:r>
        <w:t>, Report and Order and</w:t>
      </w:r>
      <w:r w:rsidR="00B17EDF">
        <w:t xml:space="preserve"> Second</w:t>
      </w:r>
      <w:r>
        <w:t xml:space="preserve"> Further Notice of Proposed Rulemaking, 34 FCC Rcd 7505, 7521</w:t>
      </w:r>
      <w:r w:rsidR="006F286C">
        <w:t xml:space="preserve">, para. 36 </w:t>
      </w:r>
      <w:r w:rsidR="00893518">
        <w:t xml:space="preserve">(2019) </w:t>
      </w:r>
      <w:r w:rsidR="006F286C">
        <w:t>(</w:t>
      </w:r>
      <w:r w:rsidRPr="008D0AEC" w:rsidR="008D0AEC">
        <w:rPr>
          <w:i/>
          <w:iCs/>
        </w:rPr>
        <w:t xml:space="preserve">Digital Opportunity Data Collection </w:t>
      </w:r>
      <w:r w:rsidR="000B087F">
        <w:rPr>
          <w:i/>
          <w:iCs/>
        </w:rPr>
        <w:t>First</w:t>
      </w:r>
      <w:r w:rsidR="00B17EDF">
        <w:rPr>
          <w:i/>
          <w:iCs/>
        </w:rPr>
        <w:t xml:space="preserve"> </w:t>
      </w:r>
      <w:r w:rsidRPr="006F286C" w:rsidR="006F286C">
        <w:rPr>
          <w:i/>
          <w:iCs/>
        </w:rPr>
        <w:t>Report and Order</w:t>
      </w:r>
      <w:r w:rsidR="006F286C">
        <w:t>).</w:t>
      </w:r>
    </w:p>
  </w:footnote>
  <w:footnote w:id="4">
    <w:p w:rsidR="006F286C" w:rsidRPr="006F286C" w14:paraId="4C5E6AE4" w14:textId="5533AED2">
      <w:pPr>
        <w:pStyle w:val="FootnoteText"/>
      </w:pPr>
      <w:r>
        <w:rPr>
          <w:rStyle w:val="FootnoteReference"/>
        </w:rPr>
        <w:footnoteRef/>
      </w:r>
      <w:r>
        <w:t xml:space="preserve"> </w:t>
      </w:r>
      <w:r>
        <w:rPr>
          <w:i/>
          <w:iCs/>
        </w:rPr>
        <w:t>See</w:t>
      </w:r>
      <w:r w:rsidRPr="006F286C">
        <w:rPr>
          <w:i/>
          <w:iCs/>
        </w:rPr>
        <w:t xml:space="preserve"> </w:t>
      </w:r>
      <w:r>
        <w:t>47 CFR §1.7001</w:t>
      </w:r>
      <w:r w:rsidRPr="00384477">
        <w:t>(d)(2)(ii).</w:t>
      </w:r>
      <w:r>
        <w:t xml:space="preserve">  </w:t>
      </w:r>
      <w:r>
        <w:rPr>
          <w:i/>
          <w:iCs/>
        </w:rPr>
        <w:t xml:space="preserve">See also </w:t>
      </w:r>
      <w:r w:rsidRPr="008D0AEC" w:rsidR="008D0AEC">
        <w:rPr>
          <w:i/>
          <w:iCs/>
        </w:rPr>
        <w:t xml:space="preserve">Digital Opportunity Data Collection </w:t>
      </w:r>
      <w:r w:rsidR="000B087F">
        <w:rPr>
          <w:i/>
          <w:iCs/>
        </w:rPr>
        <w:t>First</w:t>
      </w:r>
      <w:r w:rsidRPr="006F286C">
        <w:rPr>
          <w:i/>
          <w:iCs/>
        </w:rPr>
        <w:t xml:space="preserve"> Report and Order</w:t>
      </w:r>
      <w:r>
        <w:t>,</w:t>
      </w:r>
      <w:r>
        <w:rPr>
          <w:i/>
          <w:iCs/>
        </w:rPr>
        <w:t xml:space="preserve"> </w:t>
      </w:r>
      <w:r>
        <w:t>34 FCC Rcd at 7521, para. 37.</w:t>
      </w:r>
    </w:p>
  </w:footnote>
  <w:footnote w:id="5">
    <w:p w:rsidR="00142222" w14:paraId="751CC86E" w14:textId="1BA8A5E0">
      <w:pPr>
        <w:pStyle w:val="FootnoteText"/>
      </w:pPr>
      <w:r>
        <w:rPr>
          <w:rStyle w:val="FootnoteReference"/>
        </w:rPr>
        <w:footnoteRef/>
      </w:r>
      <w:r>
        <w:t xml:space="preserve"> </w:t>
      </w:r>
      <w:r w:rsidRPr="008D0AEC" w:rsidR="008D0AEC">
        <w:rPr>
          <w:i/>
          <w:iCs/>
        </w:rPr>
        <w:t xml:space="preserve">Digital Opportunity Data Collection </w:t>
      </w:r>
      <w:r w:rsidR="000B087F">
        <w:rPr>
          <w:i/>
          <w:iCs/>
        </w:rPr>
        <w:t>First</w:t>
      </w:r>
      <w:r w:rsidRPr="006F286C" w:rsidR="00893518">
        <w:rPr>
          <w:i/>
          <w:iCs/>
        </w:rPr>
        <w:t xml:space="preserve"> Report and Order</w:t>
      </w:r>
      <w:r w:rsidRPr="005A164A" w:rsidR="00893518">
        <w:t>,</w:t>
      </w:r>
      <w:r w:rsidR="00893518">
        <w:t xml:space="preserve"> </w:t>
      </w:r>
      <w:r>
        <w:t>34 FCC Rcd at 7521, para. 36.</w:t>
      </w:r>
    </w:p>
  </w:footnote>
  <w:footnote w:id="6">
    <w:p w:rsidR="00142222" w:rsidRPr="00142222" w14:paraId="018135E9" w14:textId="7AB3209A">
      <w:pPr>
        <w:pStyle w:val="FootnoteText"/>
      </w:pPr>
      <w:r>
        <w:rPr>
          <w:rStyle w:val="FootnoteReference"/>
        </w:rPr>
        <w:footnoteRef/>
      </w:r>
      <w:r>
        <w:t xml:space="preserve"> </w:t>
      </w:r>
      <w:r>
        <w:rPr>
          <w:i/>
          <w:iCs/>
        </w:rPr>
        <w:t>Id</w:t>
      </w:r>
      <w:r>
        <w:t>.</w:t>
      </w:r>
    </w:p>
  </w:footnote>
  <w:footnote w:id="7">
    <w:p w:rsidR="00142222" w14:paraId="6E40FCC2" w14:textId="48AE9FF4">
      <w:pPr>
        <w:pStyle w:val="FootnoteText"/>
      </w:pPr>
      <w:r>
        <w:rPr>
          <w:rStyle w:val="FootnoteReference"/>
        </w:rPr>
        <w:footnoteRef/>
      </w:r>
      <w:r>
        <w:t xml:space="preserve"> </w:t>
      </w:r>
      <w:r w:rsidRPr="008D0AEC" w:rsidR="008D0AEC">
        <w:rPr>
          <w:i/>
          <w:iCs/>
        </w:rPr>
        <w:t xml:space="preserve">Digital Opportunity Data Collection </w:t>
      </w:r>
      <w:r w:rsidR="000B087F">
        <w:rPr>
          <w:i/>
          <w:iCs/>
        </w:rPr>
        <w:t>First</w:t>
      </w:r>
      <w:r w:rsidRPr="006F286C" w:rsidR="005A164A">
        <w:rPr>
          <w:i/>
          <w:iCs/>
        </w:rPr>
        <w:t xml:space="preserve"> Report and Order</w:t>
      </w:r>
      <w:r w:rsidR="005A164A">
        <w:t>,</w:t>
      </w:r>
      <w:r w:rsidR="005A164A">
        <w:t xml:space="preserve"> </w:t>
      </w:r>
      <w:r>
        <w:t>34 FCC Rcd at 7521, para. 37.</w:t>
      </w:r>
    </w:p>
  </w:footnote>
  <w:footnote w:id="8">
    <w:p w:rsidR="00142222" w:rsidRPr="00212F25" w14:paraId="702B8EA7" w14:textId="114D1961">
      <w:pPr>
        <w:pStyle w:val="FootnoteText"/>
      </w:pPr>
      <w:r>
        <w:rPr>
          <w:rStyle w:val="FootnoteReference"/>
        </w:rPr>
        <w:footnoteRef/>
      </w:r>
      <w:r>
        <w:t xml:space="preserve"> </w:t>
      </w:r>
      <w:r w:rsidR="00212F25">
        <w:rPr>
          <w:i/>
          <w:iCs/>
        </w:rPr>
        <w:t>Id</w:t>
      </w:r>
      <w:r w:rsidR="00212F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FAA0451" w14:textId="51A9E6A1">
    <w:pPr>
      <w:tabs>
        <w:tab w:val="center" w:pos="4680"/>
        <w:tab w:val="right" w:pos="9360"/>
      </w:tabs>
    </w:pPr>
    <w:r w:rsidRPr="009838BC">
      <w:rPr>
        <w:b/>
      </w:rPr>
      <w:tab/>
      <w:t>Federal Communications Commission</w:t>
    </w:r>
    <w:r w:rsidRPr="009838BC">
      <w:rPr>
        <w:b/>
      </w:rPr>
      <w:tab/>
    </w:r>
    <w:r w:rsidR="00F2506F">
      <w:rPr>
        <w:b/>
      </w:rPr>
      <w:t xml:space="preserve">DA </w:t>
    </w:r>
    <w:r w:rsidR="00BC1AF4">
      <w:rPr>
        <w:b/>
        <w:szCs w:val="22"/>
      </w:rPr>
      <w:t>20-1460</w:t>
    </w:r>
  </w:p>
  <w:p w:rsidR="009838BC" w:rsidRPr="009838BC" w:rsidP="009838BC" w14:paraId="78747143" w14:textId="6456D1C9">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62A0F60"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1A4E081" w14:textId="00A99F1A">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BA7B4A4">
                          <w:pPr>
                            <w:rPr>
                              <w:rFonts w:ascii="Arial" w:hAnsi="Arial"/>
                              <w:b/>
                            </w:rPr>
                          </w:pPr>
                          <w:r>
                            <w:rPr>
                              <w:rFonts w:ascii="Arial" w:hAnsi="Arial"/>
                              <w:b/>
                            </w:rPr>
                            <w:t xml:space="preserve">45 </w:t>
                          </w:r>
                          <w:r w:rsidR="00F2506F">
                            <w:rPr>
                              <w:rFonts w:ascii="Arial" w:hAnsi="Arial"/>
                              <w:b/>
                            </w:rPr>
                            <w:t>L</w:t>
                          </w:r>
                          <w:r>
                            <w:rPr>
                              <w:rFonts w:ascii="Arial" w:hAnsi="Arial"/>
                              <w:b/>
                            </w:rPr>
                            <w:t xml:space="preserve"> St., </w:t>
                          </w:r>
                          <w:r w:rsidR="00F2506F">
                            <w:rPr>
                              <w:rFonts w:ascii="Arial" w:hAnsi="Arial"/>
                              <w:b/>
                            </w:rPr>
                            <w:t>N</w:t>
                          </w:r>
                          <w:r>
                            <w:rPr>
                              <w:rFonts w:ascii="Arial" w:hAnsi="Arial"/>
                              <w:b/>
                            </w:rPr>
                            <w:t>.</w:t>
                          </w:r>
                          <w:r w:rsidR="00F2506F">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229CF602" w14:textId="77777777">
                    <w:pPr>
                      <w:rPr>
                        <w:rFonts w:ascii="Arial" w:hAnsi="Arial"/>
                        <w:b/>
                      </w:rPr>
                    </w:pPr>
                    <w:r>
                      <w:rPr>
                        <w:rFonts w:ascii="Arial" w:hAnsi="Arial"/>
                        <w:b/>
                      </w:rPr>
                      <w:t>Federal Communications Commission</w:t>
                    </w:r>
                  </w:p>
                  <w:p w:rsidR="009838BC" w:rsidP="009838BC" w14:paraId="7A967A5F" w14:textId="7BA7B4A4">
                    <w:pPr>
                      <w:rPr>
                        <w:rFonts w:ascii="Arial" w:hAnsi="Arial"/>
                        <w:b/>
                      </w:rPr>
                    </w:pPr>
                    <w:r>
                      <w:rPr>
                        <w:rFonts w:ascii="Arial" w:hAnsi="Arial"/>
                        <w:b/>
                      </w:rPr>
                      <w:t xml:space="preserve">45 </w:t>
                    </w:r>
                    <w:r w:rsidR="00F2506F">
                      <w:rPr>
                        <w:rFonts w:ascii="Arial" w:hAnsi="Arial"/>
                        <w:b/>
                      </w:rPr>
                      <w:t>L</w:t>
                    </w:r>
                    <w:r>
                      <w:rPr>
                        <w:rFonts w:ascii="Arial" w:hAnsi="Arial"/>
                        <w:b/>
                      </w:rPr>
                      <w:t xml:space="preserve"> St., </w:t>
                    </w:r>
                    <w:r w:rsidR="00F2506F">
                      <w:rPr>
                        <w:rFonts w:ascii="Arial" w:hAnsi="Arial"/>
                        <w:b/>
                      </w:rPr>
                      <w:t>N</w:t>
                    </w:r>
                    <w:r>
                      <w:rPr>
                        <w:rFonts w:ascii="Arial" w:hAnsi="Arial"/>
                        <w:b/>
                      </w:rPr>
                      <w:t>.</w:t>
                    </w:r>
                    <w:r w:rsidR="00F2506F">
                      <w:rPr>
                        <w:rFonts w:ascii="Arial" w:hAnsi="Arial"/>
                        <w:b/>
                      </w:rPr>
                      <w:t>E</w:t>
                    </w:r>
                    <w:r>
                      <w:rPr>
                        <w:rFonts w:ascii="Arial" w:hAnsi="Arial"/>
                        <w:b/>
                      </w:rPr>
                      <w:t>.</w:t>
                    </w:r>
                  </w:p>
                  <w:p w:rsidR="009838BC" w:rsidP="009838BC" w14:paraId="79E191EF"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16093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57CFD69B" w:rsidR="007975C3">
      <w:rPr>
        <w:rFonts w:ascii="Arial" w:hAnsi="Arial" w:cs="Arial"/>
        <w:b/>
        <w:sz w:val="96"/>
        <w:szCs w:val="96"/>
      </w:rPr>
      <w:t>PUBLIC NOTICE</w:t>
    </w:r>
  </w:p>
  <w:p w:rsidR="009838BC" w:rsidRPr="00357D50" w:rsidP="009838BC" w14:paraId="2D455CBA" w14:textId="4347A9CC">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700" t="5715" r="635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1AD3EAD" w14:textId="77777777">
                    <w:pPr>
                      <w:spacing w:before="40"/>
                      <w:jc w:val="right"/>
                      <w:rPr>
                        <w:rFonts w:ascii="Arial" w:hAnsi="Arial"/>
                        <w:b/>
                        <w:sz w:val="16"/>
                      </w:rPr>
                    </w:pPr>
                    <w:r>
                      <w:rPr>
                        <w:rFonts w:ascii="Arial" w:hAnsi="Arial"/>
                        <w:b/>
                        <w:sz w:val="16"/>
                      </w:rPr>
                      <w:t>News Media Information 202 / 418-0500</w:t>
                    </w:r>
                  </w:p>
                  <w:p w:rsidR="009838BC" w:rsidP="009838BC" w14:paraId="0E4A298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E28AA43" w14:textId="77777777">
                    <w:pPr>
                      <w:jc w:val="right"/>
                    </w:pPr>
                    <w:r>
                      <w:rPr>
                        <w:rFonts w:ascii="Arial" w:hAnsi="Arial"/>
                        <w:b/>
                        <w:sz w:val="16"/>
                      </w:rPr>
                      <w:t>TTY: 1-888-835-5322</w:t>
                    </w:r>
                  </w:p>
                </w:txbxContent>
              </v:textbox>
            </v:shape>
          </w:pict>
        </mc:Fallback>
      </mc:AlternateContent>
    </w:r>
  </w:p>
  <w:p w:rsidR="006F7393" w:rsidRPr="009838BC" w:rsidP="009838BC" w14:paraId="5903175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6F"/>
    <w:rsid w:val="00000F39"/>
    <w:rsid w:val="0000505A"/>
    <w:rsid w:val="000072CE"/>
    <w:rsid w:val="00013A8B"/>
    <w:rsid w:val="00021445"/>
    <w:rsid w:val="00036039"/>
    <w:rsid w:val="00037F90"/>
    <w:rsid w:val="00044203"/>
    <w:rsid w:val="00046FC9"/>
    <w:rsid w:val="00050899"/>
    <w:rsid w:val="00067091"/>
    <w:rsid w:val="0007143D"/>
    <w:rsid w:val="00081313"/>
    <w:rsid w:val="000875BF"/>
    <w:rsid w:val="000929D4"/>
    <w:rsid w:val="00093AB8"/>
    <w:rsid w:val="00094601"/>
    <w:rsid w:val="00096D8C"/>
    <w:rsid w:val="000B087F"/>
    <w:rsid w:val="000C0B65"/>
    <w:rsid w:val="000C7B48"/>
    <w:rsid w:val="000D7D33"/>
    <w:rsid w:val="000E3D42"/>
    <w:rsid w:val="000E5884"/>
    <w:rsid w:val="000F41A5"/>
    <w:rsid w:val="000F7AE4"/>
    <w:rsid w:val="00122BD5"/>
    <w:rsid w:val="00134333"/>
    <w:rsid w:val="00140B54"/>
    <w:rsid w:val="00142222"/>
    <w:rsid w:val="0014509D"/>
    <w:rsid w:val="00164979"/>
    <w:rsid w:val="00170D75"/>
    <w:rsid w:val="00180EB2"/>
    <w:rsid w:val="001819D0"/>
    <w:rsid w:val="00182051"/>
    <w:rsid w:val="00184F10"/>
    <w:rsid w:val="00191A68"/>
    <w:rsid w:val="00193E8E"/>
    <w:rsid w:val="001979D9"/>
    <w:rsid w:val="001B7FDF"/>
    <w:rsid w:val="001D6BCF"/>
    <w:rsid w:val="001D7BF2"/>
    <w:rsid w:val="001E01CA"/>
    <w:rsid w:val="002060D9"/>
    <w:rsid w:val="00210E35"/>
    <w:rsid w:val="00212F25"/>
    <w:rsid w:val="00226822"/>
    <w:rsid w:val="00244A5E"/>
    <w:rsid w:val="002471B0"/>
    <w:rsid w:val="00254804"/>
    <w:rsid w:val="00260594"/>
    <w:rsid w:val="0028336C"/>
    <w:rsid w:val="00285017"/>
    <w:rsid w:val="002A2D2E"/>
    <w:rsid w:val="002C465D"/>
    <w:rsid w:val="002C5B51"/>
    <w:rsid w:val="002D36D0"/>
    <w:rsid w:val="002E5330"/>
    <w:rsid w:val="00302B0D"/>
    <w:rsid w:val="00307EDA"/>
    <w:rsid w:val="0032051C"/>
    <w:rsid w:val="00343749"/>
    <w:rsid w:val="00346471"/>
    <w:rsid w:val="00357D50"/>
    <w:rsid w:val="003665B2"/>
    <w:rsid w:val="003754FB"/>
    <w:rsid w:val="00383634"/>
    <w:rsid w:val="00384477"/>
    <w:rsid w:val="00386DD4"/>
    <w:rsid w:val="003925DC"/>
    <w:rsid w:val="003A20F7"/>
    <w:rsid w:val="003A33D7"/>
    <w:rsid w:val="003B0550"/>
    <w:rsid w:val="003B4D26"/>
    <w:rsid w:val="003B694F"/>
    <w:rsid w:val="003F171C"/>
    <w:rsid w:val="004115FC"/>
    <w:rsid w:val="004119BA"/>
    <w:rsid w:val="00412FC5"/>
    <w:rsid w:val="00422276"/>
    <w:rsid w:val="004242F1"/>
    <w:rsid w:val="00445A00"/>
    <w:rsid w:val="00451B0F"/>
    <w:rsid w:val="00452F89"/>
    <w:rsid w:val="00454B4E"/>
    <w:rsid w:val="0045575E"/>
    <w:rsid w:val="0046125F"/>
    <w:rsid w:val="0046574B"/>
    <w:rsid w:val="0048698D"/>
    <w:rsid w:val="00487524"/>
    <w:rsid w:val="00487995"/>
    <w:rsid w:val="00496106"/>
    <w:rsid w:val="004A4515"/>
    <w:rsid w:val="004A5E63"/>
    <w:rsid w:val="004B28DD"/>
    <w:rsid w:val="004C12D0"/>
    <w:rsid w:val="004C2EE3"/>
    <w:rsid w:val="004C32CC"/>
    <w:rsid w:val="004E39D0"/>
    <w:rsid w:val="004E4A22"/>
    <w:rsid w:val="00511968"/>
    <w:rsid w:val="00521F06"/>
    <w:rsid w:val="005308EB"/>
    <w:rsid w:val="00551918"/>
    <w:rsid w:val="00551C3B"/>
    <w:rsid w:val="0055614C"/>
    <w:rsid w:val="00556210"/>
    <w:rsid w:val="00575CF7"/>
    <w:rsid w:val="00597005"/>
    <w:rsid w:val="005A164A"/>
    <w:rsid w:val="005A57C0"/>
    <w:rsid w:val="005B5446"/>
    <w:rsid w:val="005C017C"/>
    <w:rsid w:val="005E0940"/>
    <w:rsid w:val="005F2BE7"/>
    <w:rsid w:val="00607BA5"/>
    <w:rsid w:val="00613069"/>
    <w:rsid w:val="00626EB6"/>
    <w:rsid w:val="00630CFE"/>
    <w:rsid w:val="006353A3"/>
    <w:rsid w:val="006376A8"/>
    <w:rsid w:val="00653491"/>
    <w:rsid w:val="00655D03"/>
    <w:rsid w:val="00657A72"/>
    <w:rsid w:val="0066362E"/>
    <w:rsid w:val="00675A7A"/>
    <w:rsid w:val="00680D85"/>
    <w:rsid w:val="00683F84"/>
    <w:rsid w:val="006A039C"/>
    <w:rsid w:val="006A3ED9"/>
    <w:rsid w:val="006A52F9"/>
    <w:rsid w:val="006A6A81"/>
    <w:rsid w:val="006B4A7A"/>
    <w:rsid w:val="006B4B85"/>
    <w:rsid w:val="006D2B91"/>
    <w:rsid w:val="006D2BF3"/>
    <w:rsid w:val="006D69D7"/>
    <w:rsid w:val="006E26AF"/>
    <w:rsid w:val="006E3F4C"/>
    <w:rsid w:val="006F286C"/>
    <w:rsid w:val="006F7393"/>
    <w:rsid w:val="0070224F"/>
    <w:rsid w:val="007115F7"/>
    <w:rsid w:val="00744BB6"/>
    <w:rsid w:val="00755B02"/>
    <w:rsid w:val="007679D7"/>
    <w:rsid w:val="00785689"/>
    <w:rsid w:val="0079754B"/>
    <w:rsid w:val="007975C3"/>
    <w:rsid w:val="007A0DBD"/>
    <w:rsid w:val="007A1E6D"/>
    <w:rsid w:val="007A511B"/>
    <w:rsid w:val="007A689D"/>
    <w:rsid w:val="007C0B09"/>
    <w:rsid w:val="007E0066"/>
    <w:rsid w:val="007E0BA2"/>
    <w:rsid w:val="007E11C2"/>
    <w:rsid w:val="007E14D9"/>
    <w:rsid w:val="007F46C0"/>
    <w:rsid w:val="00802372"/>
    <w:rsid w:val="008056DC"/>
    <w:rsid w:val="00806D27"/>
    <w:rsid w:val="008145C5"/>
    <w:rsid w:val="00816218"/>
    <w:rsid w:val="00822CE0"/>
    <w:rsid w:val="00824DED"/>
    <w:rsid w:val="00837C62"/>
    <w:rsid w:val="00841AB1"/>
    <w:rsid w:val="008858D4"/>
    <w:rsid w:val="00893518"/>
    <w:rsid w:val="008B64B6"/>
    <w:rsid w:val="008B68C6"/>
    <w:rsid w:val="008C1532"/>
    <w:rsid w:val="008C22FD"/>
    <w:rsid w:val="008C33CC"/>
    <w:rsid w:val="008D0AEC"/>
    <w:rsid w:val="008F795A"/>
    <w:rsid w:val="009072AD"/>
    <w:rsid w:val="00910F12"/>
    <w:rsid w:val="00926503"/>
    <w:rsid w:val="00930ECF"/>
    <w:rsid w:val="00935EF6"/>
    <w:rsid w:val="00940668"/>
    <w:rsid w:val="00956CD5"/>
    <w:rsid w:val="00960C29"/>
    <w:rsid w:val="009624D7"/>
    <w:rsid w:val="00971070"/>
    <w:rsid w:val="0097501F"/>
    <w:rsid w:val="009838BC"/>
    <w:rsid w:val="00984A60"/>
    <w:rsid w:val="00990813"/>
    <w:rsid w:val="009C4581"/>
    <w:rsid w:val="009D2DCB"/>
    <w:rsid w:val="009D5E76"/>
    <w:rsid w:val="00A06F6C"/>
    <w:rsid w:val="00A124FE"/>
    <w:rsid w:val="00A27A7A"/>
    <w:rsid w:val="00A37023"/>
    <w:rsid w:val="00A45F4F"/>
    <w:rsid w:val="00A600A9"/>
    <w:rsid w:val="00A76C51"/>
    <w:rsid w:val="00A7744C"/>
    <w:rsid w:val="00A866AC"/>
    <w:rsid w:val="00A86AB2"/>
    <w:rsid w:val="00A94CB1"/>
    <w:rsid w:val="00AA315F"/>
    <w:rsid w:val="00AA55B7"/>
    <w:rsid w:val="00AA5B9E"/>
    <w:rsid w:val="00AA60E8"/>
    <w:rsid w:val="00AA79E6"/>
    <w:rsid w:val="00AB2407"/>
    <w:rsid w:val="00AB53DF"/>
    <w:rsid w:val="00AB7B1D"/>
    <w:rsid w:val="00AC4D6E"/>
    <w:rsid w:val="00AC5B61"/>
    <w:rsid w:val="00AF24FB"/>
    <w:rsid w:val="00AF55BF"/>
    <w:rsid w:val="00B07E5C"/>
    <w:rsid w:val="00B17EDF"/>
    <w:rsid w:val="00B27125"/>
    <w:rsid w:val="00B3081B"/>
    <w:rsid w:val="00B326E3"/>
    <w:rsid w:val="00B326EA"/>
    <w:rsid w:val="00B4296E"/>
    <w:rsid w:val="00B43D26"/>
    <w:rsid w:val="00B56110"/>
    <w:rsid w:val="00B56808"/>
    <w:rsid w:val="00B621FA"/>
    <w:rsid w:val="00B811F7"/>
    <w:rsid w:val="00B8258D"/>
    <w:rsid w:val="00BA5DC6"/>
    <w:rsid w:val="00BA6196"/>
    <w:rsid w:val="00BB2A40"/>
    <w:rsid w:val="00BC1AF4"/>
    <w:rsid w:val="00BC6D8C"/>
    <w:rsid w:val="00BD586E"/>
    <w:rsid w:val="00BE5311"/>
    <w:rsid w:val="00C16AF2"/>
    <w:rsid w:val="00C21ACA"/>
    <w:rsid w:val="00C23C91"/>
    <w:rsid w:val="00C24514"/>
    <w:rsid w:val="00C255E7"/>
    <w:rsid w:val="00C34006"/>
    <w:rsid w:val="00C40280"/>
    <w:rsid w:val="00C41A6F"/>
    <w:rsid w:val="00C426B1"/>
    <w:rsid w:val="00C43E1E"/>
    <w:rsid w:val="00C4406E"/>
    <w:rsid w:val="00C51BF3"/>
    <w:rsid w:val="00C57792"/>
    <w:rsid w:val="00C6381E"/>
    <w:rsid w:val="00C82B6B"/>
    <w:rsid w:val="00C90D6A"/>
    <w:rsid w:val="00CA05F1"/>
    <w:rsid w:val="00CB2C44"/>
    <w:rsid w:val="00CB6E1A"/>
    <w:rsid w:val="00CC1CEB"/>
    <w:rsid w:val="00CC72B6"/>
    <w:rsid w:val="00CD2225"/>
    <w:rsid w:val="00CE196A"/>
    <w:rsid w:val="00CE47AC"/>
    <w:rsid w:val="00D0218D"/>
    <w:rsid w:val="00D20189"/>
    <w:rsid w:val="00D216CD"/>
    <w:rsid w:val="00D275AB"/>
    <w:rsid w:val="00D32482"/>
    <w:rsid w:val="00D358D4"/>
    <w:rsid w:val="00D50B4C"/>
    <w:rsid w:val="00D621A3"/>
    <w:rsid w:val="00D625BE"/>
    <w:rsid w:val="00D666B5"/>
    <w:rsid w:val="00D7342F"/>
    <w:rsid w:val="00D76984"/>
    <w:rsid w:val="00D7761A"/>
    <w:rsid w:val="00DA2529"/>
    <w:rsid w:val="00DB130A"/>
    <w:rsid w:val="00DB5B73"/>
    <w:rsid w:val="00DC10A1"/>
    <w:rsid w:val="00DC2721"/>
    <w:rsid w:val="00DC45A0"/>
    <w:rsid w:val="00DC51D0"/>
    <w:rsid w:val="00DC655F"/>
    <w:rsid w:val="00DD7EBD"/>
    <w:rsid w:val="00DF62B6"/>
    <w:rsid w:val="00E04D6A"/>
    <w:rsid w:val="00E07225"/>
    <w:rsid w:val="00E155B7"/>
    <w:rsid w:val="00E20627"/>
    <w:rsid w:val="00E275E9"/>
    <w:rsid w:val="00E5409F"/>
    <w:rsid w:val="00EB03FF"/>
    <w:rsid w:val="00EB14B3"/>
    <w:rsid w:val="00EC0185"/>
    <w:rsid w:val="00EC35B5"/>
    <w:rsid w:val="00EC5A3F"/>
    <w:rsid w:val="00EE10A5"/>
    <w:rsid w:val="00EE291B"/>
    <w:rsid w:val="00EF0C0F"/>
    <w:rsid w:val="00F021FA"/>
    <w:rsid w:val="00F05E34"/>
    <w:rsid w:val="00F1547C"/>
    <w:rsid w:val="00F17A82"/>
    <w:rsid w:val="00F2506F"/>
    <w:rsid w:val="00F31869"/>
    <w:rsid w:val="00F34AD7"/>
    <w:rsid w:val="00F35321"/>
    <w:rsid w:val="00F57ACA"/>
    <w:rsid w:val="00F6207F"/>
    <w:rsid w:val="00F62E97"/>
    <w:rsid w:val="00F64209"/>
    <w:rsid w:val="00F776F0"/>
    <w:rsid w:val="00F93BF5"/>
    <w:rsid w:val="00F93C9C"/>
    <w:rsid w:val="00F96F63"/>
    <w:rsid w:val="00FB01A4"/>
    <w:rsid w:val="00FB106D"/>
    <w:rsid w:val="22228F5B"/>
    <w:rsid w:val="2D533A14"/>
    <w:rsid w:val="3D197EED"/>
    <w:rsid w:val="4F8189AE"/>
    <w:rsid w:val="57CFD69B"/>
    <w:rsid w:val="62F6B7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75276A0-C130-4574-9D4E-912DD657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6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qFormat/>
    <w:rsid w:val="000E3D42"/>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5Char">
    <w:name w:val="Heading 5 Char"/>
    <w:link w:val="Heading5"/>
    <w:rsid w:val="00F2506F"/>
    <w:rPr>
      <w:b/>
      <w:snapToGrid w:val="0"/>
      <w:kern w:val="28"/>
      <w:sz w:val="22"/>
    </w:rPr>
  </w:style>
  <w:style w:type="character" w:customStyle="1" w:styleId="FootnoteTextChar">
    <w:name w:val="Footnote Text Char"/>
    <w:link w:val="FootnoteText"/>
    <w:uiPriority w:val="99"/>
    <w:rsid w:val="00F2506F"/>
  </w:style>
  <w:style w:type="character" w:customStyle="1" w:styleId="ParaNumCharChar1">
    <w:name w:val="ParaNum Char Char1"/>
    <w:link w:val="ParaNum"/>
    <w:locked/>
    <w:rsid w:val="00F2506F"/>
    <w:rPr>
      <w:snapToGrid w:val="0"/>
      <w:kern w:val="28"/>
      <w:sz w:val="22"/>
    </w:rPr>
  </w:style>
  <w:style w:type="character" w:customStyle="1" w:styleId="UnresolvedMention">
    <w:name w:val="Unresolved Mention"/>
    <w:uiPriority w:val="99"/>
    <w:rsid w:val="00C6381E"/>
    <w:rPr>
      <w:color w:val="605E5C"/>
      <w:shd w:val="clear" w:color="auto" w:fill="E1DFDD"/>
    </w:rPr>
  </w:style>
  <w:style w:type="paragraph" w:styleId="BalloonText">
    <w:name w:val="Balloon Text"/>
    <w:basedOn w:val="Normal"/>
    <w:link w:val="BalloonTextChar"/>
    <w:uiPriority w:val="99"/>
    <w:semiHidden/>
    <w:unhideWhenUsed/>
    <w:rsid w:val="00067091"/>
    <w:rPr>
      <w:rFonts w:ascii="Segoe UI" w:hAnsi="Segoe UI" w:cs="Segoe UI"/>
      <w:sz w:val="18"/>
      <w:szCs w:val="18"/>
    </w:rPr>
  </w:style>
  <w:style w:type="character" w:customStyle="1" w:styleId="BalloonTextChar">
    <w:name w:val="Balloon Text Char"/>
    <w:link w:val="BalloonText"/>
    <w:uiPriority w:val="99"/>
    <w:semiHidden/>
    <w:rsid w:val="00067091"/>
    <w:rPr>
      <w:rFonts w:ascii="Segoe UI" w:hAnsi="Segoe UI" w:cs="Segoe UI"/>
      <w:snapToGrid w:val="0"/>
      <w:kern w:val="28"/>
      <w:sz w:val="18"/>
      <w:szCs w:val="18"/>
    </w:rPr>
  </w:style>
  <w:style w:type="character" w:styleId="CommentReference">
    <w:name w:val="annotation reference"/>
    <w:uiPriority w:val="99"/>
    <w:semiHidden/>
    <w:unhideWhenUsed/>
    <w:rsid w:val="00067091"/>
    <w:rPr>
      <w:sz w:val="16"/>
      <w:szCs w:val="16"/>
    </w:rPr>
  </w:style>
  <w:style w:type="paragraph" w:styleId="CommentText">
    <w:name w:val="annotation text"/>
    <w:basedOn w:val="Normal"/>
    <w:link w:val="CommentTextChar"/>
    <w:uiPriority w:val="99"/>
    <w:semiHidden/>
    <w:unhideWhenUsed/>
    <w:rsid w:val="00067091"/>
    <w:rPr>
      <w:sz w:val="20"/>
    </w:rPr>
  </w:style>
  <w:style w:type="character" w:customStyle="1" w:styleId="CommentTextChar">
    <w:name w:val="Comment Text Char"/>
    <w:link w:val="CommentText"/>
    <w:uiPriority w:val="99"/>
    <w:semiHidden/>
    <w:rsid w:val="00067091"/>
    <w:rPr>
      <w:snapToGrid w:val="0"/>
      <w:kern w:val="28"/>
    </w:rPr>
  </w:style>
  <w:style w:type="paragraph" w:styleId="CommentSubject">
    <w:name w:val="annotation subject"/>
    <w:basedOn w:val="CommentText"/>
    <w:next w:val="CommentText"/>
    <w:link w:val="CommentSubjectChar"/>
    <w:uiPriority w:val="99"/>
    <w:semiHidden/>
    <w:unhideWhenUsed/>
    <w:rsid w:val="00067091"/>
    <w:rPr>
      <w:b/>
      <w:bCs/>
    </w:rPr>
  </w:style>
  <w:style w:type="character" w:customStyle="1" w:styleId="CommentSubjectChar">
    <w:name w:val="Comment Subject Char"/>
    <w:link w:val="CommentSubject"/>
    <w:uiPriority w:val="99"/>
    <w:semiHidden/>
    <w:rsid w:val="00067091"/>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enneth.Lynch@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