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76B9" w:rsidP="007D67D9" w14:paraId="187DC725" w14:textId="6EB93A5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E0382E">
        <w:rPr>
          <w:b/>
          <w:szCs w:val="22"/>
        </w:rPr>
        <w:t>20</w:t>
      </w:r>
      <w:r>
        <w:rPr>
          <w:b/>
          <w:szCs w:val="22"/>
        </w:rPr>
        <w:t>-</w:t>
      </w:r>
      <w:r w:rsidR="0040105C">
        <w:rPr>
          <w:b/>
          <w:szCs w:val="22"/>
        </w:rPr>
        <w:t>1477</w:t>
      </w:r>
    </w:p>
    <w:p w:rsidR="006076B9" w:rsidP="007D67D9" w14:paraId="2C4D978E" w14:textId="22AE32B5">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95069">
        <w:rPr>
          <w:b/>
          <w:szCs w:val="22"/>
        </w:rPr>
        <w:t xml:space="preserve"> </w:t>
      </w:r>
      <w:r w:rsidR="00B54F24">
        <w:rPr>
          <w:b/>
          <w:szCs w:val="22"/>
        </w:rPr>
        <w:t xml:space="preserve">December </w:t>
      </w:r>
      <w:r w:rsidR="0006236C">
        <w:rPr>
          <w:b/>
          <w:szCs w:val="22"/>
        </w:rPr>
        <w:t>12</w:t>
      </w:r>
      <w:r w:rsidR="00904501">
        <w:rPr>
          <w:b/>
          <w:szCs w:val="22"/>
        </w:rPr>
        <w:t>,</w:t>
      </w:r>
      <w:r w:rsidR="009642E4">
        <w:rPr>
          <w:b/>
          <w:szCs w:val="22"/>
        </w:rPr>
        <w:t xml:space="preserve"> </w:t>
      </w:r>
      <w:r>
        <w:rPr>
          <w:b/>
          <w:szCs w:val="22"/>
        </w:rPr>
        <w:t>20</w:t>
      </w:r>
      <w:r w:rsidR="00E0382E">
        <w:rPr>
          <w:b/>
          <w:szCs w:val="22"/>
        </w:rPr>
        <w:t>20</w:t>
      </w:r>
    </w:p>
    <w:p w:rsidR="006076B9" w:rsidP="007D67D9" w14:paraId="37BBF682"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85DF4" w:rsidP="007D67D9" w14:paraId="40EC9D7D"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w:t>
      </w:r>
      <w:r w:rsidR="00763B65">
        <w:rPr>
          <w:b/>
          <w:kern w:val="0"/>
          <w:szCs w:val="22"/>
        </w:rPr>
        <w:t>(</w:t>
      </w:r>
      <w:r w:rsidR="00CE255D">
        <w:rPr>
          <w:b/>
          <w:kern w:val="0"/>
          <w:szCs w:val="22"/>
        </w:rPr>
        <w:t>S</w:t>
      </w:r>
      <w:r w:rsidR="00763B65">
        <w:rPr>
          <w:b/>
          <w:kern w:val="0"/>
          <w:szCs w:val="22"/>
        </w:rPr>
        <w:t>)</w:t>
      </w:r>
      <w:r w:rsidR="00FF2D8F">
        <w:rPr>
          <w:b/>
          <w:kern w:val="0"/>
          <w:szCs w:val="22"/>
        </w:rPr>
        <w:t xml:space="preserve"> </w:t>
      </w:r>
    </w:p>
    <w:p w:rsidR="006076B9" w:rsidP="007D67D9" w14:paraId="50628A18"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IN RESPONSE </w:t>
      </w:r>
      <w:r w:rsidR="00E4329C">
        <w:rPr>
          <w:b/>
          <w:kern w:val="0"/>
          <w:szCs w:val="22"/>
        </w:rPr>
        <w:t>TO COPPER RETIREMENT</w:t>
      </w:r>
      <w:r>
        <w:rPr>
          <w:b/>
          <w:kern w:val="0"/>
          <w:szCs w:val="22"/>
        </w:rPr>
        <w:t>(S)</w:t>
      </w:r>
    </w:p>
    <w:p w:rsidR="006076B9" w:rsidP="007D67D9" w14:paraId="6F5891B5"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14:paraId="33DAC889" w14:textId="4F5EEF6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E0382E">
        <w:rPr>
          <w:b/>
          <w:kern w:val="0"/>
          <w:szCs w:val="22"/>
        </w:rPr>
        <w:t>20</w:t>
      </w:r>
      <w:r w:rsidR="006C2B92">
        <w:rPr>
          <w:b/>
          <w:kern w:val="0"/>
          <w:szCs w:val="22"/>
        </w:rPr>
        <w:t>-</w:t>
      </w:r>
      <w:r w:rsidR="00E0382E">
        <w:rPr>
          <w:b/>
          <w:kern w:val="0"/>
          <w:szCs w:val="22"/>
        </w:rPr>
        <w:t>411</w:t>
      </w:r>
      <w:r w:rsidR="00B54F24">
        <w:rPr>
          <w:b/>
          <w:kern w:val="0"/>
          <w:szCs w:val="22"/>
        </w:rPr>
        <w:t xml:space="preserve"> &amp; </w:t>
      </w:r>
      <w:r w:rsidR="00E0382E">
        <w:rPr>
          <w:b/>
          <w:kern w:val="0"/>
          <w:szCs w:val="22"/>
        </w:rPr>
        <w:t>20</w:t>
      </w:r>
      <w:r w:rsidR="00B54F24">
        <w:rPr>
          <w:b/>
          <w:kern w:val="0"/>
          <w:szCs w:val="22"/>
        </w:rPr>
        <w:t>-</w:t>
      </w:r>
      <w:r w:rsidR="00E0382E">
        <w:rPr>
          <w:b/>
          <w:kern w:val="0"/>
          <w:szCs w:val="22"/>
        </w:rPr>
        <w:t>412</w:t>
      </w:r>
    </w:p>
    <w:p w:rsidR="00FF7999" w:rsidP="00556AE0" w14:paraId="6B4C0C4E"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kern w:val="0"/>
          <w:szCs w:val="22"/>
        </w:rPr>
      </w:pPr>
    </w:p>
    <w:p w:rsidR="006076B9" w:rsidP="00151B73" w14:paraId="5F80F2B0" w14:textId="079B551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630E0">
        <w:rPr>
          <w:b/>
          <w:kern w:val="0"/>
          <w:szCs w:val="22"/>
        </w:rPr>
        <w:t xml:space="preserve"> </w:t>
      </w:r>
      <w:r w:rsidR="0006236C">
        <w:rPr>
          <w:b/>
          <w:kern w:val="0"/>
          <w:szCs w:val="22"/>
        </w:rPr>
        <w:t>December 28,</w:t>
      </w:r>
      <w:r w:rsidR="00FA0AFD">
        <w:rPr>
          <w:b/>
          <w:kern w:val="0"/>
          <w:szCs w:val="22"/>
        </w:rPr>
        <w:t xml:space="preserve"> 20</w:t>
      </w:r>
      <w:r w:rsidR="00595069">
        <w:rPr>
          <w:b/>
          <w:kern w:val="0"/>
          <w:szCs w:val="22"/>
        </w:rPr>
        <w:t>20</w:t>
      </w:r>
    </w:p>
    <w:p w:rsidR="006076B9" w14:paraId="70EB28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088052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3DF108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62D73334" w14:textId="77777777">
      <w:pPr>
        <w:autoSpaceDE w:val="0"/>
        <w:autoSpaceDN w:val="0"/>
        <w:adjustRightInd w:val="0"/>
        <w:rPr>
          <w:rFonts w:eastAsia="MS Mincho"/>
          <w:szCs w:val="22"/>
        </w:rPr>
      </w:pPr>
      <w:r>
        <w:rPr>
          <w:spacing w:val="-3"/>
          <w:szCs w:val="22"/>
        </w:rPr>
        <w:tab/>
      </w:r>
      <w:r w:rsidRPr="000B013D">
        <w:rPr>
          <w:spacing w:val="-3"/>
          <w:szCs w:val="22"/>
        </w:rPr>
        <w:t xml:space="preserve">The 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procedures set forth in Section 63.71 of the Commission's rules.</w:t>
      </w:r>
      <w:r>
        <w:rPr>
          <w:rStyle w:val="FootnoteReference"/>
          <w:spacing w:val="-3"/>
          <w:szCs w:val="22"/>
        </w:rPr>
        <w:footnoteReference w:id="2"/>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74D440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0DBD92A8" w14:textId="77777777">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501C1A">
        <w:rPr>
          <w:rFonts w:eastAsia="MS Mincho"/>
          <w:szCs w:val="22"/>
        </w:rPr>
        <w:t>i</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the </w:t>
      </w:r>
      <w:r w:rsidR="00501C1A">
        <w:rPr>
          <w:rFonts w:eastAsia="MS Mincho"/>
          <w:szCs w:val="22"/>
        </w:rPr>
        <w:t>effective date of the copper retirement</w:t>
      </w:r>
      <w:r w:rsidR="00F630E0">
        <w:rPr>
          <w:rFonts w:eastAsia="MS Mincho"/>
          <w:szCs w:val="22"/>
        </w:rPr>
        <w:t>(s)</w:t>
      </w:r>
      <w:r w:rsidR="00501C1A">
        <w:rPr>
          <w:rFonts w:eastAsia="MS Mincho"/>
          <w:szCs w:val="22"/>
        </w:rPr>
        <w:t>.</w:t>
      </w:r>
      <w:r>
        <w:rPr>
          <w:rStyle w:val="FootnoteReference"/>
          <w:rFonts w:eastAsia="MS Mincho"/>
          <w:szCs w:val="22"/>
        </w:rPr>
        <w:footnoteReference w:id="5"/>
      </w:r>
      <w:r w:rsidR="009B2C1F">
        <w:rPr>
          <w:rFonts w:eastAsia="MS Mincho"/>
          <w:szCs w:val="22"/>
        </w:rPr>
        <w:t xml:space="preserv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635732">
        <w:rPr>
          <w:rFonts w:eastAsia="MS Mincho"/>
          <w:szCs w:val="22"/>
        </w:rPr>
        <w:t>i</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w:t>
      </w:r>
      <w:r w:rsidR="003A7EED">
        <w:rPr>
          <w:rFonts w:eastAsia="MS Mincho"/>
          <w:szCs w:val="22"/>
        </w:rPr>
        <w:t>authorized</w:t>
      </w:r>
      <w:r w:rsidRPr="00792917" w:rsidR="00792917">
        <w:rPr>
          <w:rFonts w:eastAsia="MS Mincho"/>
          <w:szCs w:val="22"/>
        </w:rPr>
        <w:t xml:space="preserve"> date</w:t>
      </w:r>
      <w:r w:rsidR="003A7EED">
        <w:rPr>
          <w:rFonts w:eastAsia="MS Mincho"/>
          <w:szCs w:val="22"/>
        </w:rPr>
        <w:t>(s)</w:t>
      </w:r>
      <w:r w:rsidRPr="00792917" w:rsidR="00792917">
        <w:rPr>
          <w:rFonts w:eastAsia="MS Mincho"/>
          <w:szCs w:val="22"/>
        </w:rPr>
        <w:t xml:space="preserve"> stated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3CAFEF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447C469F" w14:textId="4A49BD1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92826">
        <w:rPr>
          <w:b/>
          <w:szCs w:val="22"/>
        </w:rPr>
        <w:t>December</w:t>
      </w:r>
      <w:r w:rsidR="0089261B">
        <w:rPr>
          <w:b/>
          <w:szCs w:val="22"/>
        </w:rPr>
        <w:t xml:space="preserve"> </w:t>
      </w:r>
      <w:r w:rsidR="00792826">
        <w:rPr>
          <w:b/>
          <w:szCs w:val="22"/>
        </w:rPr>
        <w:t>28</w:t>
      </w:r>
      <w:r w:rsidR="00350315">
        <w:rPr>
          <w:b/>
          <w:szCs w:val="22"/>
        </w:rPr>
        <w:t xml:space="preserve">, </w:t>
      </w:r>
      <w:r w:rsidR="00FA0AFD">
        <w:rPr>
          <w:b/>
          <w:szCs w:val="22"/>
        </w:rPr>
        <w:t>20</w:t>
      </w:r>
      <w:r w:rsidR="00595069">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w:t>
      </w:r>
      <w:bookmarkStart w:id="1" w:name="_GoBack"/>
      <w:bookmarkEnd w:id="1"/>
      <w:r>
        <w:rPr>
          <w:szCs w:val="22"/>
        </w:rPr>
        <w:t>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6EAE1F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B4956" w:rsidRPr="009B4956" w:rsidP="009B4956" w14:paraId="121B7B1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9B4956">
        <w:rPr>
          <w:szCs w:val="22"/>
        </w:rPr>
        <w:t xml:space="preserve">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   All filings must be addressed to the Commission’s Secretary, Office of the Secretary, Federal Communications Commission.  Commercial overnight mail and U.S. Postal Service first-class, Express Mail and Priority Mail must be sent to 9050 Junction Drive, Annapolis Junction, MD 20701.  </w:t>
      </w:r>
    </w:p>
    <w:p w:rsidR="009B4956" w:rsidRPr="009B4956" w:rsidP="009B4956" w14:paraId="434E1E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9B4956" w14:paraId="3C5C415E" w14:textId="26FFE1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B4956">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3A4498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74A7C3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62F663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214A24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346D00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54B5FC5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649E45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26DF62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Pr="00556AE0" w:rsidP="00665F81" w14:paraId="62CDFE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AC52E0" w14:paraId="13A9577C" w14:textId="77777777">
      <w:pPr>
        <w:rPr>
          <w:szCs w:val="22"/>
        </w:rPr>
      </w:pPr>
      <w:r>
        <w:rPr>
          <w:szCs w:val="22"/>
        </w:rPr>
        <w:br w:type="page"/>
      </w:r>
    </w:p>
    <w:p w:rsidR="00665F81" w:rsidP="00665F81" w14:paraId="628DE1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14:paraId="7810C0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14:paraId="35C2F40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084C" w:rsidRPr="008E084C" w:rsidP="008E084C" w14:paraId="17F11D56"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B54F24">
        <w:rPr>
          <w:b/>
          <w:szCs w:val="22"/>
        </w:rPr>
        <w:t xml:space="preserve">Applicant(s): </w:t>
      </w:r>
      <w:r w:rsidR="00881882">
        <w:rPr>
          <w:b/>
          <w:szCs w:val="22"/>
        </w:rPr>
        <w:t xml:space="preserve"> </w:t>
      </w:r>
      <w:r w:rsidRPr="008E084C">
        <w:rPr>
          <w:b/>
          <w:szCs w:val="22"/>
        </w:rPr>
        <w:t>Windstream Services II, LLC, Broadview Networks, Inc, Cavalier Telephone</w:t>
      </w:r>
      <w:r w:rsidRPr="008E084C">
        <w:rPr>
          <w:b/>
          <w:szCs w:val="22"/>
        </w:rPr>
        <w:tab/>
      </w:r>
    </w:p>
    <w:p w:rsidR="00B54F24" w:rsidP="008E084C" w14:paraId="1318E7E5" w14:textId="21FAC6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084C">
        <w:rPr>
          <w:b/>
          <w:szCs w:val="22"/>
        </w:rPr>
        <w:t>Mid-Atlantic, LLC, and Choice One Communications of Pennsylvania, Inc.</w:t>
      </w:r>
    </w:p>
    <w:p w:rsidR="00B54F24" w:rsidRPr="00B54F24" w:rsidP="00B54F24" w14:paraId="3D8501E0" w14:textId="5E7F039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WC Docket No. </w:t>
      </w:r>
      <w:r w:rsidR="00E0382E">
        <w:rPr>
          <w:b/>
          <w:szCs w:val="22"/>
        </w:rPr>
        <w:t>20</w:t>
      </w:r>
      <w:r w:rsidRPr="00B54F24">
        <w:rPr>
          <w:b/>
          <w:szCs w:val="22"/>
        </w:rPr>
        <w:t>-</w:t>
      </w:r>
      <w:r w:rsidR="00E0382E">
        <w:rPr>
          <w:b/>
          <w:szCs w:val="22"/>
        </w:rPr>
        <w:t>41</w:t>
      </w:r>
      <w:r w:rsidR="008E084C">
        <w:rPr>
          <w:b/>
          <w:szCs w:val="22"/>
        </w:rPr>
        <w:t>1</w:t>
      </w:r>
      <w:r w:rsidRPr="00B54F24">
        <w:rPr>
          <w:b/>
          <w:szCs w:val="22"/>
        </w:rPr>
        <w:t>, Comp. Pol. File No. 1</w:t>
      </w:r>
      <w:r w:rsidR="00E0382E">
        <w:rPr>
          <w:b/>
          <w:szCs w:val="22"/>
        </w:rPr>
        <w:t>661</w:t>
      </w:r>
    </w:p>
    <w:p w:rsidR="00B54F24" w:rsidRPr="0095300A" w:rsidP="00B54F24" w14:paraId="32A5C55E" w14:textId="34F9BD5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Link –</w:t>
      </w:r>
      <w:r w:rsidR="008E084C">
        <w:rPr>
          <w:b/>
          <w:szCs w:val="22"/>
        </w:rPr>
        <w:t xml:space="preserve"> </w:t>
      </w:r>
      <w:hyperlink r:id="rId8" w:history="1">
        <w:r w:rsidRPr="008E084C" w:rsidR="008E084C">
          <w:rPr>
            <w:rStyle w:val="Hyperlink"/>
            <w:bCs/>
            <w:szCs w:val="22"/>
          </w:rPr>
          <w:t>https://www.fcc.gov/ecfs/search/filings?proceedings_name=20-411&amp;sort=date_disseminated,DESC</w:t>
        </w:r>
      </w:hyperlink>
    </w:p>
    <w:p w:rsidR="00B54F24" w:rsidRPr="00B54F24" w:rsidP="00B54F24" w14:paraId="1C917C92" w14:textId="71C96C0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 xml:space="preserve">Affected Service(s) – </w:t>
      </w:r>
      <w:r w:rsidRPr="00EF29B8" w:rsidR="00EF29B8">
        <w:rPr>
          <w:szCs w:val="22"/>
        </w:rPr>
        <w:t>Private Branch Exchange</w:t>
      </w:r>
      <w:r w:rsidR="00792826">
        <w:rPr>
          <w:szCs w:val="22"/>
        </w:rPr>
        <w:t xml:space="preserve"> (PBX)</w:t>
      </w:r>
      <w:r w:rsidRPr="00EF29B8" w:rsidR="00EF29B8">
        <w:rPr>
          <w:szCs w:val="22"/>
        </w:rPr>
        <w:t xml:space="preserve"> Trunks, Digital Subscriber Line</w:t>
      </w:r>
      <w:r w:rsidRPr="00792826" w:rsidR="00792826">
        <w:t xml:space="preserve"> </w:t>
      </w:r>
      <w:r w:rsidR="00792826">
        <w:t>(</w:t>
      </w:r>
      <w:r w:rsidRPr="00792826" w:rsidR="00792826">
        <w:rPr>
          <w:szCs w:val="22"/>
        </w:rPr>
        <w:t>DSL</w:t>
      </w:r>
      <w:r w:rsidR="00792826">
        <w:rPr>
          <w:szCs w:val="22"/>
        </w:rPr>
        <w:t>)</w:t>
      </w:r>
      <w:r w:rsidRPr="00EF29B8" w:rsidR="00EF29B8">
        <w:rPr>
          <w:szCs w:val="22"/>
        </w:rPr>
        <w:t>, Ground Start Trunks, Ethernet over Copper, and POTS via DSL</w:t>
      </w:r>
    </w:p>
    <w:p w:rsidR="00B54F24" w:rsidRPr="00B54F24" w:rsidP="00B54F24" w14:paraId="1464A337" w14:textId="224B857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 xml:space="preserve">Service Area(s) – </w:t>
      </w:r>
      <w:r w:rsidRPr="00EF29B8" w:rsidR="00EF29B8">
        <w:rPr>
          <w:szCs w:val="22"/>
        </w:rPr>
        <w:t>Montclair, NJ; New Rochelle, NY; Jenkintown, Middletown, Philadelphia, Turtle Creek and Wilkinsburg, PA; and Portsmouth, VA</w:t>
      </w:r>
    </w:p>
    <w:p w:rsidR="00B54F24" w:rsidRPr="00B54F24" w:rsidP="00B54F24" w14:paraId="73D634F7" w14:textId="5E7D13B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Authorized Date(s) – </w:t>
      </w:r>
      <w:r w:rsidRPr="00B54F24">
        <w:rPr>
          <w:szCs w:val="22"/>
        </w:rPr>
        <w:t xml:space="preserve">on or after </w:t>
      </w:r>
      <w:r w:rsidRPr="00E0382E" w:rsidR="00E0382E">
        <w:rPr>
          <w:szCs w:val="22"/>
        </w:rPr>
        <w:t>January 12, 2021</w:t>
      </w:r>
    </w:p>
    <w:p w:rsidR="00B54F24" w:rsidP="00B54F24" w14:paraId="7BBAEC9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Contact(s) – </w:t>
      </w:r>
      <w:r w:rsidRPr="00B54F24">
        <w:rPr>
          <w:szCs w:val="22"/>
        </w:rPr>
        <w:t>Kimberly Jackson, (202) 418-7393 (voice), Kimberly.Jackson@fcc.gov, of the Competition Policy Division, Wireline Competition Bureau</w:t>
      </w:r>
      <w:r w:rsidRPr="00B54F24">
        <w:rPr>
          <w:b/>
          <w:szCs w:val="22"/>
        </w:rPr>
        <w:t xml:space="preserve">  </w:t>
      </w:r>
    </w:p>
    <w:p w:rsidR="00AE70ED" w:rsidRPr="00AE70ED" w:rsidP="00B54F24" w14:paraId="4D12C58D" w14:textId="48ED8B7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3" w:name="_Hlk58502424"/>
      <w:r>
        <w:rPr>
          <w:b/>
          <w:szCs w:val="22"/>
        </w:rPr>
        <w:t xml:space="preserve">Note: </w:t>
      </w:r>
      <w:r w:rsidR="007A7592">
        <w:rPr>
          <w:b/>
          <w:szCs w:val="22"/>
        </w:rPr>
        <w:t xml:space="preserve"> </w:t>
      </w:r>
      <w:r w:rsidRPr="00AE70ED">
        <w:rPr>
          <w:szCs w:val="22"/>
        </w:rPr>
        <w:t>The applicant filed a</w:t>
      </w:r>
      <w:r w:rsidR="0006236C">
        <w:rPr>
          <w:szCs w:val="22"/>
        </w:rPr>
        <w:t xml:space="preserve"> supplemental</w:t>
      </w:r>
      <w:r w:rsidRPr="00AE70ED">
        <w:rPr>
          <w:szCs w:val="22"/>
        </w:rPr>
        <w:t xml:space="preserve"> letter on December </w:t>
      </w:r>
      <w:r w:rsidR="00D44F30">
        <w:rPr>
          <w:szCs w:val="22"/>
        </w:rPr>
        <w:t>10</w:t>
      </w:r>
      <w:r w:rsidRPr="00AE70ED">
        <w:rPr>
          <w:szCs w:val="22"/>
        </w:rPr>
        <w:t>, 20</w:t>
      </w:r>
      <w:r w:rsidR="0006236C">
        <w:rPr>
          <w:szCs w:val="22"/>
        </w:rPr>
        <w:t>20</w:t>
      </w:r>
      <w:r w:rsidRPr="00AE70ED">
        <w:rPr>
          <w:szCs w:val="22"/>
        </w:rPr>
        <w:t xml:space="preserve"> </w:t>
      </w:r>
      <w:r w:rsidR="0006236C">
        <w:rPr>
          <w:szCs w:val="22"/>
        </w:rPr>
        <w:t>confirming that Verizon</w:t>
      </w:r>
      <w:r w:rsidR="00D44F30">
        <w:rPr>
          <w:szCs w:val="22"/>
        </w:rPr>
        <w:t xml:space="preserve">, the underlying provider, will </w:t>
      </w:r>
      <w:r w:rsidR="0006236C">
        <w:rPr>
          <w:szCs w:val="22"/>
        </w:rPr>
        <w:t>continue to provide TDM-based voice service over fiber</w:t>
      </w:r>
      <w:r w:rsidR="00D44F30">
        <w:rPr>
          <w:szCs w:val="22"/>
        </w:rPr>
        <w:t xml:space="preserve"> in the affected service areas</w:t>
      </w:r>
      <w:r w:rsidR="0006236C">
        <w:rPr>
          <w:szCs w:val="22"/>
        </w:rPr>
        <w:t xml:space="preserve">.  </w:t>
      </w:r>
    </w:p>
    <w:bookmarkEnd w:id="3"/>
    <w:p w:rsidR="00B54F24" w:rsidRPr="00B54F24" w:rsidP="00B54F24" w14:paraId="64319FB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43DA8" w:rsidP="00943DA8" w14:paraId="5EC83199" w14:textId="47E600E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271A">
        <w:rPr>
          <w:b/>
          <w:szCs w:val="22"/>
        </w:rPr>
        <w:t xml:space="preserve">Applicant(s): </w:t>
      </w:r>
      <w:r w:rsidR="0067663C">
        <w:rPr>
          <w:b/>
          <w:szCs w:val="22"/>
        </w:rPr>
        <w:t xml:space="preserve"> </w:t>
      </w:r>
      <w:r w:rsidRPr="008E084C" w:rsidR="008E084C">
        <w:rPr>
          <w:b/>
          <w:szCs w:val="22"/>
        </w:rPr>
        <w:t xml:space="preserve">Windstream Services II, LLC and </w:t>
      </w:r>
      <w:r w:rsidRPr="008E084C" w:rsidR="008E084C">
        <w:rPr>
          <w:b/>
          <w:szCs w:val="22"/>
        </w:rPr>
        <w:t>Conversent</w:t>
      </w:r>
      <w:r w:rsidRPr="008E084C" w:rsidR="008E084C">
        <w:rPr>
          <w:b/>
          <w:szCs w:val="22"/>
        </w:rPr>
        <w:t xml:space="preserve"> Communications of Massachusetts, Inc.</w:t>
      </w:r>
    </w:p>
    <w:p w:rsidR="00D4271A" w:rsidRPr="00D4271A" w:rsidP="00943DA8" w14:paraId="4123B4CA" w14:textId="0C237C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271A">
        <w:rPr>
          <w:b/>
          <w:szCs w:val="22"/>
        </w:rPr>
        <w:t xml:space="preserve">WC Docket No. </w:t>
      </w:r>
      <w:r w:rsidR="00E0382E">
        <w:rPr>
          <w:b/>
          <w:szCs w:val="22"/>
        </w:rPr>
        <w:t>20-41</w:t>
      </w:r>
      <w:r w:rsidR="008E084C">
        <w:rPr>
          <w:b/>
          <w:szCs w:val="22"/>
        </w:rPr>
        <w:t>2</w:t>
      </w:r>
      <w:r w:rsidRPr="00D4271A">
        <w:rPr>
          <w:b/>
          <w:szCs w:val="22"/>
        </w:rPr>
        <w:t>, Comp. Pol. File No. 1</w:t>
      </w:r>
      <w:r w:rsidR="00E0382E">
        <w:rPr>
          <w:b/>
          <w:szCs w:val="22"/>
        </w:rPr>
        <w:t>662</w:t>
      </w:r>
    </w:p>
    <w:p w:rsidR="00DF6C22" w:rsidP="00D4271A" w14:paraId="11DB8D0A" w14:textId="4107F7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Link</w:t>
      </w:r>
      <w:r w:rsidRPr="00D4271A">
        <w:rPr>
          <w:szCs w:val="22"/>
        </w:rPr>
        <w:t xml:space="preserve"> –</w:t>
      </w:r>
      <w:r w:rsidR="008E084C">
        <w:rPr>
          <w:szCs w:val="22"/>
        </w:rPr>
        <w:t xml:space="preserve"> </w:t>
      </w:r>
      <w:hyperlink r:id="rId9" w:history="1">
        <w:r w:rsidRPr="008E084C" w:rsidR="008E084C">
          <w:rPr>
            <w:rStyle w:val="Hyperlink"/>
            <w:szCs w:val="22"/>
          </w:rPr>
          <w:t>https://www.fcc.gov/ecfs/search/filings?proceedings_name=20-412&amp;sort=date_disseminated,DESC</w:t>
        </w:r>
      </w:hyperlink>
    </w:p>
    <w:p w:rsidR="00D4271A" w:rsidRPr="00D4271A" w:rsidP="00D4271A" w14:paraId="2EBE8270" w14:textId="0AD416E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Affected Service(s)</w:t>
      </w:r>
      <w:r w:rsidRPr="00D4271A">
        <w:rPr>
          <w:szCs w:val="22"/>
        </w:rPr>
        <w:t xml:space="preserve"> </w:t>
      </w:r>
      <w:r w:rsidR="00DF6C22">
        <w:rPr>
          <w:szCs w:val="22"/>
        </w:rPr>
        <w:t>–</w:t>
      </w:r>
      <w:r w:rsidRPr="00D4271A">
        <w:rPr>
          <w:szCs w:val="22"/>
        </w:rPr>
        <w:t xml:space="preserve"> </w:t>
      </w:r>
      <w:r w:rsidR="00557D7C">
        <w:rPr>
          <w:szCs w:val="22"/>
        </w:rPr>
        <w:t>DSL</w:t>
      </w:r>
    </w:p>
    <w:p w:rsidR="00D4271A" w:rsidRPr="00D4271A" w:rsidP="00943DA8" w14:paraId="5D9ED94E" w14:textId="0A34C2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Service Area(s)</w:t>
      </w:r>
      <w:r w:rsidRPr="00D4271A">
        <w:rPr>
          <w:szCs w:val="22"/>
        </w:rPr>
        <w:t xml:space="preserve"> – </w:t>
      </w:r>
      <w:r w:rsidR="00557D7C">
        <w:rPr>
          <w:szCs w:val="22"/>
        </w:rPr>
        <w:t xml:space="preserve">Newton, MA </w:t>
      </w:r>
    </w:p>
    <w:p w:rsidR="00D4271A" w:rsidRPr="00D4271A" w:rsidP="00D4271A" w14:paraId="32035E47" w14:textId="263F63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Authorized Date(s)</w:t>
      </w:r>
      <w:r w:rsidRPr="00D4271A">
        <w:rPr>
          <w:szCs w:val="22"/>
        </w:rPr>
        <w:t xml:space="preserve"> – on or after </w:t>
      </w:r>
      <w:r w:rsidRPr="00E0382E" w:rsidR="00E0382E">
        <w:rPr>
          <w:szCs w:val="22"/>
        </w:rPr>
        <w:t>March 2, 2021</w:t>
      </w:r>
    </w:p>
    <w:p w:rsidR="00D4271A" w:rsidP="00D4271A" w14:paraId="46449492" w14:textId="19EF0A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Contact(s)</w:t>
      </w:r>
      <w:r w:rsidRPr="00D4271A">
        <w:rPr>
          <w:szCs w:val="22"/>
        </w:rPr>
        <w:t xml:space="preserve"> – Kimberly Jackson, (202) 418-7393 (voice), Kimberly.Jackson@fcc.gov, of the Competition Policy Division, Wireline Competition Bureau</w:t>
      </w:r>
      <w:bookmarkEnd w:id="2"/>
    </w:p>
    <w:p w:rsidR="00792826" w:rsidP="00D4271A" w14:paraId="027C15FC" w14:textId="384EAB9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3CDB">
        <w:rPr>
          <w:b/>
          <w:bCs/>
          <w:szCs w:val="22"/>
        </w:rPr>
        <w:t>Note:</w:t>
      </w:r>
      <w:r w:rsidRPr="00792826">
        <w:rPr>
          <w:szCs w:val="22"/>
        </w:rPr>
        <w:t xml:space="preserve">  The applicant filed a supplemental letter on December </w:t>
      </w:r>
      <w:r w:rsidR="00D44F30">
        <w:rPr>
          <w:szCs w:val="22"/>
        </w:rPr>
        <w:t>10</w:t>
      </w:r>
      <w:r w:rsidRPr="00792826">
        <w:rPr>
          <w:szCs w:val="22"/>
        </w:rPr>
        <w:t>, 2020 confirming that Verizon</w:t>
      </w:r>
      <w:r w:rsidR="00D44F30">
        <w:rPr>
          <w:szCs w:val="22"/>
        </w:rPr>
        <w:t>, the underlying provider, will</w:t>
      </w:r>
      <w:r w:rsidRPr="00792826">
        <w:rPr>
          <w:szCs w:val="22"/>
        </w:rPr>
        <w:t xml:space="preserve"> continue to provide TDM-based voice service over fiber</w:t>
      </w:r>
      <w:r w:rsidR="00D44F30">
        <w:rPr>
          <w:szCs w:val="22"/>
        </w:rPr>
        <w:t xml:space="preserve"> in the affected service area</w:t>
      </w:r>
      <w:r w:rsidRPr="00792826">
        <w:rPr>
          <w:szCs w:val="22"/>
        </w:rPr>
        <w:t xml:space="preserve">.  </w:t>
      </w:r>
    </w:p>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4FC4C0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91C7D0B" w14:textId="77777777">
      <w:r>
        <w:separator/>
      </w:r>
    </w:p>
  </w:footnote>
  <w:footnote w:type="continuationSeparator" w:id="1">
    <w:p w:rsidR="007A190B" w14:paraId="5D2AFAC9" w14:textId="77777777">
      <w:r>
        <w:continuationSeparator/>
      </w:r>
    </w:p>
  </w:footnote>
  <w:footnote w:id="2">
    <w:p w:rsidR="00D33FBA" w:rsidRPr="00C91996" w14:paraId="37D7391E"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56B6FDED"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45386415"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B450B" w14:paraId="1F64648E"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501C1A">
        <w:rPr>
          <w:sz w:val="20"/>
        </w:rPr>
        <w:t>i</w:t>
      </w:r>
      <w:r w:rsidR="00A10681">
        <w:rPr>
          <w:sz w:val="20"/>
        </w:rPr>
        <w:t xml:space="preserve">) </w:t>
      </w:r>
      <w:r w:rsidRPr="00A10681" w:rsidR="00A10681">
        <w:rPr>
          <w:sz w:val="20"/>
        </w:rPr>
        <w:t xml:space="preserve">(stating, in relevant part, that an application </w:t>
      </w:r>
      <w:r w:rsidR="00501C1A">
        <w:rPr>
          <w:sz w:val="20"/>
        </w:rPr>
        <w:t>to discontinue, reduce, or impair a service filed by a competitive local exchange carrier in response to a copper retirement notice…</w:t>
      </w:r>
      <w:r w:rsidR="00CD0D27">
        <w:rPr>
          <w:sz w:val="20"/>
        </w:rPr>
        <w:t xml:space="preserve"> </w:t>
      </w:r>
      <w:r w:rsidR="00501C1A">
        <w:rPr>
          <w:sz w:val="20"/>
        </w:rPr>
        <w:t>shall</w:t>
      </w:r>
      <w:r w:rsidRPr="00A10681" w:rsidR="00A10681">
        <w:rPr>
          <w:sz w:val="20"/>
        </w:rPr>
        <w:t xml:space="preserve"> be automatically granted on </w:t>
      </w:r>
      <w:r w:rsidR="00501C1A">
        <w:rPr>
          <w:sz w:val="20"/>
        </w:rPr>
        <w:t>the effective date of the copper retirement</w:t>
      </w:r>
      <w:r w:rsidRPr="00A10681" w:rsidR="00A10681">
        <w:rPr>
          <w:sz w:val="20"/>
        </w:rPr>
        <w:t>”)</w:t>
      </w:r>
      <w:r w:rsidRPr="00CB6186">
        <w:rPr>
          <w:sz w:val="20"/>
        </w:rPr>
        <w:t>.</w:t>
      </w:r>
    </w:p>
  </w:footnote>
  <w:footnote w:id="6">
    <w:p w:rsidR="00D33FBA" w:rsidRPr="00C91996" w14:paraId="697256C7"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14:paraId="6277FD2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E19" w14:paraId="2633B26B" w14:textId="39FB3020">
    <w:pPr>
      <w:pStyle w:val="Header"/>
    </w:pPr>
    <w:r>
      <w:ptab w:relativeTo="margin" w:alignment="center" w:leader="none"/>
    </w:r>
    <w:r>
      <w:ptab w:relativeTo="margin" w:alignment="right" w:leader="none"/>
    </w:r>
    <w:r>
      <w:t>DA 20-</w:t>
    </w:r>
    <w:r w:rsidR="00F4152E">
      <w:t>1477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7EF667E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0A5A95FC">
                          <w:pPr>
                            <w:rPr>
                              <w:rFonts w:ascii="Arial" w:hAnsi="Arial" w:cs="Arial"/>
                              <w:b/>
                            </w:rPr>
                          </w:pPr>
                          <w:r w:rsidRPr="002D783A">
                            <w:rPr>
                              <w:rFonts w:ascii="Arial" w:hAnsi="Arial" w:cs="Arial"/>
                              <w:b/>
                            </w:rPr>
                            <w:t xml:space="preserve">45 </w:t>
                          </w:r>
                          <w:r w:rsidR="00E0382E">
                            <w:rPr>
                              <w:rFonts w:ascii="Arial" w:hAnsi="Arial" w:cs="Arial"/>
                              <w:b/>
                            </w:rPr>
                            <w:t>L</w:t>
                          </w:r>
                          <w:r w:rsidRPr="002D783A">
                            <w:rPr>
                              <w:rFonts w:ascii="Arial" w:hAnsi="Arial" w:cs="Arial"/>
                              <w:b/>
                            </w:rPr>
                            <w:t xml:space="preserve"> Street, </w:t>
                          </w:r>
                          <w:r w:rsidR="00E0382E">
                            <w:rPr>
                              <w:rFonts w:ascii="Arial" w:hAnsi="Arial" w:cs="Arial"/>
                              <w:b/>
                            </w:rPr>
                            <w:t>N</w:t>
                          </w:r>
                          <w:r w:rsidRPr="002D783A">
                            <w:rPr>
                              <w:rFonts w:ascii="Arial" w:hAnsi="Arial" w:cs="Arial"/>
                              <w:b/>
                            </w:rPr>
                            <w:t>.</w:t>
                          </w:r>
                          <w:r w:rsidR="00E0382E">
                            <w:rPr>
                              <w:rFonts w:ascii="Arial" w:hAnsi="Arial" w:cs="Arial"/>
                              <w:b/>
                            </w:rPr>
                            <w:t>E</w:t>
                          </w:r>
                          <w:r w:rsidRPr="002D783A">
                            <w:rPr>
                              <w:rFonts w:ascii="Arial" w:hAnsi="Arial" w:cs="Arial"/>
                              <w:b/>
                            </w:rPr>
                            <w:t>.</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1118BCB" w14:textId="77777777">
                    <w:pPr>
                      <w:rPr>
                        <w:rFonts w:ascii="Arial" w:hAnsi="Arial" w:cs="Arial"/>
                        <w:b/>
                      </w:rPr>
                    </w:pPr>
                    <w:r w:rsidRPr="002D783A">
                      <w:rPr>
                        <w:rFonts w:ascii="Arial" w:hAnsi="Arial" w:cs="Arial"/>
                        <w:b/>
                      </w:rPr>
                      <w:t>Federal Communications Commission</w:t>
                    </w:r>
                  </w:p>
                  <w:p w:rsidR="00F44B48" w:rsidRPr="002D783A" w:rsidP="00F44B48" w14:paraId="492CF1C4" w14:textId="0A5A95FC">
                    <w:pPr>
                      <w:rPr>
                        <w:rFonts w:ascii="Arial" w:hAnsi="Arial" w:cs="Arial"/>
                        <w:b/>
                      </w:rPr>
                    </w:pPr>
                    <w:r w:rsidRPr="002D783A">
                      <w:rPr>
                        <w:rFonts w:ascii="Arial" w:hAnsi="Arial" w:cs="Arial"/>
                        <w:b/>
                      </w:rPr>
                      <w:t xml:space="preserve">45 </w:t>
                    </w:r>
                    <w:r w:rsidR="00E0382E">
                      <w:rPr>
                        <w:rFonts w:ascii="Arial" w:hAnsi="Arial" w:cs="Arial"/>
                        <w:b/>
                      </w:rPr>
                      <w:t>L</w:t>
                    </w:r>
                    <w:r w:rsidRPr="002D783A">
                      <w:rPr>
                        <w:rFonts w:ascii="Arial" w:hAnsi="Arial" w:cs="Arial"/>
                        <w:b/>
                      </w:rPr>
                      <w:t xml:space="preserve"> Street, </w:t>
                    </w:r>
                    <w:r w:rsidR="00E0382E">
                      <w:rPr>
                        <w:rFonts w:ascii="Arial" w:hAnsi="Arial" w:cs="Arial"/>
                        <w:b/>
                      </w:rPr>
                      <w:t>N</w:t>
                    </w:r>
                    <w:r w:rsidRPr="002D783A">
                      <w:rPr>
                        <w:rFonts w:ascii="Arial" w:hAnsi="Arial" w:cs="Arial"/>
                        <w:b/>
                      </w:rPr>
                      <w:t>.</w:t>
                    </w:r>
                    <w:r w:rsidR="00E0382E">
                      <w:rPr>
                        <w:rFonts w:ascii="Arial" w:hAnsi="Arial" w:cs="Arial"/>
                        <w:b/>
                      </w:rPr>
                      <w:t>E</w:t>
                    </w:r>
                    <w:r w:rsidRPr="002D783A">
                      <w:rPr>
                        <w:rFonts w:ascii="Arial" w:hAnsi="Arial" w:cs="Arial"/>
                        <w:b/>
                      </w:rPr>
                      <w:t>.</w:t>
                    </w:r>
                  </w:p>
                  <w:p w:rsidR="00F44B48" w:rsidRPr="002D783A" w:rsidP="00F44B48" w14:paraId="5C43D25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9199101" r:id="rId2"/>
      </w:pict>
    </w:r>
    <w:r>
      <w:rPr>
        <w:rFonts w:ascii="News Gothic MT" w:hAnsi="News Gothic MT"/>
        <w:b/>
        <w:kern w:val="28"/>
        <w:sz w:val="96"/>
      </w:rPr>
      <w:t>PUBLIC NOTICE</w:t>
    </w:r>
  </w:p>
  <w:p w:rsidR="00D33FBA" w:rsidP="00790164" w14:paraId="4DFDA6E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4641633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55873DEB"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405F4886"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226E0297"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71662063"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2C2D"/>
    <w:rsid w:val="00013E1C"/>
    <w:rsid w:val="00014095"/>
    <w:rsid w:val="0001573F"/>
    <w:rsid w:val="00015ABA"/>
    <w:rsid w:val="00015FF4"/>
    <w:rsid w:val="00022E8A"/>
    <w:rsid w:val="0002510F"/>
    <w:rsid w:val="00025B5E"/>
    <w:rsid w:val="00026EB5"/>
    <w:rsid w:val="00027BAB"/>
    <w:rsid w:val="00030CBC"/>
    <w:rsid w:val="00031665"/>
    <w:rsid w:val="00031DB3"/>
    <w:rsid w:val="00033A92"/>
    <w:rsid w:val="000342B7"/>
    <w:rsid w:val="00034ECA"/>
    <w:rsid w:val="00035681"/>
    <w:rsid w:val="000357B0"/>
    <w:rsid w:val="0004007B"/>
    <w:rsid w:val="0004038B"/>
    <w:rsid w:val="0004231D"/>
    <w:rsid w:val="00042786"/>
    <w:rsid w:val="000430FF"/>
    <w:rsid w:val="000475A9"/>
    <w:rsid w:val="00047E2E"/>
    <w:rsid w:val="000516C6"/>
    <w:rsid w:val="00060D9C"/>
    <w:rsid w:val="0006236C"/>
    <w:rsid w:val="00062397"/>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2A7A"/>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350A"/>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E6CC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93B"/>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47B0"/>
    <w:rsid w:val="0023550B"/>
    <w:rsid w:val="00243143"/>
    <w:rsid w:val="0024329E"/>
    <w:rsid w:val="00245227"/>
    <w:rsid w:val="00245A54"/>
    <w:rsid w:val="0024600C"/>
    <w:rsid w:val="00250CB8"/>
    <w:rsid w:val="00250FFD"/>
    <w:rsid w:val="00253318"/>
    <w:rsid w:val="00256830"/>
    <w:rsid w:val="00256ED0"/>
    <w:rsid w:val="00265684"/>
    <w:rsid w:val="002658A1"/>
    <w:rsid w:val="00266647"/>
    <w:rsid w:val="0026797C"/>
    <w:rsid w:val="0027042D"/>
    <w:rsid w:val="00270AA3"/>
    <w:rsid w:val="0027120D"/>
    <w:rsid w:val="00271982"/>
    <w:rsid w:val="00272F96"/>
    <w:rsid w:val="0027459D"/>
    <w:rsid w:val="00275283"/>
    <w:rsid w:val="0027578A"/>
    <w:rsid w:val="002757FE"/>
    <w:rsid w:val="00275E1E"/>
    <w:rsid w:val="002764AA"/>
    <w:rsid w:val="002777CC"/>
    <w:rsid w:val="00277DE1"/>
    <w:rsid w:val="00282A46"/>
    <w:rsid w:val="00283C07"/>
    <w:rsid w:val="0028591A"/>
    <w:rsid w:val="00285958"/>
    <w:rsid w:val="00287CE7"/>
    <w:rsid w:val="0029000A"/>
    <w:rsid w:val="00291B85"/>
    <w:rsid w:val="00293DA8"/>
    <w:rsid w:val="00293F07"/>
    <w:rsid w:val="00296AB6"/>
    <w:rsid w:val="00296E85"/>
    <w:rsid w:val="002A32E3"/>
    <w:rsid w:val="002A4355"/>
    <w:rsid w:val="002A4FCF"/>
    <w:rsid w:val="002A51ED"/>
    <w:rsid w:val="002A6528"/>
    <w:rsid w:val="002A6A01"/>
    <w:rsid w:val="002B1366"/>
    <w:rsid w:val="002B450B"/>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791"/>
    <w:rsid w:val="002F7DF0"/>
    <w:rsid w:val="00301F6B"/>
    <w:rsid w:val="003029BD"/>
    <w:rsid w:val="003029DE"/>
    <w:rsid w:val="00303813"/>
    <w:rsid w:val="0030569F"/>
    <w:rsid w:val="0030710B"/>
    <w:rsid w:val="00307994"/>
    <w:rsid w:val="00310666"/>
    <w:rsid w:val="0031660F"/>
    <w:rsid w:val="00316C39"/>
    <w:rsid w:val="00321E93"/>
    <w:rsid w:val="00323DD9"/>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07"/>
    <w:rsid w:val="003734B1"/>
    <w:rsid w:val="0037377F"/>
    <w:rsid w:val="00374075"/>
    <w:rsid w:val="00374427"/>
    <w:rsid w:val="0038028C"/>
    <w:rsid w:val="00381187"/>
    <w:rsid w:val="00382013"/>
    <w:rsid w:val="003824DF"/>
    <w:rsid w:val="0038299D"/>
    <w:rsid w:val="003835A2"/>
    <w:rsid w:val="003836D5"/>
    <w:rsid w:val="0038451A"/>
    <w:rsid w:val="00386066"/>
    <w:rsid w:val="0038629F"/>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A7EED"/>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26A"/>
    <w:rsid w:val="003E1C53"/>
    <w:rsid w:val="003E26F4"/>
    <w:rsid w:val="003E4504"/>
    <w:rsid w:val="003E5129"/>
    <w:rsid w:val="003E5B01"/>
    <w:rsid w:val="003E6358"/>
    <w:rsid w:val="003E7DF7"/>
    <w:rsid w:val="003E7EDC"/>
    <w:rsid w:val="003F0166"/>
    <w:rsid w:val="003F1DFA"/>
    <w:rsid w:val="003F27DD"/>
    <w:rsid w:val="003F47B0"/>
    <w:rsid w:val="00400767"/>
    <w:rsid w:val="0040105C"/>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010"/>
    <w:rsid w:val="00435708"/>
    <w:rsid w:val="004357AA"/>
    <w:rsid w:val="0043651C"/>
    <w:rsid w:val="00440469"/>
    <w:rsid w:val="00445072"/>
    <w:rsid w:val="0045291C"/>
    <w:rsid w:val="00453C3E"/>
    <w:rsid w:val="004558A2"/>
    <w:rsid w:val="004560C0"/>
    <w:rsid w:val="00456586"/>
    <w:rsid w:val="00457893"/>
    <w:rsid w:val="00457E6E"/>
    <w:rsid w:val="00457FA3"/>
    <w:rsid w:val="004600A2"/>
    <w:rsid w:val="0046158D"/>
    <w:rsid w:val="00461764"/>
    <w:rsid w:val="00461AB2"/>
    <w:rsid w:val="00465152"/>
    <w:rsid w:val="00465D79"/>
    <w:rsid w:val="00465FA5"/>
    <w:rsid w:val="004670E4"/>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6EE8"/>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27B4"/>
    <w:rsid w:val="004E4354"/>
    <w:rsid w:val="004E76FF"/>
    <w:rsid w:val="004F04E3"/>
    <w:rsid w:val="004F2486"/>
    <w:rsid w:val="004F4233"/>
    <w:rsid w:val="004F6EB6"/>
    <w:rsid w:val="004F7618"/>
    <w:rsid w:val="00501A0B"/>
    <w:rsid w:val="00501C1A"/>
    <w:rsid w:val="00501DFF"/>
    <w:rsid w:val="005043EB"/>
    <w:rsid w:val="005060FD"/>
    <w:rsid w:val="00506F08"/>
    <w:rsid w:val="00516894"/>
    <w:rsid w:val="00521F76"/>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56AE0"/>
    <w:rsid w:val="00556C2D"/>
    <w:rsid w:val="00557D7C"/>
    <w:rsid w:val="00560205"/>
    <w:rsid w:val="0056061F"/>
    <w:rsid w:val="00561365"/>
    <w:rsid w:val="00562885"/>
    <w:rsid w:val="005628A4"/>
    <w:rsid w:val="00564B66"/>
    <w:rsid w:val="00573BF2"/>
    <w:rsid w:val="00580ED0"/>
    <w:rsid w:val="00581FE2"/>
    <w:rsid w:val="00583D4C"/>
    <w:rsid w:val="00584FFD"/>
    <w:rsid w:val="00585A10"/>
    <w:rsid w:val="00590A2C"/>
    <w:rsid w:val="005925BC"/>
    <w:rsid w:val="00592FFF"/>
    <w:rsid w:val="0059454C"/>
    <w:rsid w:val="00594841"/>
    <w:rsid w:val="00595069"/>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5F39"/>
    <w:rsid w:val="0062607B"/>
    <w:rsid w:val="00626D84"/>
    <w:rsid w:val="00634F0E"/>
    <w:rsid w:val="00635336"/>
    <w:rsid w:val="00635732"/>
    <w:rsid w:val="006361FE"/>
    <w:rsid w:val="00637514"/>
    <w:rsid w:val="00640175"/>
    <w:rsid w:val="006419EE"/>
    <w:rsid w:val="00641CC8"/>
    <w:rsid w:val="006420C7"/>
    <w:rsid w:val="006429D2"/>
    <w:rsid w:val="00642CA7"/>
    <w:rsid w:val="00642DED"/>
    <w:rsid w:val="0064314B"/>
    <w:rsid w:val="00643C36"/>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63C"/>
    <w:rsid w:val="00676E14"/>
    <w:rsid w:val="0067795F"/>
    <w:rsid w:val="00680846"/>
    <w:rsid w:val="006859D6"/>
    <w:rsid w:val="00685DF4"/>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6B8"/>
    <w:rsid w:val="006E6E1C"/>
    <w:rsid w:val="006E7387"/>
    <w:rsid w:val="006F0382"/>
    <w:rsid w:val="006F0E7F"/>
    <w:rsid w:val="006F1816"/>
    <w:rsid w:val="006F3148"/>
    <w:rsid w:val="006F376C"/>
    <w:rsid w:val="006F59AA"/>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3B65"/>
    <w:rsid w:val="00764BE1"/>
    <w:rsid w:val="007658A2"/>
    <w:rsid w:val="0077084F"/>
    <w:rsid w:val="00776AF2"/>
    <w:rsid w:val="0077781C"/>
    <w:rsid w:val="00777DF7"/>
    <w:rsid w:val="00780D1B"/>
    <w:rsid w:val="007811C3"/>
    <w:rsid w:val="00782311"/>
    <w:rsid w:val="00782B0A"/>
    <w:rsid w:val="00783562"/>
    <w:rsid w:val="00784250"/>
    <w:rsid w:val="00784A88"/>
    <w:rsid w:val="00785EAF"/>
    <w:rsid w:val="00786ADA"/>
    <w:rsid w:val="00790164"/>
    <w:rsid w:val="00792826"/>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592"/>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3803"/>
    <w:rsid w:val="008265CB"/>
    <w:rsid w:val="008344E7"/>
    <w:rsid w:val="008346D3"/>
    <w:rsid w:val="00835FE9"/>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595E"/>
    <w:rsid w:val="00876B7A"/>
    <w:rsid w:val="008803C9"/>
    <w:rsid w:val="00881882"/>
    <w:rsid w:val="008830A6"/>
    <w:rsid w:val="0088524C"/>
    <w:rsid w:val="00887434"/>
    <w:rsid w:val="00887C47"/>
    <w:rsid w:val="0089261B"/>
    <w:rsid w:val="00892BF5"/>
    <w:rsid w:val="00892F8F"/>
    <w:rsid w:val="00894AD6"/>
    <w:rsid w:val="00895DE8"/>
    <w:rsid w:val="00896268"/>
    <w:rsid w:val="008A0DB5"/>
    <w:rsid w:val="008A2B26"/>
    <w:rsid w:val="008A4C4A"/>
    <w:rsid w:val="008B01AC"/>
    <w:rsid w:val="008B027B"/>
    <w:rsid w:val="008B270C"/>
    <w:rsid w:val="008B3DBC"/>
    <w:rsid w:val="008B51BB"/>
    <w:rsid w:val="008B66A7"/>
    <w:rsid w:val="008B766D"/>
    <w:rsid w:val="008C54C0"/>
    <w:rsid w:val="008C73F2"/>
    <w:rsid w:val="008C755E"/>
    <w:rsid w:val="008D02B1"/>
    <w:rsid w:val="008D104F"/>
    <w:rsid w:val="008D2F3B"/>
    <w:rsid w:val="008D476E"/>
    <w:rsid w:val="008D49D0"/>
    <w:rsid w:val="008E084C"/>
    <w:rsid w:val="008E0CE9"/>
    <w:rsid w:val="008E3169"/>
    <w:rsid w:val="008E456A"/>
    <w:rsid w:val="008E45D4"/>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5625"/>
    <w:rsid w:val="00917858"/>
    <w:rsid w:val="00925381"/>
    <w:rsid w:val="009270AF"/>
    <w:rsid w:val="0093058B"/>
    <w:rsid w:val="00932B55"/>
    <w:rsid w:val="00932DEF"/>
    <w:rsid w:val="009359EF"/>
    <w:rsid w:val="009367AF"/>
    <w:rsid w:val="00936F20"/>
    <w:rsid w:val="0093721A"/>
    <w:rsid w:val="00940EF2"/>
    <w:rsid w:val="00941330"/>
    <w:rsid w:val="0094185C"/>
    <w:rsid w:val="00942A84"/>
    <w:rsid w:val="00943DA8"/>
    <w:rsid w:val="00943DBC"/>
    <w:rsid w:val="00944A5A"/>
    <w:rsid w:val="00944C75"/>
    <w:rsid w:val="00947A3E"/>
    <w:rsid w:val="00947BC7"/>
    <w:rsid w:val="00951017"/>
    <w:rsid w:val="00951178"/>
    <w:rsid w:val="009511F2"/>
    <w:rsid w:val="00952F03"/>
    <w:rsid w:val="0095300A"/>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2681"/>
    <w:rsid w:val="00984D8A"/>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956"/>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3A1B"/>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2263"/>
    <w:rsid w:val="00A63386"/>
    <w:rsid w:val="00A651E2"/>
    <w:rsid w:val="00A65247"/>
    <w:rsid w:val="00A6547B"/>
    <w:rsid w:val="00A659DB"/>
    <w:rsid w:val="00A65DFA"/>
    <w:rsid w:val="00A66B08"/>
    <w:rsid w:val="00A67D50"/>
    <w:rsid w:val="00A70149"/>
    <w:rsid w:val="00A7070F"/>
    <w:rsid w:val="00A70788"/>
    <w:rsid w:val="00A70A4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A7"/>
    <w:rsid w:val="00AC3DC7"/>
    <w:rsid w:val="00AC52E0"/>
    <w:rsid w:val="00AD0942"/>
    <w:rsid w:val="00AD2643"/>
    <w:rsid w:val="00AD4F4B"/>
    <w:rsid w:val="00AD553A"/>
    <w:rsid w:val="00AD5D97"/>
    <w:rsid w:val="00AD7312"/>
    <w:rsid w:val="00AD7FB5"/>
    <w:rsid w:val="00AE14DF"/>
    <w:rsid w:val="00AE2560"/>
    <w:rsid w:val="00AE3734"/>
    <w:rsid w:val="00AE5811"/>
    <w:rsid w:val="00AE5C96"/>
    <w:rsid w:val="00AE70ED"/>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4F24"/>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243"/>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1E19"/>
    <w:rsid w:val="00CB3068"/>
    <w:rsid w:val="00CB5585"/>
    <w:rsid w:val="00CB56C4"/>
    <w:rsid w:val="00CB6186"/>
    <w:rsid w:val="00CC22A9"/>
    <w:rsid w:val="00CC49EA"/>
    <w:rsid w:val="00CC4E92"/>
    <w:rsid w:val="00CC5100"/>
    <w:rsid w:val="00CC7F72"/>
    <w:rsid w:val="00CD0D27"/>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CF539A"/>
    <w:rsid w:val="00D00DB6"/>
    <w:rsid w:val="00D0113F"/>
    <w:rsid w:val="00D01E5E"/>
    <w:rsid w:val="00D02256"/>
    <w:rsid w:val="00D0387A"/>
    <w:rsid w:val="00D04C06"/>
    <w:rsid w:val="00D06273"/>
    <w:rsid w:val="00D06B1C"/>
    <w:rsid w:val="00D07F4A"/>
    <w:rsid w:val="00D10609"/>
    <w:rsid w:val="00D14CE4"/>
    <w:rsid w:val="00D1591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271A"/>
    <w:rsid w:val="00D43281"/>
    <w:rsid w:val="00D43CDB"/>
    <w:rsid w:val="00D44F30"/>
    <w:rsid w:val="00D45BB3"/>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D70A7"/>
    <w:rsid w:val="00DE1D8F"/>
    <w:rsid w:val="00DE69BD"/>
    <w:rsid w:val="00DE6F85"/>
    <w:rsid w:val="00DE7E93"/>
    <w:rsid w:val="00DF1280"/>
    <w:rsid w:val="00DF1423"/>
    <w:rsid w:val="00DF1A4F"/>
    <w:rsid w:val="00DF2FF0"/>
    <w:rsid w:val="00DF44AE"/>
    <w:rsid w:val="00DF4D3C"/>
    <w:rsid w:val="00DF6C22"/>
    <w:rsid w:val="00DF78B7"/>
    <w:rsid w:val="00E007C5"/>
    <w:rsid w:val="00E029E6"/>
    <w:rsid w:val="00E02C68"/>
    <w:rsid w:val="00E0382E"/>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111C"/>
    <w:rsid w:val="00E4260E"/>
    <w:rsid w:val="00E4329C"/>
    <w:rsid w:val="00E43CC7"/>
    <w:rsid w:val="00E4555A"/>
    <w:rsid w:val="00E45CD9"/>
    <w:rsid w:val="00E46DEC"/>
    <w:rsid w:val="00E46EC5"/>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0F7"/>
    <w:rsid w:val="00EA3F19"/>
    <w:rsid w:val="00EA7F60"/>
    <w:rsid w:val="00EB2B98"/>
    <w:rsid w:val="00EB4A49"/>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29B8"/>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152E"/>
    <w:rsid w:val="00F42079"/>
    <w:rsid w:val="00F42A44"/>
    <w:rsid w:val="00F44B48"/>
    <w:rsid w:val="00F51A98"/>
    <w:rsid w:val="00F51D3C"/>
    <w:rsid w:val="00F53B38"/>
    <w:rsid w:val="00F54887"/>
    <w:rsid w:val="00F559B1"/>
    <w:rsid w:val="00F57ACB"/>
    <w:rsid w:val="00F621CB"/>
    <w:rsid w:val="00F623EC"/>
    <w:rsid w:val="00F626DC"/>
    <w:rsid w:val="00F630E0"/>
    <w:rsid w:val="00F64E41"/>
    <w:rsid w:val="00F650B6"/>
    <w:rsid w:val="00F66E7B"/>
    <w:rsid w:val="00F74FD8"/>
    <w:rsid w:val="00F75C55"/>
    <w:rsid w:val="00F765C6"/>
    <w:rsid w:val="00F76AB0"/>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44D5"/>
    <w:rsid w:val="00FA5643"/>
    <w:rsid w:val="00FA6B79"/>
    <w:rsid w:val="00FA7D9F"/>
    <w:rsid w:val="00FA7FB6"/>
    <w:rsid w:val="00FB005A"/>
    <w:rsid w:val="00FB2D07"/>
    <w:rsid w:val="00FB2F26"/>
    <w:rsid w:val="00FB3BFF"/>
    <w:rsid w:val="00FB4379"/>
    <w:rsid w:val="00FB73C3"/>
    <w:rsid w:val="00FC359D"/>
    <w:rsid w:val="00FC575D"/>
    <w:rsid w:val="00FC5BCC"/>
    <w:rsid w:val="00FC60B3"/>
    <w:rsid w:val="00FD08A4"/>
    <w:rsid w:val="00FD22DD"/>
    <w:rsid w:val="00FD39DD"/>
    <w:rsid w:val="00FD56E2"/>
    <w:rsid w:val="00FD5BDD"/>
    <w:rsid w:val="00FD7CEF"/>
    <w:rsid w:val="00FE13B5"/>
    <w:rsid w:val="00FE1A79"/>
    <w:rsid w:val="00FE1F72"/>
    <w:rsid w:val="00FE2A4C"/>
    <w:rsid w:val="00FE2D2E"/>
    <w:rsid w:val="00FE3A7C"/>
    <w:rsid w:val="00FE3DB5"/>
    <w:rsid w:val="00FE4341"/>
    <w:rsid w:val="00FE5616"/>
    <w:rsid w:val="00FE687C"/>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basedOn w:val="DefaultParagraphFont"/>
    <w:uiPriority w:val="99"/>
    <w:semiHidden/>
    <w:unhideWhenUsed/>
    <w:rsid w:val="0010240B"/>
    <w:rPr>
      <w:color w:val="2B579A"/>
      <w:shd w:val="clear" w:color="auto" w:fill="E6E6E6"/>
    </w:rPr>
  </w:style>
  <w:style w:type="character" w:customStyle="1" w:styleId="UnresolvedMention1">
    <w:name w:val="Unresolved Mention1"/>
    <w:basedOn w:val="DefaultParagraphFont"/>
    <w:uiPriority w:val="99"/>
    <w:semiHidden/>
    <w:unhideWhenUsed/>
    <w:rsid w:val="00D53FEF"/>
    <w:rPr>
      <w:color w:val="808080"/>
      <w:shd w:val="clear" w:color="auto" w:fill="E6E6E6"/>
    </w:rPr>
  </w:style>
  <w:style w:type="character" w:customStyle="1" w:styleId="UnresolvedMention">
    <w:name w:val="Unresolved Mention"/>
    <w:basedOn w:val="DefaultParagraphFont"/>
    <w:rsid w:val="00E0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411&amp;sort=date_disseminated,DESC" TargetMode="External" /><Relationship Id="rId9" Type="http://schemas.openxmlformats.org/officeDocument/2006/relationships/hyperlink" Target="https://www.fcc.gov/ecfs/search/filings?proceedings_name=20-412&amp;sort=date_disseminated,DESC"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