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0E5884" w:rsidP="00C82B6B" w14:paraId="2F1248B3" w14:textId="77777777">
      <w:pPr>
        <w:jc w:val="right"/>
        <w:rPr>
          <w:sz w:val="24"/>
        </w:rPr>
      </w:pPr>
    </w:p>
    <w:p w:rsidR="00013A8B" w:rsidRPr="00B20363" w:rsidP="00013A8B" w14:paraId="058B9DE4" w14:textId="6DCA4B92">
      <w:pPr>
        <w:jc w:val="right"/>
        <w:rPr>
          <w:b/>
          <w:sz w:val="24"/>
        </w:rPr>
      </w:pPr>
      <w:r>
        <w:rPr>
          <w:b/>
          <w:sz w:val="24"/>
        </w:rPr>
        <w:t>DA 20-1478</w:t>
      </w:r>
    </w:p>
    <w:p w:rsidR="00013A8B" w:rsidRPr="00B20363" w:rsidP="00013A8B" w14:paraId="5834D552" w14:textId="746FFC30">
      <w:pPr>
        <w:spacing w:before="60"/>
        <w:jc w:val="right"/>
        <w:rPr>
          <w:b/>
          <w:sz w:val="24"/>
        </w:rPr>
      </w:pPr>
      <w:r>
        <w:rPr>
          <w:b/>
          <w:sz w:val="24"/>
        </w:rPr>
        <w:t xml:space="preserve">Released:  </w:t>
      </w:r>
      <w:r w:rsidR="001A6CD7">
        <w:rPr>
          <w:b/>
          <w:sz w:val="24"/>
        </w:rPr>
        <w:t>December 14, 2020</w:t>
      </w:r>
    </w:p>
    <w:p w:rsidR="00013A8B" w:rsidP="00013A8B" w14:paraId="7DE88C0B" w14:textId="77777777">
      <w:pPr>
        <w:jc w:val="right"/>
        <w:rPr>
          <w:sz w:val="24"/>
        </w:rPr>
      </w:pPr>
    </w:p>
    <w:p w:rsidR="00013A8B" w:rsidRPr="00B20363" w:rsidP="00013A8B" w14:paraId="5D51795B" w14:textId="0E92B24C">
      <w:pPr>
        <w:spacing w:after="240"/>
        <w:jc w:val="center"/>
        <w:rPr>
          <w:rFonts w:ascii="Times New Roman Bold" w:hAnsi="Times New Roman Bold"/>
          <w:b/>
          <w:caps/>
          <w:sz w:val="24"/>
        </w:rPr>
      </w:pPr>
      <w:r>
        <w:rPr>
          <w:rFonts w:ascii="Times New Roman Bold" w:hAnsi="Times New Roman Bold"/>
          <w:b/>
          <w:caps/>
          <w:sz w:val="24"/>
        </w:rPr>
        <w:t>Request by intelsat license llc</w:t>
      </w:r>
      <w:r w:rsidR="004E7E04">
        <w:rPr>
          <w:rFonts w:ascii="Times New Roman Bold" w:hAnsi="Times New Roman Bold"/>
          <w:b/>
          <w:caps/>
          <w:sz w:val="24"/>
        </w:rPr>
        <w:t>, as debtor in possession,</w:t>
      </w:r>
      <w:r>
        <w:rPr>
          <w:rFonts w:ascii="Times New Roman Bold" w:hAnsi="Times New Roman Bold"/>
          <w:b/>
          <w:caps/>
          <w:sz w:val="24"/>
        </w:rPr>
        <w:t xml:space="preserve"> </w:t>
      </w:r>
      <w:r w:rsidR="004E7E04">
        <w:rPr>
          <w:rFonts w:ascii="Times New Roman Bold" w:hAnsi="Times New Roman Bold"/>
          <w:b/>
          <w:caps/>
          <w:sz w:val="24"/>
        </w:rPr>
        <w:t>for modification</w:t>
      </w:r>
      <w:r>
        <w:rPr>
          <w:rFonts w:ascii="Times New Roman Bold" w:hAnsi="Times New Roman Bold"/>
          <w:b/>
          <w:caps/>
          <w:sz w:val="24"/>
        </w:rPr>
        <w:t xml:space="preserve"> </w:t>
      </w:r>
      <w:r w:rsidR="004E7E04">
        <w:rPr>
          <w:rFonts w:ascii="Times New Roman Bold" w:hAnsi="Times New Roman Bold"/>
          <w:b/>
          <w:caps/>
          <w:sz w:val="24"/>
        </w:rPr>
        <w:t xml:space="preserve">of </w:t>
      </w:r>
      <w:r w:rsidR="007B39C8">
        <w:rPr>
          <w:rFonts w:ascii="Times New Roman Bold" w:hAnsi="Times New Roman Bold"/>
          <w:b/>
          <w:caps/>
          <w:sz w:val="24"/>
        </w:rPr>
        <w:t xml:space="preserve">LICENSE CONDITIONS </w:t>
      </w:r>
      <w:r w:rsidR="004E7E04">
        <w:rPr>
          <w:rFonts w:ascii="Times New Roman Bold" w:hAnsi="Times New Roman Bold"/>
          <w:b/>
          <w:caps/>
          <w:sz w:val="24"/>
        </w:rPr>
        <w:t xml:space="preserve">relating </w:t>
      </w:r>
      <w:r>
        <w:rPr>
          <w:rFonts w:ascii="Times New Roman Bold" w:hAnsi="Times New Roman Bold"/>
          <w:b/>
          <w:caps/>
          <w:sz w:val="24"/>
        </w:rPr>
        <w:t>to the international telecommunications satellite organization</w:t>
      </w:r>
      <w:r w:rsidR="00A2751A">
        <w:rPr>
          <w:rFonts w:ascii="Times New Roman Bold" w:hAnsi="Times New Roman Bold"/>
          <w:b/>
          <w:caps/>
          <w:sz w:val="24"/>
        </w:rPr>
        <w:t xml:space="preserve"> </w:t>
      </w:r>
    </w:p>
    <w:p w:rsidR="00013A8B" w:rsidP="00013A8B" w14:paraId="168E7EB1" w14:textId="695D341D">
      <w:pPr>
        <w:jc w:val="center"/>
        <w:rPr>
          <w:b/>
          <w:sz w:val="24"/>
        </w:rPr>
      </w:pPr>
      <w:r>
        <w:rPr>
          <w:b/>
          <w:sz w:val="24"/>
        </w:rPr>
        <w:t xml:space="preserve">IB Docket No. </w:t>
      </w:r>
      <w:r w:rsidR="002916DC">
        <w:rPr>
          <w:b/>
          <w:sz w:val="24"/>
        </w:rPr>
        <w:t>20-</w:t>
      </w:r>
      <w:r w:rsidR="001F1046">
        <w:rPr>
          <w:b/>
          <w:sz w:val="24"/>
        </w:rPr>
        <w:t>417</w:t>
      </w:r>
    </w:p>
    <w:p w:rsidR="00C727D2" w:rsidP="00013A8B" w14:paraId="5D0BFA46" w14:textId="52CCE089">
      <w:pPr>
        <w:jc w:val="center"/>
        <w:rPr>
          <w:b/>
          <w:sz w:val="24"/>
        </w:rPr>
      </w:pPr>
      <w:r>
        <w:rPr>
          <w:b/>
          <w:sz w:val="24"/>
        </w:rPr>
        <w:t>I</w:t>
      </w:r>
      <w:r w:rsidRPr="00BB3599">
        <w:rPr>
          <w:b/>
          <w:sz w:val="24"/>
        </w:rPr>
        <w:t>BFS File No.</w:t>
      </w:r>
      <w:r w:rsidRPr="00BB3599" w:rsidR="004E7E04">
        <w:rPr>
          <w:b/>
          <w:sz w:val="24"/>
        </w:rPr>
        <w:t xml:space="preserve"> SAT-MSC-</w:t>
      </w:r>
      <w:r>
        <w:rPr>
          <w:b/>
          <w:sz w:val="24"/>
        </w:rPr>
        <w:t>20201118-00139</w:t>
      </w:r>
    </w:p>
    <w:p w:rsidR="005A5B9E" w:rsidP="00013A8B" w14:paraId="5FF592FC" w14:textId="6B14A762">
      <w:pPr>
        <w:jc w:val="center"/>
        <w:rPr>
          <w:b/>
          <w:sz w:val="24"/>
        </w:rPr>
      </w:pPr>
    </w:p>
    <w:p w:rsidR="005A5B9E" w:rsidRPr="00533AAE" w:rsidP="005A5B9E" w14:paraId="126652A4" w14:textId="31D2ED74">
      <w:pPr>
        <w:rPr>
          <w:b/>
          <w:sz w:val="24"/>
        </w:rPr>
      </w:pPr>
      <w:r>
        <w:rPr>
          <w:b/>
          <w:sz w:val="24"/>
        </w:rPr>
        <w:t xml:space="preserve">Comments Due: </w:t>
      </w:r>
      <w:r w:rsidRPr="00533AAE" w:rsidR="00C74916">
        <w:rPr>
          <w:b/>
          <w:sz w:val="24"/>
        </w:rPr>
        <w:t>January 1</w:t>
      </w:r>
      <w:r w:rsidRPr="00533AAE" w:rsidR="00533AAE">
        <w:rPr>
          <w:b/>
          <w:sz w:val="24"/>
        </w:rPr>
        <w:t>3</w:t>
      </w:r>
      <w:r w:rsidRPr="00533AAE" w:rsidR="00C74916">
        <w:rPr>
          <w:b/>
          <w:sz w:val="24"/>
        </w:rPr>
        <w:t>, 2021</w:t>
      </w:r>
    </w:p>
    <w:p w:rsidR="005A5B9E" w:rsidRPr="00533AAE" w:rsidP="005A5B9E" w14:paraId="5B8C5189" w14:textId="1D6AE883">
      <w:pPr>
        <w:rPr>
          <w:b/>
          <w:sz w:val="24"/>
        </w:rPr>
      </w:pPr>
      <w:r w:rsidRPr="00533AAE">
        <w:rPr>
          <w:b/>
          <w:sz w:val="24"/>
        </w:rPr>
        <w:t xml:space="preserve">Responses Due: </w:t>
      </w:r>
      <w:r w:rsidRPr="00533AAE" w:rsidR="00C74916">
        <w:rPr>
          <w:b/>
          <w:sz w:val="24"/>
        </w:rPr>
        <w:t>January 2</w:t>
      </w:r>
      <w:r w:rsidR="00533AAE">
        <w:rPr>
          <w:b/>
          <w:sz w:val="24"/>
        </w:rPr>
        <w:t>5</w:t>
      </w:r>
      <w:r w:rsidRPr="00533AAE" w:rsidR="00C74916">
        <w:rPr>
          <w:b/>
          <w:sz w:val="24"/>
        </w:rPr>
        <w:t>, 2021</w:t>
      </w:r>
    </w:p>
    <w:p w:rsidR="005A5B9E" w:rsidRPr="00533AAE" w:rsidP="005A5B9E" w14:paraId="5EF1BACA" w14:textId="1D5D14E5">
      <w:pPr>
        <w:rPr>
          <w:b/>
          <w:sz w:val="24"/>
        </w:rPr>
      </w:pPr>
      <w:r w:rsidRPr="00533AAE">
        <w:rPr>
          <w:b/>
          <w:sz w:val="24"/>
        </w:rPr>
        <w:t xml:space="preserve">Replies Due: </w:t>
      </w:r>
      <w:r w:rsidR="00533AAE">
        <w:rPr>
          <w:b/>
          <w:sz w:val="24"/>
        </w:rPr>
        <w:t>February 1, 2021</w:t>
      </w:r>
    </w:p>
    <w:p w:rsidR="00F96F63" w:rsidP="00F96F63" w14:paraId="384B29FF" w14:textId="77777777">
      <w:pPr>
        <w:rPr>
          <w:sz w:val="24"/>
        </w:rPr>
      </w:pPr>
    </w:p>
    <w:p w:rsidR="0078625E" w:rsidP="004D306C" w14:paraId="6C444F68" w14:textId="76D1F34C">
      <w:pPr>
        <w:shd w:val="clear" w:color="auto" w:fill="FFFFFF"/>
        <w:ind w:firstLine="720"/>
        <w:textAlignment w:val="baseline"/>
      </w:pPr>
      <w:r w:rsidRPr="00B60FBC">
        <w:t xml:space="preserve">On </w:t>
      </w:r>
      <w:r>
        <w:t xml:space="preserve">November </w:t>
      </w:r>
      <w:r w:rsidR="00B8780D">
        <w:t>1</w:t>
      </w:r>
      <w:r>
        <w:t>8, 2020</w:t>
      </w:r>
      <w:r w:rsidRPr="00B60FBC">
        <w:t>, Intelsat License LLC</w:t>
      </w:r>
      <w:r w:rsidR="002916DC">
        <w:t>,</w:t>
      </w:r>
      <w:r w:rsidRPr="00B60FBC">
        <w:t xml:space="preserve"> as debtor</w:t>
      </w:r>
      <w:r w:rsidR="00313B89">
        <w:t>-</w:t>
      </w:r>
      <w:r w:rsidRPr="00B60FBC">
        <w:t>in</w:t>
      </w:r>
      <w:r w:rsidR="00313B89">
        <w:t>-</w:t>
      </w:r>
      <w:r w:rsidRPr="00B60FBC">
        <w:t>possession</w:t>
      </w:r>
      <w:r>
        <w:t xml:space="preserve"> (Intelsat),</w:t>
      </w:r>
      <w:r w:rsidRPr="00B60FBC">
        <w:t xml:space="preserve"> </w:t>
      </w:r>
      <w:r w:rsidR="00C727D2">
        <w:t xml:space="preserve">filed a </w:t>
      </w:r>
      <w:r w:rsidR="004E7E04">
        <w:t>request</w:t>
      </w:r>
      <w:r w:rsidR="00C727D2">
        <w:t xml:space="preserve"> </w:t>
      </w:r>
      <w:r w:rsidR="00EC66BD">
        <w:t xml:space="preserve">(Request) </w:t>
      </w:r>
      <w:r w:rsidR="00C727D2">
        <w:t>ask</w:t>
      </w:r>
      <w:r w:rsidR="00EC66BD">
        <w:t>ing</w:t>
      </w:r>
      <w:r w:rsidR="00C727D2">
        <w:t xml:space="preserve"> that </w:t>
      </w:r>
      <w:r w:rsidRPr="00B60FBC">
        <w:t xml:space="preserve">the Commission, pursuant to </w:t>
      </w:r>
      <w:r w:rsidR="00251EA6">
        <w:t>s</w:t>
      </w:r>
      <w:r w:rsidRPr="00B60FBC">
        <w:t>ection 316 of the Communications Act, as amended</w:t>
      </w:r>
      <w:r w:rsidR="002916DC">
        <w:t xml:space="preserve"> (the Act)</w:t>
      </w:r>
      <w:r w:rsidRPr="00B60FBC">
        <w:t>,</w:t>
      </w:r>
      <w:r>
        <w:rPr>
          <w:rStyle w:val="FootnoteReference"/>
        </w:rPr>
        <w:footnoteReference w:id="3"/>
      </w:r>
      <w:r w:rsidRPr="00B60FBC">
        <w:t xml:space="preserve"> modify conditions applicable to certain space station licenses held by Intelsat</w:t>
      </w:r>
      <w:r w:rsidR="007B39C8">
        <w:t>.</w:t>
      </w:r>
      <w:r>
        <w:rPr>
          <w:rStyle w:val="FootnoteReference"/>
        </w:rPr>
        <w:footnoteReference w:id="4"/>
      </w:r>
      <w:r w:rsidRPr="00B60FBC">
        <w:t xml:space="preserve">  </w:t>
      </w:r>
      <w:r w:rsidR="007B39C8">
        <w:t xml:space="preserve">Specifically, Intelsat seeks modification of </w:t>
      </w:r>
      <w:r w:rsidR="0004597A">
        <w:t xml:space="preserve">license </w:t>
      </w:r>
      <w:r w:rsidR="007B39C8">
        <w:t xml:space="preserve">conditions </w:t>
      </w:r>
      <w:r w:rsidR="009848BB">
        <w:rPr>
          <w:szCs w:val="22"/>
        </w:rPr>
        <w:t>related to the July 18, 2001 Public Services Agreement between the</w:t>
      </w:r>
      <w:r w:rsidRPr="00CD172C" w:rsidR="00CD172C">
        <w:t xml:space="preserve"> </w:t>
      </w:r>
      <w:r w:rsidRPr="00B60FBC" w:rsidR="00CD172C">
        <w:t>International Telecommunications Satellite Organization</w:t>
      </w:r>
      <w:r w:rsidR="009848BB">
        <w:rPr>
          <w:szCs w:val="22"/>
        </w:rPr>
        <w:t xml:space="preserve"> </w:t>
      </w:r>
      <w:r w:rsidR="00CD172C">
        <w:rPr>
          <w:szCs w:val="22"/>
        </w:rPr>
        <w:t>(</w:t>
      </w:r>
      <w:r w:rsidR="009848BB">
        <w:rPr>
          <w:szCs w:val="22"/>
        </w:rPr>
        <w:t>ITSO</w:t>
      </w:r>
      <w:r w:rsidR="00CD172C">
        <w:rPr>
          <w:szCs w:val="22"/>
        </w:rPr>
        <w:t>)</w:t>
      </w:r>
      <w:r w:rsidR="009848BB">
        <w:rPr>
          <w:szCs w:val="22"/>
        </w:rPr>
        <w:t xml:space="preserve"> and Intelsat</w:t>
      </w:r>
      <w:r w:rsidR="009D2BF9">
        <w:rPr>
          <w:szCs w:val="22"/>
        </w:rPr>
        <w:t xml:space="preserve"> (P</w:t>
      </w:r>
      <w:r w:rsidR="00245CAA">
        <w:rPr>
          <w:szCs w:val="22"/>
        </w:rPr>
        <w:t xml:space="preserve">ublic </w:t>
      </w:r>
      <w:r w:rsidR="009D2BF9">
        <w:rPr>
          <w:szCs w:val="22"/>
        </w:rPr>
        <w:t>S</w:t>
      </w:r>
      <w:r w:rsidR="00245CAA">
        <w:rPr>
          <w:szCs w:val="22"/>
        </w:rPr>
        <w:t xml:space="preserve">ervices </w:t>
      </w:r>
      <w:r w:rsidR="009D2BF9">
        <w:rPr>
          <w:szCs w:val="22"/>
        </w:rPr>
        <w:t>A</w:t>
      </w:r>
      <w:r w:rsidR="00245CAA">
        <w:rPr>
          <w:szCs w:val="22"/>
        </w:rPr>
        <w:t>greement</w:t>
      </w:r>
      <w:r w:rsidR="009D2BF9">
        <w:rPr>
          <w:szCs w:val="22"/>
        </w:rPr>
        <w:t>)</w:t>
      </w:r>
      <w:r w:rsidR="00650027">
        <w:rPr>
          <w:szCs w:val="22"/>
        </w:rPr>
        <w:t>,</w:t>
      </w:r>
      <w:r>
        <w:rPr>
          <w:rStyle w:val="FootnoteReference"/>
        </w:rPr>
        <w:footnoteReference w:id="5"/>
      </w:r>
      <w:r w:rsidRPr="00BB543E" w:rsidR="00BB543E">
        <w:rPr>
          <w:rStyle w:val="FootnoteReference"/>
        </w:rPr>
        <w:t xml:space="preserve"> </w:t>
      </w:r>
      <w:r w:rsidR="007B39C8">
        <w:t>in anticipation of the possible termination of</w:t>
      </w:r>
      <w:r w:rsidR="00C740C0">
        <w:t xml:space="preserve"> </w:t>
      </w:r>
      <w:r w:rsidRPr="00B60FBC" w:rsidR="00C740C0">
        <w:t>the</w:t>
      </w:r>
      <w:r w:rsidR="00C740C0">
        <w:t xml:space="preserve"> Agreement Relating to the</w:t>
      </w:r>
      <w:r w:rsidRPr="00B60FBC" w:rsidR="00C740C0">
        <w:t xml:space="preserve"> International Telecommunications Satellite Organization</w:t>
      </w:r>
      <w:r w:rsidR="004F536B">
        <w:t xml:space="preserve"> (ITSO Agreement)</w:t>
      </w:r>
      <w:r>
        <w:rPr>
          <w:rStyle w:val="FootnoteReference"/>
        </w:rPr>
        <w:footnoteReference w:id="6"/>
      </w:r>
      <w:r w:rsidR="007B39C8">
        <w:t xml:space="preserve"> in 2021</w:t>
      </w:r>
      <w:r w:rsidRPr="00B60FBC">
        <w:t>.</w:t>
      </w:r>
      <w:r>
        <w:rPr>
          <w:rStyle w:val="FootnoteReference"/>
          <w:sz w:val="24"/>
          <w:szCs w:val="24"/>
        </w:rPr>
        <w:footnoteReference w:id="7"/>
      </w:r>
    </w:p>
    <w:p w:rsidR="00EC66BD" w:rsidP="0078625E" w14:paraId="58EB96F8" w14:textId="4DA05834">
      <w:pPr>
        <w:shd w:val="clear" w:color="auto" w:fill="FFFFFF"/>
        <w:textAlignment w:val="baseline"/>
      </w:pPr>
    </w:p>
    <w:p w:rsidR="00A2751A" w:rsidRPr="00B60FBC" w:rsidP="00650027" w14:paraId="7D0A6652" w14:textId="435A1E7B">
      <w:pPr>
        <w:widowControl/>
        <w:shd w:val="clear" w:color="auto" w:fill="FFFFFF"/>
        <w:ind w:firstLine="720"/>
        <w:textAlignment w:val="baseline"/>
      </w:pPr>
      <w:r>
        <w:t xml:space="preserve">In 2006, </w:t>
      </w:r>
      <w:r w:rsidR="00315D12">
        <w:t xml:space="preserve">the </w:t>
      </w:r>
      <w:r>
        <w:t>ITSO petitioned the Commission</w:t>
      </w:r>
      <w:r>
        <w:rPr>
          <w:rStyle w:val="FootnoteReference"/>
        </w:rPr>
        <w:footnoteReference w:id="8"/>
      </w:r>
      <w:r w:rsidR="003C7BAC">
        <w:t xml:space="preserve"> </w:t>
      </w:r>
      <w:r>
        <w:t xml:space="preserve">to modify the license conditions applicable to </w:t>
      </w:r>
      <w:r w:rsidR="0004597A">
        <w:t>Intelsat licenses that operate consistent with International Telecommunication</w:t>
      </w:r>
      <w:r w:rsidR="008A77C9">
        <w:t xml:space="preserve"> Union</w:t>
      </w:r>
      <w:r w:rsidR="0004597A">
        <w:t xml:space="preserve"> </w:t>
      </w:r>
      <w:r w:rsidR="000C10C7">
        <w:t xml:space="preserve">satellite </w:t>
      </w:r>
      <w:r w:rsidR="0004597A">
        <w:t xml:space="preserve">network filings, sometimes referred to as “the Common Heritage,” transferred from the intergovernmental organization to the United States as part of privatization.  </w:t>
      </w:r>
      <w:r w:rsidR="0004597A">
        <w:rPr>
          <w:szCs w:val="22"/>
        </w:rPr>
        <w:t xml:space="preserve">Following the recommendation of the </w:t>
      </w:r>
      <w:r w:rsidRPr="00653AC5" w:rsidR="003A137B">
        <w:rPr>
          <w:szCs w:val="22"/>
        </w:rPr>
        <w:t>U.S. Department of State,</w:t>
      </w:r>
      <w:r w:rsidR="008A77C9">
        <w:rPr>
          <w:szCs w:val="22"/>
        </w:rPr>
        <w:t xml:space="preserve"> and</w:t>
      </w:r>
      <w:r w:rsidRPr="00653AC5" w:rsidR="003A137B">
        <w:rPr>
          <w:szCs w:val="22"/>
        </w:rPr>
        <w:t xml:space="preserve"> in consultation with the National Telecommunications and Information Administration, the </w:t>
      </w:r>
      <w:r w:rsidR="00251EA6">
        <w:rPr>
          <w:szCs w:val="22"/>
        </w:rPr>
        <w:t xml:space="preserve">Commission’s </w:t>
      </w:r>
      <w:r w:rsidR="000C10C7">
        <w:rPr>
          <w:szCs w:val="22"/>
        </w:rPr>
        <w:t>International Bureau</w:t>
      </w:r>
      <w:r w:rsidRPr="00653AC5" w:rsidR="003A137B">
        <w:rPr>
          <w:szCs w:val="22"/>
        </w:rPr>
        <w:t xml:space="preserve"> adopt</w:t>
      </w:r>
      <w:r w:rsidR="00315D12">
        <w:rPr>
          <w:szCs w:val="22"/>
        </w:rPr>
        <w:t>ed</w:t>
      </w:r>
      <w:r w:rsidRPr="00653AC5" w:rsidR="003A137B">
        <w:rPr>
          <w:szCs w:val="22"/>
        </w:rPr>
        <w:t xml:space="preserve"> two </w:t>
      </w:r>
      <w:r w:rsidRPr="00653AC5">
        <w:rPr>
          <w:szCs w:val="22"/>
        </w:rPr>
        <w:t>license conditions</w:t>
      </w:r>
      <w:r w:rsidR="0004597A">
        <w:rPr>
          <w:szCs w:val="22"/>
        </w:rPr>
        <w:t xml:space="preserve"> related to the </w:t>
      </w:r>
      <w:r w:rsidR="00FA36D3">
        <w:rPr>
          <w:szCs w:val="22"/>
        </w:rPr>
        <w:t>Public Services Agreement</w:t>
      </w:r>
      <w:r w:rsidR="00315D12">
        <w:rPr>
          <w:szCs w:val="22"/>
        </w:rPr>
        <w:t>:</w:t>
      </w:r>
      <w:r>
        <w:rPr>
          <w:rStyle w:val="FootnoteReference"/>
        </w:rPr>
        <w:footnoteReference w:id="9"/>
      </w:r>
      <w:r w:rsidRPr="00305965">
        <w:t> </w:t>
      </w:r>
    </w:p>
    <w:p w:rsidR="00A2751A" w:rsidRPr="00B60FBC" w:rsidP="00A2751A" w14:paraId="13045E83" w14:textId="77777777">
      <w:pPr>
        <w:shd w:val="clear" w:color="auto" w:fill="FFFFFF"/>
        <w:textAlignment w:val="baseline"/>
      </w:pPr>
    </w:p>
    <w:p w:rsidR="00A2751A" w:rsidRPr="00D366FB" w:rsidP="00A2751A" w14:paraId="29AA91D8" w14:textId="77777777">
      <w:pPr>
        <w:autoSpaceDE w:val="0"/>
        <w:autoSpaceDN w:val="0"/>
        <w:adjustRightInd w:val="0"/>
        <w:ind w:left="720"/>
        <w:jc w:val="both"/>
        <w:rPr>
          <w:sz w:val="20"/>
        </w:rPr>
      </w:pPr>
      <w:r w:rsidRPr="00D366FB">
        <w:rPr>
          <w:sz w:val="20"/>
        </w:rPr>
        <w:t>Intelsat shall remain a signatory to the Public Service</w:t>
      </w:r>
      <w:r w:rsidRPr="00B66921">
        <w:rPr>
          <w:sz w:val="20"/>
        </w:rPr>
        <w:t>s</w:t>
      </w:r>
      <w:r w:rsidRPr="00D366FB">
        <w:rPr>
          <w:sz w:val="20"/>
        </w:rPr>
        <w:t xml:space="preserve"> Agreement between Intelsat and the International Telecommunications Satellite Organization (ITSO) that was approved by the ITSO Twenty-fifth Assembly of Parties, as amended;  </w:t>
      </w:r>
    </w:p>
    <w:p w:rsidR="00A2751A" w:rsidRPr="00D366FB" w:rsidP="00A2751A" w14:paraId="0FA9E589" w14:textId="77777777">
      <w:pPr>
        <w:autoSpaceDE w:val="0"/>
        <w:autoSpaceDN w:val="0"/>
        <w:adjustRightInd w:val="0"/>
        <w:jc w:val="both"/>
        <w:rPr>
          <w:sz w:val="20"/>
        </w:rPr>
      </w:pPr>
    </w:p>
    <w:p w:rsidR="00A2751A" w:rsidRPr="00D366FB" w:rsidP="00A2751A" w14:paraId="03D778FD" w14:textId="77777777">
      <w:pPr>
        <w:autoSpaceDE w:val="0"/>
        <w:autoSpaceDN w:val="0"/>
        <w:adjustRightInd w:val="0"/>
        <w:ind w:left="720"/>
        <w:jc w:val="both"/>
        <w:rPr>
          <w:sz w:val="20"/>
        </w:rPr>
      </w:pPr>
      <w:r w:rsidRPr="00D366FB">
        <w:rPr>
          <w:sz w:val="20"/>
        </w:rPr>
        <w:t>No entity shall be considered a successor-in-interest to Intelsat under the ITSO Agreement for licensing purposes unless it has undertaken to perform the obligations of the Public Services Agreement approved by the Twenty-fifth Assembly of Parties, as amended.</w:t>
      </w:r>
    </w:p>
    <w:p w:rsidR="00A2751A" w:rsidRPr="00D366FB" w:rsidP="00A2751A" w14:paraId="7C492892" w14:textId="77777777">
      <w:pPr>
        <w:shd w:val="clear" w:color="auto" w:fill="FFFFFF"/>
        <w:textAlignment w:val="baseline"/>
        <w:rPr>
          <w:sz w:val="20"/>
        </w:rPr>
      </w:pPr>
    </w:p>
    <w:p w:rsidR="0004597A" w:rsidRPr="006D6FB7" w:rsidP="006D6FB7" w14:paraId="38CD0D81" w14:textId="4992C5C1">
      <w:pPr>
        <w:shd w:val="clear" w:color="auto" w:fill="FFFFFF"/>
        <w:ind w:firstLine="720"/>
        <w:textAlignment w:val="baseline"/>
        <w:rPr>
          <w:szCs w:val="22"/>
        </w:rPr>
      </w:pPr>
      <w:r w:rsidRPr="006D6FB7">
        <w:rPr>
          <w:szCs w:val="22"/>
        </w:rPr>
        <w:t>As part of the</w:t>
      </w:r>
      <w:r w:rsidRPr="006D6FB7">
        <w:rPr>
          <w:szCs w:val="22"/>
        </w:rPr>
        <w:t xml:space="preserve"> Public Servic</w:t>
      </w:r>
      <w:r w:rsidRPr="00492AE5">
        <w:rPr>
          <w:szCs w:val="22"/>
        </w:rPr>
        <w:t>e</w:t>
      </w:r>
      <w:r w:rsidRPr="007249F9" w:rsidR="00492AE5">
        <w:rPr>
          <w:szCs w:val="22"/>
        </w:rPr>
        <w:t>s</w:t>
      </w:r>
      <w:r w:rsidRPr="00492AE5">
        <w:rPr>
          <w:szCs w:val="22"/>
        </w:rPr>
        <w:t xml:space="preserve"> </w:t>
      </w:r>
      <w:r w:rsidRPr="006D6FB7">
        <w:rPr>
          <w:szCs w:val="22"/>
        </w:rPr>
        <w:t>Agreement, Intelsat</w:t>
      </w:r>
      <w:r w:rsidRPr="006D6FB7">
        <w:rPr>
          <w:szCs w:val="22"/>
        </w:rPr>
        <w:t xml:space="preserve"> had</w:t>
      </w:r>
      <w:r w:rsidRPr="006D6FB7">
        <w:rPr>
          <w:szCs w:val="22"/>
        </w:rPr>
        <w:t xml:space="preserve"> committed to fulfill its public service obligations by (i) maintaining global connectivity and coverage, (ii) providing non-discriminatory access to the Intelsat satellite system, and (iii) honoring favorable contracts with existing lifeline customers.</w:t>
      </w:r>
      <w:r>
        <w:rPr>
          <w:rStyle w:val="FootnoteReference"/>
          <w:szCs w:val="22"/>
        </w:rPr>
        <w:footnoteReference w:id="10"/>
      </w:r>
      <w:r w:rsidRPr="006D6FB7">
        <w:rPr>
          <w:szCs w:val="22"/>
        </w:rPr>
        <w:t xml:space="preserve"> </w:t>
      </w:r>
      <w:r w:rsidRPr="006D6FB7">
        <w:rPr>
          <w:szCs w:val="22"/>
        </w:rPr>
        <w:t xml:space="preserve">  </w:t>
      </w:r>
    </w:p>
    <w:p w:rsidR="0004597A" w:rsidP="0025420B" w14:paraId="6CCBA479" w14:textId="77777777">
      <w:pPr>
        <w:shd w:val="clear" w:color="auto" w:fill="FFFFFF"/>
        <w:textAlignment w:val="baseline"/>
      </w:pPr>
    </w:p>
    <w:p w:rsidR="0025420B" w:rsidP="775ACC5D" w14:paraId="3A818834" w14:textId="2C21C14E">
      <w:pPr>
        <w:shd w:val="clear" w:color="auto" w:fill="FFFFFF" w:themeFill="background1"/>
        <w:ind w:firstLine="720"/>
        <w:textAlignment w:val="baseline"/>
      </w:pPr>
      <w:r>
        <w:t xml:space="preserve">In anticipation that the ITSO is expected to convene an Assembly of Parties by the end of June 2021, during which the Assembly of Parties is expected to consider a resolution to terminate the ITSO Agreement, which would result in the dissolution of ITSO, Intelsat requests that the Commission update the relevant space station authorization conditions, which currently refer to the ITSO and the Public Services Agreement.  </w:t>
      </w:r>
    </w:p>
    <w:p w:rsidR="0025420B" w:rsidP="00A2751A" w14:paraId="22EC7505" w14:textId="77777777">
      <w:pPr>
        <w:autoSpaceDE w:val="0"/>
        <w:autoSpaceDN w:val="0"/>
        <w:adjustRightInd w:val="0"/>
      </w:pPr>
    </w:p>
    <w:p w:rsidR="00A2751A" w:rsidRPr="00B60FBC" w:rsidP="004D306C" w14:paraId="1DA65EC1" w14:textId="7C55A878">
      <w:pPr>
        <w:autoSpaceDE w:val="0"/>
        <w:autoSpaceDN w:val="0"/>
        <w:adjustRightInd w:val="0"/>
        <w:ind w:firstLine="720"/>
      </w:pPr>
      <w:r>
        <w:t xml:space="preserve">Specifically, </w:t>
      </w:r>
      <w:r w:rsidRPr="00B60FBC">
        <w:t>Intelsat</w:t>
      </w:r>
      <w:r w:rsidR="008A77C9">
        <w:t xml:space="preserve"> </w:t>
      </w:r>
      <w:r w:rsidRPr="00B60FBC">
        <w:t xml:space="preserve">proposes </w:t>
      </w:r>
      <w:r>
        <w:t>maintaining the two current conditions but adding an additional condition, so that the relevant license conditions would read as follows</w:t>
      </w:r>
      <w:r w:rsidR="00315D12">
        <w:t>:</w:t>
      </w:r>
      <w:r>
        <w:rPr>
          <w:rStyle w:val="FootnoteReference"/>
        </w:rPr>
        <w:footnoteReference w:id="11"/>
      </w:r>
    </w:p>
    <w:p w:rsidR="00A2751A" w:rsidRPr="00B60FBC" w:rsidP="00A2751A" w14:paraId="128DD361" w14:textId="667417FE">
      <w:pPr>
        <w:autoSpaceDE w:val="0"/>
        <w:autoSpaceDN w:val="0"/>
        <w:adjustRightInd w:val="0"/>
      </w:pPr>
      <w:r>
        <w:t xml:space="preserve"> </w:t>
      </w:r>
    </w:p>
    <w:p w:rsidR="00A2751A" w:rsidRPr="00B60FBC" w:rsidP="00A2751A" w14:paraId="65F2EBBB" w14:textId="77777777">
      <w:pPr>
        <w:autoSpaceDE w:val="0"/>
        <w:autoSpaceDN w:val="0"/>
        <w:adjustRightInd w:val="0"/>
        <w:ind w:left="720"/>
        <w:rPr>
          <w:sz w:val="20"/>
        </w:rPr>
      </w:pPr>
      <w:r w:rsidRPr="00B60FBC">
        <w:rPr>
          <w:sz w:val="20"/>
        </w:rPr>
        <w:t>Intelsat shall remain a signatory to the Public Services Agreement between Intelsat and the International Telecommunications Satellite Organization (ITSO) that was approved by the ITSO Twenty-fifth Assembly of Parties, as amended; and</w:t>
      </w:r>
    </w:p>
    <w:p w:rsidR="00A2751A" w:rsidRPr="00B60FBC" w:rsidP="00A2751A" w14:paraId="334A4751" w14:textId="77777777">
      <w:pPr>
        <w:autoSpaceDE w:val="0"/>
        <w:autoSpaceDN w:val="0"/>
        <w:adjustRightInd w:val="0"/>
        <w:rPr>
          <w:sz w:val="20"/>
        </w:rPr>
      </w:pPr>
    </w:p>
    <w:p w:rsidR="00A2751A" w:rsidRPr="00B60FBC" w:rsidP="00A2751A" w14:paraId="439EB4DC" w14:textId="77777777">
      <w:pPr>
        <w:autoSpaceDE w:val="0"/>
        <w:autoSpaceDN w:val="0"/>
        <w:adjustRightInd w:val="0"/>
        <w:ind w:left="720"/>
        <w:rPr>
          <w:sz w:val="20"/>
        </w:rPr>
      </w:pPr>
      <w:r w:rsidRPr="00B60FBC">
        <w:rPr>
          <w:sz w:val="20"/>
        </w:rPr>
        <w:t>No entity shall be considered a successor-in-interest to Intelsat under the ITSO Agreement for licensing purposes unless it has undertaken to perform the obligations of the Public Services Agreement approved by the Twenty-fifth Assembly of Parties, as amended.</w:t>
      </w:r>
    </w:p>
    <w:p w:rsidR="00A2751A" w:rsidRPr="00B60FBC" w:rsidP="00A2751A" w14:paraId="3A8D2BDF" w14:textId="77777777">
      <w:pPr>
        <w:autoSpaceDE w:val="0"/>
        <w:autoSpaceDN w:val="0"/>
        <w:adjustRightInd w:val="0"/>
        <w:rPr>
          <w:sz w:val="20"/>
        </w:rPr>
      </w:pPr>
    </w:p>
    <w:p w:rsidR="00A2751A" w:rsidRPr="00A2751A" w:rsidP="00A2751A" w14:paraId="4306F5A4" w14:textId="58C91B3A">
      <w:pPr>
        <w:autoSpaceDE w:val="0"/>
        <w:autoSpaceDN w:val="0"/>
        <w:adjustRightInd w:val="0"/>
        <w:ind w:left="720"/>
        <w:rPr>
          <w:sz w:val="20"/>
        </w:rPr>
      </w:pPr>
      <w:r w:rsidRPr="00B60FBC">
        <w:rPr>
          <w:sz w:val="20"/>
        </w:rPr>
        <w:t>Upon termination of the ITSO Agreement, the preceding two conditions will cease and be replaced with the condition that Intelsat shall provide global connectivity and coverage and non-discriminatory access to the Intelsat system.</w:t>
      </w:r>
    </w:p>
    <w:p w:rsidR="00A2751A" w:rsidRPr="00A2751A" w:rsidP="0078625E" w14:paraId="4347F457" w14:textId="3A758EDD">
      <w:pPr>
        <w:shd w:val="clear" w:color="auto" w:fill="FFFFFF"/>
        <w:textAlignment w:val="baseline"/>
        <w:rPr>
          <w:szCs w:val="22"/>
        </w:rPr>
      </w:pPr>
    </w:p>
    <w:p w:rsidR="00C93EFE" w:rsidP="004D306C" w14:paraId="4C4AA4E7" w14:textId="77777777">
      <w:pPr>
        <w:shd w:val="clear" w:color="auto" w:fill="FFFFFF"/>
        <w:ind w:firstLine="720"/>
        <w:textAlignment w:val="baseline"/>
        <w:rPr>
          <w:szCs w:val="22"/>
        </w:rPr>
      </w:pPr>
      <w:r w:rsidRPr="00313B89">
        <w:rPr>
          <w:szCs w:val="22"/>
        </w:rPr>
        <w:t xml:space="preserve">We will treat </w:t>
      </w:r>
      <w:r>
        <w:rPr>
          <w:szCs w:val="22"/>
        </w:rPr>
        <w:t>Intelsat’s</w:t>
      </w:r>
      <w:r w:rsidRPr="00313B89">
        <w:rPr>
          <w:szCs w:val="22"/>
        </w:rPr>
        <w:t xml:space="preserve"> request as an informal request for Commission action under section 1.41 </w:t>
      </w:r>
      <w:r w:rsidRPr="00313B89">
        <w:rPr>
          <w:szCs w:val="22"/>
        </w:rPr>
        <w:t>of the Commission’s rules,</w:t>
      </w:r>
      <w:r>
        <w:rPr>
          <w:rStyle w:val="FootnoteReference"/>
          <w:szCs w:val="22"/>
        </w:rPr>
        <w:footnoteReference w:id="12"/>
      </w:r>
      <w:r w:rsidRPr="00313B89">
        <w:rPr>
          <w:szCs w:val="22"/>
        </w:rPr>
        <w:t xml:space="preserve"> and accept comments on the </w:t>
      </w:r>
      <w:r>
        <w:rPr>
          <w:szCs w:val="22"/>
        </w:rPr>
        <w:t>request</w:t>
      </w:r>
      <w:r w:rsidRPr="00313B89">
        <w:rPr>
          <w:szCs w:val="22"/>
        </w:rPr>
        <w:t xml:space="preserve">. </w:t>
      </w:r>
      <w:r>
        <w:rPr>
          <w:szCs w:val="22"/>
        </w:rPr>
        <w:t xml:space="preserve"> </w:t>
      </w:r>
      <w:r w:rsidRPr="00313B89">
        <w:rPr>
          <w:szCs w:val="22"/>
        </w:rPr>
        <w:t>Following conclusion of the comment cycle, the Commission will decide whether to propose a modification to the Intelsat licenses consistent with section 316 of the Act</w:t>
      </w:r>
      <w:r w:rsidR="002219EA">
        <w:rPr>
          <w:szCs w:val="22"/>
        </w:rPr>
        <w:t xml:space="preserve"> and section 1.87 of the Commission’s rules</w:t>
      </w:r>
      <w:r w:rsidRPr="00313B89">
        <w:rPr>
          <w:szCs w:val="22"/>
        </w:rPr>
        <w:t>.</w:t>
      </w:r>
      <w:r>
        <w:rPr>
          <w:rStyle w:val="FootnoteReference"/>
          <w:szCs w:val="22"/>
        </w:rPr>
        <w:footnoteReference w:id="13"/>
      </w:r>
      <w:r w:rsidRPr="00313B89">
        <w:rPr>
          <w:szCs w:val="22"/>
        </w:rPr>
        <w:t xml:space="preserve">  Should the Commission decide to do so, it will notify Intelsat in writing of the proposed action and reasons therefore, and afford Intelsat the opportunity to protest such proposed order of modification.</w:t>
      </w:r>
      <w:r>
        <w:rPr>
          <w:rStyle w:val="FootnoteReference"/>
          <w:szCs w:val="22"/>
        </w:rPr>
        <w:footnoteReference w:id="14"/>
      </w:r>
    </w:p>
    <w:p w:rsidR="0078625E" w:rsidRPr="00B60FBC" w:rsidP="00C93EFE" w14:paraId="7E3120B5" w14:textId="433D13DF">
      <w:pPr>
        <w:shd w:val="clear" w:color="auto" w:fill="FFFFFF"/>
        <w:textAlignment w:val="baseline"/>
        <w:rPr>
          <w:color w:val="000000"/>
        </w:rPr>
      </w:pPr>
    </w:p>
    <w:p w:rsidR="0078625E" w:rsidRPr="00B720EF" w:rsidP="004D306C" w14:paraId="2568D900" w14:textId="1EBEA3EE">
      <w:pPr>
        <w:autoSpaceDE w:val="0"/>
        <w:autoSpaceDN w:val="0"/>
        <w:adjustRightInd w:val="0"/>
        <w:ind w:firstLine="360"/>
        <w:rPr>
          <w:color w:val="000000"/>
        </w:rPr>
      </w:pPr>
      <w:r w:rsidRPr="00B60FBC">
        <w:rPr>
          <w:color w:val="000000"/>
        </w:rPr>
        <w:t>Interested parties must file comments</w:t>
      </w:r>
      <w:r w:rsidR="00B70AB8">
        <w:rPr>
          <w:color w:val="000000"/>
        </w:rPr>
        <w:t xml:space="preserve">, </w:t>
      </w:r>
      <w:r w:rsidRPr="00B60FBC">
        <w:rPr>
          <w:color w:val="000000"/>
        </w:rPr>
        <w:t>reply comments</w:t>
      </w:r>
      <w:r w:rsidR="00B70AB8">
        <w:rPr>
          <w:color w:val="000000"/>
        </w:rPr>
        <w:t>, and responses</w:t>
      </w:r>
      <w:r w:rsidRPr="00B60FBC">
        <w:rPr>
          <w:color w:val="000000"/>
        </w:rPr>
        <w:t xml:space="preserve"> on or before the dates indicated on the first page of this notice.  </w:t>
      </w:r>
      <w:r w:rsidR="00DF0D55">
        <w:rPr>
          <w:color w:val="000000"/>
        </w:rPr>
        <w:t xml:space="preserve">All comments are to reference </w:t>
      </w:r>
      <w:r w:rsidRPr="00B720EF" w:rsidR="00DF0D55">
        <w:rPr>
          <w:b/>
          <w:bCs/>
          <w:color w:val="000000"/>
        </w:rPr>
        <w:t>IB Docket No</w:t>
      </w:r>
      <w:r w:rsidRPr="00B720EF" w:rsidR="00A96F33">
        <w:rPr>
          <w:b/>
          <w:bCs/>
          <w:color w:val="000000"/>
        </w:rPr>
        <w:t xml:space="preserve">. </w:t>
      </w:r>
      <w:r w:rsidR="002D211E">
        <w:rPr>
          <w:b/>
          <w:bCs/>
          <w:color w:val="000000"/>
        </w:rPr>
        <w:t>20-417</w:t>
      </w:r>
      <w:r w:rsidR="00A96F33">
        <w:rPr>
          <w:color w:val="000000"/>
        </w:rPr>
        <w:t xml:space="preserve"> and </w:t>
      </w:r>
      <w:r w:rsidRPr="00B720EF" w:rsidR="00A96F33">
        <w:rPr>
          <w:b/>
          <w:bCs/>
          <w:color w:val="000000"/>
        </w:rPr>
        <w:t xml:space="preserve">IBFS File No. </w:t>
      </w:r>
      <w:r w:rsidR="00502DDB">
        <w:rPr>
          <w:b/>
          <w:bCs/>
          <w:color w:val="000000"/>
        </w:rPr>
        <w:t>SAT-MSC-20201118-00139</w:t>
      </w:r>
      <w:r w:rsidR="00A96F33">
        <w:rPr>
          <w:color w:val="000000"/>
        </w:rPr>
        <w:t xml:space="preserve">. </w:t>
      </w:r>
      <w:r w:rsidR="00D366FB">
        <w:rPr>
          <w:color w:val="000000"/>
        </w:rPr>
        <w:t xml:space="preserve"> </w:t>
      </w:r>
      <w:r w:rsidRPr="00B60FBC">
        <w:rPr>
          <w:color w:val="000000"/>
        </w:rPr>
        <w:t xml:space="preserve">Comments may be filed using the </w:t>
      </w:r>
      <w:bookmarkStart w:id="1" w:name="co_pp_sp_1511_7925_1"/>
      <w:bookmarkEnd w:id="1"/>
      <w:r w:rsidRPr="00B60FBC">
        <w:rPr>
          <w:color w:val="000000"/>
        </w:rPr>
        <w:t xml:space="preserve">Commission’s Electronic Comment Filing System (ECFS).  </w:t>
      </w:r>
      <w:r w:rsidR="00B720EF">
        <w:rPr>
          <w:i/>
          <w:iCs/>
          <w:color w:val="000000"/>
        </w:rPr>
        <w:t>See</w:t>
      </w:r>
      <w:r w:rsidR="00B720EF">
        <w:rPr>
          <w:color w:val="000000"/>
        </w:rPr>
        <w:t xml:space="preserve"> </w:t>
      </w:r>
      <w:r w:rsidR="00B720EF">
        <w:rPr>
          <w:i/>
          <w:iCs/>
          <w:color w:val="000000"/>
        </w:rPr>
        <w:t>Electronic Filing of Documents in Rulemaking Proceedings</w:t>
      </w:r>
      <w:r w:rsidR="00B720EF">
        <w:rPr>
          <w:color w:val="000000"/>
        </w:rPr>
        <w:t>, 63 FR 24121 (1998).</w:t>
      </w:r>
    </w:p>
    <w:p w:rsidR="0078625E" w:rsidRPr="00B60FBC" w:rsidP="0078625E" w14:paraId="42598A80" w14:textId="77777777">
      <w:pPr>
        <w:autoSpaceDE w:val="0"/>
        <w:autoSpaceDN w:val="0"/>
        <w:adjustRightInd w:val="0"/>
        <w:rPr>
          <w:color w:val="000000"/>
        </w:rPr>
      </w:pPr>
    </w:p>
    <w:p w:rsidR="0078625E" w:rsidRPr="00B60FBC" w:rsidP="00B720EF" w14:paraId="00231E81" w14:textId="5137DC88">
      <w:pPr>
        <w:numPr>
          <w:ilvl w:val="0"/>
          <w:numId w:val="9"/>
        </w:numPr>
        <w:autoSpaceDE w:val="0"/>
        <w:autoSpaceDN w:val="0"/>
        <w:adjustRightInd w:val="0"/>
        <w:rPr>
          <w:color w:val="000000"/>
        </w:rPr>
      </w:pPr>
      <w:r w:rsidRPr="00B60FBC">
        <w:rPr>
          <w:i/>
          <w:iCs/>
          <w:color w:val="000000"/>
        </w:rPr>
        <w:t>Electronic Filers</w:t>
      </w:r>
      <w:r w:rsidRPr="00B60FBC">
        <w:rPr>
          <w:color w:val="000000"/>
        </w:rPr>
        <w:t>:</w:t>
      </w:r>
      <w:bookmarkStart w:id="2" w:name="co_tablefootnote_11_1"/>
      <w:bookmarkEnd w:id="2"/>
      <w:r w:rsidRPr="00B60FBC">
        <w:rPr>
          <w:color w:val="000000"/>
        </w:rPr>
        <w:t xml:space="preserve"> Comments may be filed electronically</w:t>
      </w:r>
      <w:r w:rsidR="00B720EF">
        <w:rPr>
          <w:color w:val="000000"/>
        </w:rPr>
        <w:t xml:space="preserve"> using the Internet</w:t>
      </w:r>
      <w:r w:rsidRPr="00B60FBC">
        <w:rPr>
          <w:color w:val="000000"/>
        </w:rPr>
        <w:t xml:space="preserve"> by accessing the ECFS: </w:t>
      </w:r>
      <w:hyperlink r:id="rId5" w:history="1">
        <w:r w:rsidRPr="00B60FBC">
          <w:rPr>
            <w:rStyle w:val="Hyperlink"/>
          </w:rPr>
          <w:t>http://apps.fcc.gov/ecfs</w:t>
        </w:r>
      </w:hyperlink>
      <w:r w:rsidRPr="00B60FBC">
        <w:rPr>
          <w:color w:val="000000"/>
        </w:rPr>
        <w:t>.</w:t>
      </w:r>
    </w:p>
    <w:p w:rsidR="0078625E" w:rsidRPr="00B60FBC" w:rsidP="0078625E" w14:paraId="5E55F1B6" w14:textId="77777777">
      <w:pPr>
        <w:autoSpaceDE w:val="0"/>
        <w:autoSpaceDN w:val="0"/>
        <w:adjustRightInd w:val="0"/>
        <w:rPr>
          <w:color w:val="000000"/>
        </w:rPr>
      </w:pPr>
    </w:p>
    <w:p w:rsidR="0078625E" w:rsidRPr="00B60FBC" w:rsidP="00B720EF" w14:paraId="2226AB76" w14:textId="1598E666">
      <w:pPr>
        <w:numPr>
          <w:ilvl w:val="0"/>
          <w:numId w:val="9"/>
        </w:numPr>
        <w:autoSpaceDE w:val="0"/>
        <w:autoSpaceDN w:val="0"/>
        <w:adjustRightInd w:val="0"/>
        <w:rPr>
          <w:color w:val="000000"/>
        </w:rPr>
      </w:pPr>
      <w:r w:rsidRPr="00B60FBC">
        <w:rPr>
          <w:i/>
          <w:iCs/>
          <w:color w:val="000000"/>
        </w:rPr>
        <w:t>Paper Filers</w:t>
      </w:r>
      <w:r w:rsidRPr="00B60FBC">
        <w:rPr>
          <w:color w:val="000000"/>
        </w:rPr>
        <w:t>: Parties who choose to file by paper must file an original and one copy of each filing.</w:t>
      </w:r>
    </w:p>
    <w:p w:rsidR="0078625E" w:rsidRPr="00B60FBC" w:rsidP="00B720EF" w14:paraId="408C95A6" w14:textId="25CB8510">
      <w:pPr>
        <w:autoSpaceDE w:val="0"/>
        <w:autoSpaceDN w:val="0"/>
        <w:adjustRightInd w:val="0"/>
        <w:ind w:firstLine="60"/>
        <w:rPr>
          <w:color w:val="000000"/>
        </w:rPr>
      </w:pPr>
    </w:p>
    <w:p w:rsidR="0078625E" w:rsidRPr="00B60FBC" w:rsidP="00B720EF" w14:paraId="6C55DB97" w14:textId="77777777">
      <w:pPr>
        <w:numPr>
          <w:ilvl w:val="0"/>
          <w:numId w:val="8"/>
        </w:numPr>
        <w:autoSpaceDE w:val="0"/>
        <w:autoSpaceDN w:val="0"/>
        <w:adjustRightInd w:val="0"/>
        <w:rPr>
          <w:color w:val="000000"/>
        </w:rPr>
      </w:pPr>
      <w:r w:rsidRPr="00B60FBC">
        <w:rPr>
          <w:color w:val="000000"/>
        </w:rPr>
        <w:t>Filings can be sent by commercial overnight courier or by first-class or overnight U.S. Postal Service mail.  All filings must be addressed to the Commission’s Secretary, Office of the Secretary, Federal Communications Commission.</w:t>
      </w:r>
    </w:p>
    <w:p w:rsidR="0078625E" w:rsidRPr="00B60FBC" w:rsidP="0078625E" w14:paraId="34D62B57" w14:textId="77777777">
      <w:pPr>
        <w:autoSpaceDE w:val="0"/>
        <w:autoSpaceDN w:val="0"/>
        <w:adjustRightInd w:val="0"/>
        <w:rPr>
          <w:color w:val="000000"/>
        </w:rPr>
      </w:pPr>
      <w:r w:rsidRPr="00B60FBC">
        <w:rPr>
          <w:color w:val="000000"/>
        </w:rPr>
        <w:t> </w:t>
      </w:r>
    </w:p>
    <w:p w:rsidR="0078625E" w:rsidRPr="00B60FBC" w:rsidP="00B720EF" w14:paraId="17496945" w14:textId="77777777">
      <w:pPr>
        <w:numPr>
          <w:ilvl w:val="0"/>
          <w:numId w:val="10"/>
        </w:numPr>
        <w:autoSpaceDE w:val="0"/>
        <w:autoSpaceDN w:val="0"/>
        <w:adjustRightInd w:val="0"/>
        <w:rPr>
          <w:color w:val="000000"/>
        </w:rPr>
      </w:pPr>
      <w:r w:rsidRPr="00B60FBC">
        <w:rPr>
          <w:color w:val="000000"/>
        </w:rPr>
        <w:t>Commercial overnight mail (other than U.S. Postal Service Express Mail and Priority Mail) must be sent to 9050 Junction Drive, Annapolis Junction, MD 20701.</w:t>
      </w:r>
    </w:p>
    <w:p w:rsidR="0078625E" w:rsidRPr="00B60FBC" w:rsidP="0078625E" w14:paraId="76584C89" w14:textId="77777777">
      <w:pPr>
        <w:autoSpaceDE w:val="0"/>
        <w:autoSpaceDN w:val="0"/>
        <w:adjustRightInd w:val="0"/>
        <w:rPr>
          <w:color w:val="000000"/>
        </w:rPr>
      </w:pPr>
      <w:r w:rsidRPr="00B60FBC">
        <w:rPr>
          <w:color w:val="000000"/>
        </w:rPr>
        <w:t> </w:t>
      </w:r>
    </w:p>
    <w:p w:rsidR="0078625E" w:rsidRPr="00D50070" w:rsidP="00B720EF" w14:paraId="347D271F" w14:textId="79E024AA">
      <w:pPr>
        <w:numPr>
          <w:ilvl w:val="0"/>
          <w:numId w:val="10"/>
        </w:numPr>
        <w:autoSpaceDE w:val="0"/>
        <w:autoSpaceDN w:val="0"/>
        <w:adjustRightInd w:val="0"/>
      </w:pPr>
      <w:r w:rsidRPr="00B60FBC">
        <w:rPr>
          <w:color w:val="000000"/>
        </w:rPr>
        <w:t xml:space="preserve">U.S. Postal Service first-class, Express, and Priority mail should be addressed to </w:t>
      </w:r>
      <w:r w:rsidRPr="00D50070">
        <w:t xml:space="preserve">45 </w:t>
      </w:r>
      <w:r w:rsidRPr="00D50070" w:rsidR="00421F34">
        <w:t>L Street</w:t>
      </w:r>
      <w:r w:rsidRPr="00D50070">
        <w:t xml:space="preserve">, </w:t>
      </w:r>
      <w:r w:rsidRPr="00D50070" w:rsidR="00421F34">
        <w:t>N</w:t>
      </w:r>
      <w:r w:rsidRPr="00D50070">
        <w:t>.</w:t>
      </w:r>
      <w:r w:rsidRPr="00D50070" w:rsidR="00421F34">
        <w:t>E</w:t>
      </w:r>
      <w:r w:rsidRPr="00D50070">
        <w:t>., Washington, D.C. 20554.</w:t>
      </w:r>
    </w:p>
    <w:p w:rsidR="0078625E" w:rsidRPr="00B60FBC" w:rsidP="0078625E" w14:paraId="405293C6" w14:textId="77777777">
      <w:pPr>
        <w:autoSpaceDE w:val="0"/>
        <w:autoSpaceDN w:val="0"/>
        <w:adjustRightInd w:val="0"/>
        <w:rPr>
          <w:color w:val="000000"/>
        </w:rPr>
      </w:pPr>
    </w:p>
    <w:p w:rsidR="0078625E" w:rsidRPr="00B60FBC" w:rsidP="00B720EF" w14:paraId="3AFBDFA8" w14:textId="77777777">
      <w:pPr>
        <w:numPr>
          <w:ilvl w:val="0"/>
          <w:numId w:val="10"/>
        </w:numPr>
        <w:autoSpaceDE w:val="0"/>
        <w:autoSpaceDN w:val="0"/>
        <w:adjustRightInd w:val="0"/>
        <w:rPr>
          <w:color w:val="000000"/>
        </w:rPr>
      </w:pPr>
      <w:r w:rsidRPr="00B60FBC">
        <w:rPr>
          <w:color w:val="00000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B60FBC">
        <w:rPr>
          <w:i/>
          <w:iCs/>
          <w:color w:val="000000"/>
        </w:rPr>
        <w:t>See</w:t>
      </w:r>
      <w:r w:rsidRPr="00B60FBC">
        <w:rPr>
          <w:color w:val="000000"/>
        </w:rPr>
        <w:t xml:space="preserve"> FCC Announces Closure of FCC Headquarters Open Window and Change in Hand-Delivery Policy, Public Notice, DA 20-304 (March 19, 2020).  </w:t>
      </w:r>
      <w:hyperlink r:id="rId6" w:history="1">
        <w:r w:rsidRPr="00B60FBC">
          <w:rPr>
            <w:rStyle w:val="Hyperlink"/>
          </w:rPr>
          <w:t>https://www.fcc.gov/document/fcc-closes-headquarters-open-window-and-changes-hand-delivery-policy</w:t>
        </w:r>
      </w:hyperlink>
      <w:r w:rsidRPr="00B60FBC">
        <w:rPr>
          <w:color w:val="000000"/>
        </w:rPr>
        <w:t>.</w:t>
      </w:r>
    </w:p>
    <w:p w:rsidR="0078625E" w:rsidRPr="00B60FBC" w:rsidP="0078625E" w14:paraId="6BC009DE" w14:textId="77777777">
      <w:pPr>
        <w:autoSpaceDE w:val="0"/>
        <w:autoSpaceDN w:val="0"/>
        <w:adjustRightInd w:val="0"/>
        <w:rPr>
          <w:color w:val="000000"/>
        </w:rPr>
      </w:pPr>
    </w:p>
    <w:p w:rsidR="0078625E" w:rsidRPr="00B60FBC" w:rsidP="00B720EF" w14:paraId="414781AF" w14:textId="77777777">
      <w:pPr>
        <w:numPr>
          <w:ilvl w:val="0"/>
          <w:numId w:val="10"/>
        </w:numPr>
        <w:autoSpaceDE w:val="0"/>
        <w:autoSpaceDN w:val="0"/>
        <w:adjustRightInd w:val="0"/>
        <w:rPr>
          <w:color w:val="000000"/>
        </w:rPr>
      </w:pPr>
      <w:r w:rsidRPr="00B720EF">
        <w:rPr>
          <w:i/>
          <w:iCs/>
          <w:color w:val="000000"/>
        </w:rPr>
        <w:t>People with Disabilities</w:t>
      </w:r>
      <w:r w:rsidRPr="00B60FBC">
        <w:rPr>
          <w:color w:val="000000"/>
        </w:rPr>
        <w:t xml:space="preserve">: To request materials in accessible formats for people with disabilities (braille, large print, electronic files, audio format), send an email to </w:t>
      </w:r>
      <w:hyperlink r:id="rId7" w:history="1">
        <w:r w:rsidRPr="003C57BF">
          <w:rPr>
            <w:rStyle w:val="Hyperlink"/>
          </w:rPr>
          <w:t>fcc504@fcc.gov</w:t>
        </w:r>
      </w:hyperlink>
      <w:r w:rsidRPr="00B60FBC">
        <w:rPr>
          <w:color w:val="000000"/>
        </w:rPr>
        <w:t xml:space="preserve"> or call the Consumer &amp; Governmental Affairs Bureau at 202-418-0530 (voice), 1-888-835-5322 (</w:t>
      </w:r>
      <w:r w:rsidRPr="00B60FBC">
        <w:rPr>
          <w:color w:val="000000"/>
        </w:rPr>
        <w:t>tty</w:t>
      </w:r>
      <w:r w:rsidRPr="00B60FBC">
        <w:rPr>
          <w:color w:val="000000"/>
        </w:rPr>
        <w:t>).</w:t>
      </w:r>
    </w:p>
    <w:p w:rsidR="0078625E" w:rsidRPr="00B60FBC" w:rsidP="0078625E" w14:paraId="6F46F01C" w14:textId="77777777">
      <w:pPr>
        <w:autoSpaceDE w:val="0"/>
        <w:autoSpaceDN w:val="0"/>
        <w:adjustRightInd w:val="0"/>
        <w:rPr>
          <w:color w:val="000000"/>
        </w:rPr>
      </w:pPr>
      <w:r w:rsidRPr="00B60FBC">
        <w:rPr>
          <w:color w:val="000000"/>
        </w:rPr>
        <w:t> </w:t>
      </w:r>
    </w:p>
    <w:p w:rsidR="0078625E" w:rsidRPr="00B60FBC" w:rsidP="004D306C" w14:paraId="0F7664B3" w14:textId="77777777">
      <w:pPr>
        <w:autoSpaceDE w:val="0"/>
        <w:autoSpaceDN w:val="0"/>
        <w:adjustRightInd w:val="0"/>
        <w:ind w:firstLine="360"/>
        <w:rPr>
          <w:color w:val="000000"/>
        </w:rPr>
      </w:pPr>
      <w:r w:rsidRPr="00B60FBC">
        <w:rPr>
          <w:color w:val="000000"/>
        </w:rPr>
        <w:t>The proceeding in this Notice shall be treated as a “permit-but-disclose” proceeding in accordance wi</w:t>
      </w:r>
      <w:r>
        <w:rPr>
          <w:color w:val="000000"/>
        </w:rPr>
        <w:t>th</w:t>
      </w:r>
      <w:r w:rsidRPr="00B60FBC">
        <w:rPr>
          <w:color w:val="000000"/>
        </w:rPr>
        <w:t xml:space="preserve"> the Commission’s </w:t>
      </w:r>
      <w:r w:rsidRPr="00B60FBC">
        <w:rPr>
          <w:i/>
          <w:iCs/>
          <w:color w:val="000000"/>
        </w:rPr>
        <w:t xml:space="preserve">ex </w:t>
      </w:r>
      <w:r w:rsidRPr="00B60FBC">
        <w:rPr>
          <w:i/>
          <w:iCs/>
          <w:color w:val="000000"/>
        </w:rPr>
        <w:t>parte</w:t>
      </w:r>
      <w:r w:rsidRPr="00B60FBC">
        <w:rPr>
          <w:color w:val="000000"/>
        </w:rPr>
        <w:t xml:space="preserve"> rules.  Persons making </w:t>
      </w:r>
      <w:r w:rsidRPr="00B60FBC">
        <w:rPr>
          <w:i/>
          <w:iCs/>
          <w:color w:val="000000"/>
        </w:rPr>
        <w:t xml:space="preserve">ex </w:t>
      </w:r>
      <w:r w:rsidRPr="00B60FBC">
        <w:rPr>
          <w:i/>
          <w:iCs/>
          <w:color w:val="000000"/>
        </w:rPr>
        <w:t>parte</w:t>
      </w:r>
      <w:r w:rsidRPr="00B60FBC">
        <w:rPr>
          <w:color w:val="000000"/>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60FBC">
        <w:rPr>
          <w:i/>
          <w:iCs/>
          <w:color w:val="000000"/>
        </w:rPr>
        <w:t xml:space="preserve">ex </w:t>
      </w:r>
      <w:r w:rsidRPr="00B60FBC">
        <w:rPr>
          <w:i/>
          <w:iCs/>
          <w:color w:val="000000"/>
        </w:rPr>
        <w:t>parte</w:t>
      </w:r>
      <w:r w:rsidRPr="00B60FBC">
        <w:rPr>
          <w:color w:val="000000"/>
        </w:rPr>
        <w:t xml:space="preserve"> presentations are reminded that memoranda summarizing the presentation must (1) list all persons attending or otherwise participating in the meeting at which the </w:t>
      </w:r>
      <w:r w:rsidRPr="00B60FBC">
        <w:rPr>
          <w:i/>
          <w:iCs/>
          <w:color w:val="000000"/>
        </w:rPr>
        <w:t xml:space="preserve">ex </w:t>
      </w:r>
      <w:r w:rsidRPr="00B60FBC">
        <w:rPr>
          <w:i/>
          <w:iCs/>
          <w:color w:val="000000"/>
        </w:rPr>
        <w:t>parte</w:t>
      </w:r>
      <w:r w:rsidRPr="00B60FBC">
        <w:rPr>
          <w:color w:val="000000"/>
        </w:rPr>
        <w:t xml:space="preserve"> presentation was made, and (2) summarize all data presented and arguments made during the presentation.  If the presentation consisted in whole or in part of the presentation of data or arguments already reflected in the presenter’s </w:t>
      </w:r>
      <w:r w:rsidRPr="00B60FBC">
        <w:rPr>
          <w:color w:val="000000"/>
        </w:rPr>
        <w:t xml:space="preserve">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B60FBC">
        <w:rPr>
          <w:i/>
          <w:iCs/>
          <w:color w:val="000000"/>
        </w:rPr>
        <w:t xml:space="preserve">ex </w:t>
      </w:r>
      <w:r w:rsidRPr="00B60FBC">
        <w:rPr>
          <w:i/>
          <w:iCs/>
          <w:color w:val="000000"/>
        </w:rPr>
        <w:t>parte</w:t>
      </w:r>
      <w:r w:rsidRPr="00B60FBC">
        <w:rPr>
          <w:i/>
          <w:iCs/>
          <w:color w:val="000000"/>
        </w:rPr>
        <w:t xml:space="preserve"> </w:t>
      </w:r>
      <w:r w:rsidRPr="00B60FBC">
        <w:rPr>
          <w:color w:val="000000"/>
        </w:rPr>
        <w:t xml:space="preserve">meetings are deemed to be written </w:t>
      </w:r>
      <w:r w:rsidRPr="00B60FBC">
        <w:rPr>
          <w:i/>
          <w:iCs/>
          <w:color w:val="000000"/>
        </w:rPr>
        <w:t xml:space="preserve">ex </w:t>
      </w:r>
      <w:r w:rsidRPr="00B60FBC">
        <w:rPr>
          <w:i/>
          <w:iCs/>
          <w:color w:val="000000"/>
        </w:rPr>
        <w:t>parte</w:t>
      </w:r>
      <w:r w:rsidRPr="00B60FBC">
        <w:rPr>
          <w:i/>
          <w:iCs/>
          <w:color w:val="000000"/>
        </w:rPr>
        <w:t xml:space="preserve"> </w:t>
      </w:r>
      <w:r w:rsidRPr="00B60FBC">
        <w:rPr>
          <w:color w:val="000000"/>
        </w:rPr>
        <w:t xml:space="preserve">presentation and must be filed consistent with rule 1.1206(b), 47 CFR § 1.1206(b).  Participants in this proceeding should familiarize themselves with the Commission’s </w:t>
      </w:r>
      <w:r w:rsidRPr="00B60FBC">
        <w:rPr>
          <w:i/>
          <w:iCs/>
          <w:color w:val="000000"/>
        </w:rPr>
        <w:t xml:space="preserve">ex </w:t>
      </w:r>
      <w:r w:rsidRPr="00B60FBC">
        <w:rPr>
          <w:i/>
          <w:iCs/>
          <w:color w:val="000000"/>
        </w:rPr>
        <w:t>parte</w:t>
      </w:r>
      <w:r w:rsidRPr="00B60FBC">
        <w:rPr>
          <w:i/>
          <w:iCs/>
          <w:color w:val="000000"/>
        </w:rPr>
        <w:t xml:space="preserve"> </w:t>
      </w:r>
      <w:r w:rsidRPr="00B60FBC">
        <w:rPr>
          <w:color w:val="000000"/>
        </w:rPr>
        <w:t xml:space="preserve">rules. </w:t>
      </w:r>
    </w:p>
    <w:p w:rsidR="0078625E" w:rsidRPr="00B60FBC" w:rsidP="0078625E" w14:paraId="7842B18A" w14:textId="77777777">
      <w:pPr>
        <w:autoSpaceDE w:val="0"/>
        <w:autoSpaceDN w:val="0"/>
        <w:adjustRightInd w:val="0"/>
        <w:rPr>
          <w:color w:val="000000"/>
        </w:rPr>
      </w:pPr>
    </w:p>
    <w:p w:rsidR="0078625E" w:rsidP="001869E1" w14:paraId="31A1F3EB" w14:textId="53F5BC92">
      <w:pPr>
        <w:autoSpaceDE w:val="0"/>
        <w:autoSpaceDN w:val="0"/>
        <w:adjustRightInd w:val="0"/>
        <w:ind w:firstLine="360"/>
        <w:rPr>
          <w:color w:val="000000"/>
        </w:rPr>
      </w:pPr>
      <w:bookmarkStart w:id="3" w:name="_GoBack"/>
      <w:bookmarkEnd w:id="3"/>
      <w:r w:rsidRPr="00B60FBC">
        <w:rPr>
          <w:color w:val="000000"/>
        </w:rPr>
        <w:t>For further information contact Alan Thomas, Satellite Division, International Bureau, at (202) 418-2338</w:t>
      </w:r>
      <w:r w:rsidR="00D366FB">
        <w:rPr>
          <w:color w:val="000000"/>
        </w:rPr>
        <w:t>, or Merissa Velez,</w:t>
      </w:r>
      <w:r w:rsidR="00B04EEF">
        <w:rPr>
          <w:color w:val="000000"/>
        </w:rPr>
        <w:t xml:space="preserve"> Satellite Division, International Bureau, at</w:t>
      </w:r>
      <w:r w:rsidR="00D366FB">
        <w:rPr>
          <w:color w:val="000000"/>
        </w:rPr>
        <w:t xml:space="preserve"> (202) 418-0751</w:t>
      </w:r>
      <w:r w:rsidRPr="00B60FBC">
        <w:rPr>
          <w:color w:val="000000"/>
        </w:rPr>
        <w:t>.</w:t>
      </w:r>
    </w:p>
    <w:p w:rsidR="0078625E" w:rsidP="0078625E" w14:paraId="169305CE" w14:textId="21526A48">
      <w:pPr>
        <w:autoSpaceDE w:val="0"/>
        <w:autoSpaceDN w:val="0"/>
        <w:adjustRightInd w:val="0"/>
        <w:rPr>
          <w:color w:val="000000"/>
        </w:rPr>
      </w:pPr>
    </w:p>
    <w:p w:rsidR="0078625E" w:rsidRPr="00B60FBC" w:rsidP="0078625E" w14:paraId="0B1B0E86" w14:textId="77777777">
      <w:pPr>
        <w:autoSpaceDE w:val="0"/>
        <w:autoSpaceDN w:val="0"/>
        <w:adjustRightInd w:val="0"/>
        <w:jc w:val="center"/>
        <w:rPr>
          <w:b/>
          <w:bCs/>
          <w:color w:val="000000"/>
        </w:rPr>
      </w:pPr>
      <w:r w:rsidRPr="00B60FBC">
        <w:rPr>
          <w:b/>
          <w:bCs/>
          <w:color w:val="000000"/>
        </w:rPr>
        <w:t>-FCC-</w:t>
      </w:r>
    </w:p>
    <w:p w:rsidR="0078625E" w:rsidRPr="00B60FBC" w:rsidP="0078625E" w14:paraId="71C419B4" w14:textId="77777777">
      <w:pPr>
        <w:autoSpaceDE w:val="0"/>
        <w:autoSpaceDN w:val="0"/>
        <w:adjustRightInd w:val="0"/>
        <w:rPr>
          <w:color w:val="000000"/>
        </w:rPr>
      </w:pPr>
    </w:p>
    <w:p w:rsidR="00930ECF" w:rsidRPr="00930ECF" w:rsidP="00F96F63" w14:paraId="3696F2C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1DF7AC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94BF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0F0FD802" w14:textId="02F842FD">
    <w:pPr>
      <w:pStyle w:val="Footer"/>
      <w:jc w:val="center"/>
    </w:pPr>
    <w:r>
      <w:fldChar w:fldCharType="begin"/>
    </w:r>
    <w:r>
      <w:instrText xml:space="preserve"> PAGE   \* MERGEFORMAT </w:instrText>
    </w:r>
    <w:r>
      <w:fldChar w:fldCharType="separate"/>
    </w:r>
    <w:r w:rsidR="0092673D">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4F021B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99353C" w14:paraId="706D5BFD" w14:textId="77777777">
      <w:r>
        <w:separator/>
      </w:r>
    </w:p>
  </w:footnote>
  <w:footnote w:type="continuationSeparator" w:id="1">
    <w:p w:rsidR="0099353C" w14:paraId="6E300F21" w14:textId="77777777">
      <w:pPr>
        <w:rPr>
          <w:sz w:val="20"/>
        </w:rPr>
      </w:pPr>
      <w:r>
        <w:rPr>
          <w:sz w:val="20"/>
        </w:rPr>
        <w:t xml:space="preserve">(Continued from previous page)  </w:t>
      </w:r>
      <w:r>
        <w:rPr>
          <w:sz w:val="20"/>
        </w:rPr>
        <w:separator/>
      </w:r>
    </w:p>
  </w:footnote>
  <w:footnote w:type="continuationNotice" w:id="2">
    <w:p w:rsidR="0099353C" w:rsidP="00910F12" w14:paraId="49D84009" w14:textId="77777777">
      <w:pPr>
        <w:jc w:val="right"/>
        <w:rPr>
          <w:sz w:val="20"/>
        </w:rPr>
      </w:pPr>
      <w:r>
        <w:rPr>
          <w:sz w:val="20"/>
        </w:rPr>
        <w:t>(continued….)</w:t>
      </w:r>
    </w:p>
  </w:footnote>
  <w:footnote w:id="3">
    <w:p w:rsidR="0078625E" w:rsidRPr="0078625E" w:rsidP="0078625E" w14:paraId="743B1A4D" w14:textId="3B985D17">
      <w:pPr>
        <w:pStyle w:val="FootnoteText"/>
        <w:rPr>
          <w:sz w:val="22"/>
          <w:szCs w:val="22"/>
        </w:rPr>
      </w:pPr>
      <w:r>
        <w:rPr>
          <w:rStyle w:val="FootnoteReference"/>
        </w:rPr>
        <w:footnoteRef/>
      </w:r>
      <w:r>
        <w:t xml:space="preserve"> </w:t>
      </w:r>
      <w:r w:rsidRPr="00EA604B">
        <w:t>47 U</w:t>
      </w:r>
      <w:r w:rsidR="00BA2BFD">
        <w:t>.</w:t>
      </w:r>
      <w:r w:rsidRPr="00EA604B">
        <w:t>S</w:t>
      </w:r>
      <w:r w:rsidR="00BA2BFD">
        <w:t>.</w:t>
      </w:r>
      <w:r w:rsidRPr="00EA604B">
        <w:t>C</w:t>
      </w:r>
      <w:r w:rsidR="00BA2BFD">
        <w:t>.</w:t>
      </w:r>
      <w:r w:rsidRPr="00EA604B">
        <w:t xml:space="preserve"> § 316</w:t>
      </w:r>
      <w:r>
        <w:rPr>
          <w:sz w:val="22"/>
          <w:szCs w:val="22"/>
        </w:rPr>
        <w:t>.</w:t>
      </w:r>
    </w:p>
  </w:footnote>
  <w:footnote w:id="4">
    <w:p w:rsidR="002823CF" w14:paraId="018C6031" w14:textId="068AE361">
      <w:pPr>
        <w:pStyle w:val="FootnoteText"/>
      </w:pPr>
      <w:r>
        <w:rPr>
          <w:rStyle w:val="FootnoteReference"/>
        </w:rPr>
        <w:footnoteRef/>
      </w:r>
      <w:r>
        <w:t xml:space="preserve"> </w:t>
      </w:r>
      <w:r w:rsidRPr="00D71F6B" w:rsidR="00B9560B">
        <w:rPr>
          <w:i/>
          <w:iCs/>
        </w:rPr>
        <w:t>Request for Commission Action to Update the ITSO Conditions</w:t>
      </w:r>
      <w:r w:rsidR="00B9560B">
        <w:t>,</w:t>
      </w:r>
      <w:r w:rsidR="007628A1">
        <w:t xml:space="preserve"> IB Docket No. </w:t>
      </w:r>
      <w:r w:rsidR="001F1046">
        <w:t>20-417</w:t>
      </w:r>
      <w:r w:rsidR="00502DDB">
        <w:t xml:space="preserve">, </w:t>
      </w:r>
      <w:r w:rsidR="00D71F6B">
        <w:t>IBFS File No</w:t>
      </w:r>
      <w:r w:rsidR="00502DDB">
        <w:t xml:space="preserve">. SAT-MSC-2020118-00139 </w:t>
      </w:r>
      <w:r w:rsidR="003C7BAC">
        <w:t>(</w:t>
      </w:r>
      <w:r w:rsidRPr="00C07DD3" w:rsidR="003C7BAC">
        <w:t>Intelsat Request</w:t>
      </w:r>
      <w:r w:rsidR="003C7BAC">
        <w:t>)</w:t>
      </w:r>
      <w:r w:rsidR="00C07DD3">
        <w:t xml:space="preserve">.  </w:t>
      </w:r>
    </w:p>
  </w:footnote>
  <w:footnote w:id="5">
    <w:p w:rsidR="009848BB" w:rsidRPr="002823CF" w14:paraId="4F179A82" w14:textId="77777777">
      <w:pPr>
        <w:pStyle w:val="FootnoteText"/>
      </w:pPr>
      <w:r>
        <w:rPr>
          <w:rStyle w:val="FootnoteReference"/>
        </w:rPr>
        <w:footnoteRef/>
      </w:r>
      <w:r>
        <w:t xml:space="preserve"> </w:t>
      </w:r>
      <w:r>
        <w:rPr>
          <w:i/>
          <w:iCs/>
        </w:rPr>
        <w:t>See, e.g.</w:t>
      </w:r>
      <w:r w:rsidRPr="00650027">
        <w:t>,</w:t>
      </w:r>
      <w:r>
        <w:rPr>
          <w:i/>
          <w:iCs/>
        </w:rPr>
        <w:t xml:space="preserve"> </w:t>
      </w:r>
      <w:r>
        <w:t>IBFS File No. SAT-MOD-20180103-00002.</w:t>
      </w:r>
    </w:p>
  </w:footnote>
  <w:footnote w:id="6">
    <w:p w:rsidR="00C740C0" w:rsidP="00BB543E" w14:paraId="0BFCE286" w14:textId="77777777">
      <w:pPr>
        <w:pStyle w:val="FootnoteText"/>
      </w:pPr>
      <w:r>
        <w:rPr>
          <w:rStyle w:val="FootnoteReference"/>
        </w:rPr>
        <w:footnoteRef/>
      </w:r>
      <w:r>
        <w:t xml:space="preserve"> </w:t>
      </w:r>
      <w:r w:rsidRPr="00CF0BD8">
        <w:rPr>
          <w:i/>
          <w:iCs/>
        </w:rPr>
        <w:t>See generally</w:t>
      </w:r>
      <w:r w:rsidRPr="00CF0BD8">
        <w:t xml:space="preserve"> Agreement Relating to the International Telecommunications Satellite Organization, amendment opened for signature Nov. 17, 2000, 23 UST 3813, 1220 UNTS 21 (ITSO Agreement).</w:t>
      </w:r>
    </w:p>
  </w:footnote>
  <w:footnote w:id="7">
    <w:p w:rsidR="0078625E" w:rsidRPr="00C07DD3" w:rsidP="0078625E" w14:paraId="1A6D035F" w14:textId="2601A1EF">
      <w:pPr>
        <w:pStyle w:val="FootnoteText"/>
        <w:rPr>
          <w:color w:val="000000"/>
        </w:rPr>
      </w:pPr>
      <w:r>
        <w:rPr>
          <w:rStyle w:val="FootnoteReference"/>
        </w:rPr>
        <w:footnoteRef/>
      </w:r>
      <w:r>
        <w:t xml:space="preserve"> </w:t>
      </w:r>
      <w:r w:rsidRPr="00305965">
        <w:t xml:space="preserve">ITSO is the intergovernmental organization </w:t>
      </w:r>
      <w:r w:rsidR="008701AD">
        <w:rPr>
          <w:color w:val="000000"/>
        </w:rPr>
        <w:t>created i</w:t>
      </w:r>
      <w:r>
        <w:rPr>
          <w:color w:val="000000"/>
        </w:rPr>
        <w:t xml:space="preserve">n 2001, when the parties to </w:t>
      </w:r>
      <w:r w:rsidR="00333107">
        <w:rPr>
          <w:color w:val="000000"/>
        </w:rPr>
        <w:t xml:space="preserve">the </w:t>
      </w:r>
      <w:r>
        <w:rPr>
          <w:color w:val="000000"/>
        </w:rPr>
        <w:t>INTELSAT</w:t>
      </w:r>
      <w:r w:rsidR="00AF4C26">
        <w:rPr>
          <w:color w:val="000000"/>
        </w:rPr>
        <w:t xml:space="preserve"> agreement</w:t>
      </w:r>
      <w:r w:rsidR="00D366FB">
        <w:rPr>
          <w:color w:val="000000"/>
        </w:rPr>
        <w:t>–</w:t>
      </w:r>
      <w:r w:rsidR="00AF4C26">
        <w:rPr>
          <w:color w:val="000000"/>
        </w:rPr>
        <w:t xml:space="preserve">which had created </w:t>
      </w:r>
      <w:r w:rsidR="00D366FB">
        <w:rPr>
          <w:color w:val="000000"/>
        </w:rPr>
        <w:t xml:space="preserve">an </w:t>
      </w:r>
      <w:r>
        <w:rPr>
          <w:color w:val="000000"/>
        </w:rPr>
        <w:t>intergovernmental organization in 1973 to operate a global commercial telecommunications system</w:t>
      </w:r>
      <w:r w:rsidR="008701AD">
        <w:rPr>
          <w:color w:val="000000"/>
        </w:rPr>
        <w:t xml:space="preserve">–decided to </w:t>
      </w:r>
      <w:r>
        <w:rPr>
          <w:color w:val="000000"/>
        </w:rPr>
        <w:t>privatize</w:t>
      </w:r>
      <w:r w:rsidR="008701AD">
        <w:rPr>
          <w:color w:val="000000"/>
        </w:rPr>
        <w:t xml:space="preserve"> those activities.</w:t>
      </w:r>
      <w:r>
        <w:rPr>
          <w:color w:val="000000"/>
        </w:rPr>
        <w:t xml:space="preserve"> </w:t>
      </w:r>
      <w:r w:rsidR="00D366FB">
        <w:rPr>
          <w:color w:val="000000"/>
        </w:rPr>
        <w:t xml:space="preserve"> </w:t>
      </w:r>
      <w:r w:rsidR="008701AD">
        <w:rPr>
          <w:color w:val="000000"/>
        </w:rPr>
        <w:t xml:space="preserve">At that time, </w:t>
      </w:r>
      <w:r>
        <w:rPr>
          <w:color w:val="000000"/>
        </w:rPr>
        <w:t xml:space="preserve">INTELSAT transferred its C- and Ku-band space stations to Intelsat LLC, a U.S. entity.  </w:t>
      </w:r>
      <w:r>
        <w:rPr>
          <w:i/>
          <w:iCs/>
          <w:color w:val="000000"/>
        </w:rPr>
        <w:t>See generally Applications of Intelsat LLC for Authority to Operate, and to Further Construct, Launch and Operate, C-band and Ku-band Satellites that Form a Global Communications System in Geostationary Orbit</w:t>
      </w:r>
      <w:r>
        <w:rPr>
          <w:color w:val="000000"/>
        </w:rPr>
        <w:t xml:space="preserve">, Memorandum Opinion Order and </w:t>
      </w:r>
      <w:hyperlink r:id="rId1" w:history="1">
        <w:r w:rsidRPr="00EA604B">
          <w:t xml:space="preserve">Authorization, FCC 00-287, 15 FCC </w:t>
        </w:r>
        <w:r w:rsidRPr="00EA604B">
          <w:t>Rcd</w:t>
        </w:r>
        <w:r w:rsidRPr="00EA604B">
          <w:t xml:space="preserve"> 15460, 15517-20, </w:t>
        </w:r>
        <w:r w:rsidR="00C727D2">
          <w:t>paras.</w:t>
        </w:r>
        <w:r w:rsidRPr="00EA604B">
          <w:t xml:space="preserve"> 149-173 (2000)</w:t>
        </w:r>
      </w:hyperlink>
      <w:r w:rsidRPr="00EA604B">
        <w:t xml:space="preserve">, </w:t>
      </w:r>
      <w:r w:rsidRPr="00EA604B">
        <w:rPr>
          <w:i/>
          <w:iCs/>
        </w:rPr>
        <w:t>recon. denied</w:t>
      </w:r>
      <w:r w:rsidRPr="00EA604B">
        <w:t xml:space="preserve">, </w:t>
      </w:r>
      <w:hyperlink r:id="rId2" w:history="1">
        <w:r w:rsidRPr="00EA604B">
          <w:t xml:space="preserve">15 FCC </w:t>
        </w:r>
        <w:r w:rsidRPr="00EA604B">
          <w:t>Rcd</w:t>
        </w:r>
        <w:r w:rsidRPr="00EA604B">
          <w:t xml:space="preserve"> 25234 (2000)</w:t>
        </w:r>
      </w:hyperlink>
      <w:r w:rsidR="008701AD">
        <w:t xml:space="preserve">.  </w:t>
      </w:r>
      <w:r w:rsidR="00313B89">
        <w:rPr>
          <w:color w:val="000000"/>
        </w:rPr>
        <w:t>As a result of later reorganizations and transfers</w:t>
      </w:r>
      <w:r w:rsidR="00C07DD3">
        <w:rPr>
          <w:color w:val="000000"/>
        </w:rPr>
        <w:t xml:space="preserve"> </w:t>
      </w:r>
      <w:r w:rsidR="00313B89">
        <w:rPr>
          <w:color w:val="000000"/>
        </w:rPr>
        <w:t>of control, the licenses are now held by Intelsat License LLC, as debtor-in-possession.</w:t>
      </w:r>
      <w:r w:rsidR="000808E6">
        <w:rPr>
          <w:color w:val="000000"/>
        </w:rPr>
        <w:t xml:space="preserve">  </w:t>
      </w:r>
      <w:r w:rsidR="00165A03">
        <w:rPr>
          <w:i/>
          <w:iCs/>
          <w:color w:val="000000"/>
        </w:rPr>
        <w:t xml:space="preserve">See </w:t>
      </w:r>
      <w:r w:rsidR="000808E6">
        <w:rPr>
          <w:color w:val="000000"/>
        </w:rPr>
        <w:t>Intelsat Request at 2 n.8</w:t>
      </w:r>
      <w:r w:rsidR="00165A03">
        <w:rPr>
          <w:color w:val="000000"/>
        </w:rPr>
        <w:t>;</w:t>
      </w:r>
      <w:r w:rsidR="00E77980">
        <w:rPr>
          <w:color w:val="000000"/>
        </w:rPr>
        <w:t xml:space="preserve"> </w:t>
      </w:r>
      <w:r w:rsidRPr="00E77980" w:rsidR="00E77980">
        <w:rPr>
          <w:i/>
          <w:iCs/>
          <w:color w:val="000000"/>
        </w:rPr>
        <w:t>see also</w:t>
      </w:r>
      <w:r w:rsidR="00165A03">
        <w:rPr>
          <w:color w:val="000000"/>
        </w:rPr>
        <w:t xml:space="preserve"> </w:t>
      </w:r>
      <w:r w:rsidR="009A5440">
        <w:rPr>
          <w:color w:val="000000"/>
        </w:rPr>
        <w:t xml:space="preserve">IBFS File No. </w:t>
      </w:r>
      <w:r w:rsidRPr="009A5440" w:rsidR="009A5440">
        <w:rPr>
          <w:color w:val="000000"/>
        </w:rPr>
        <w:t>SAT-ASG-20200522-00048</w:t>
      </w:r>
      <w:r w:rsidR="00C07DD3">
        <w:rPr>
          <w:color w:val="000000"/>
        </w:rPr>
        <w:t>.</w:t>
      </w:r>
    </w:p>
  </w:footnote>
  <w:footnote w:id="8">
    <w:p w:rsidR="003C7BAC" w:rsidP="003C7BAC" w14:paraId="07CB4CCE" w14:textId="61691CDD">
      <w:pPr>
        <w:pStyle w:val="FootnoteText"/>
      </w:pPr>
      <w:r>
        <w:rPr>
          <w:rStyle w:val="FootnoteReference"/>
        </w:rPr>
        <w:footnoteRef/>
      </w:r>
      <w:r>
        <w:t xml:space="preserve"> </w:t>
      </w:r>
      <w:r w:rsidRPr="003C7BAC">
        <w:rPr>
          <w:i/>
          <w:iCs/>
        </w:rPr>
        <w:t>See</w:t>
      </w:r>
      <w:r>
        <w:t xml:space="preserve"> </w:t>
      </w:r>
      <w:r>
        <w:rPr>
          <w:color w:val="000000"/>
        </w:rPr>
        <w:t xml:space="preserve">Petition of the International Telecommunications Satellite Organization (ITSO), IB Docket No. 06-137 (filed July 10, 2006) (Petition); </w:t>
      </w:r>
      <w:r>
        <w:rPr>
          <w:i/>
          <w:iCs/>
          <w:color w:val="000000"/>
        </w:rPr>
        <w:t>Petition of the International Telecommunications Satellite Organization Under Section 316 of the Act, IB Docket No. 06-137 and File No. SAT-MSC-20060710-00076</w:t>
      </w:r>
      <w:r>
        <w:rPr>
          <w:color w:val="000000"/>
        </w:rPr>
        <w:t xml:space="preserve">, Public Notice, </w:t>
      </w:r>
      <w:hyperlink r:id="rId3" w:history="1">
        <w:r w:rsidRPr="003C7BAC">
          <w:t xml:space="preserve">DA 06-1460, 21 FCC </w:t>
        </w:r>
        <w:r w:rsidRPr="003C7BAC">
          <w:t>Rcd</w:t>
        </w:r>
        <w:r w:rsidRPr="003C7BAC">
          <w:t xml:space="preserve"> 7923 (Int'l Bur. 2006)</w:t>
        </w:r>
      </w:hyperlink>
      <w:r w:rsidRPr="003C7BAC">
        <w:t xml:space="preserve"> (accepting the Petition as an informal pleading under </w:t>
      </w:r>
      <w:hyperlink r:id="rId4" w:history="1">
        <w:r w:rsidRPr="003C7BAC">
          <w:t>47 C.F.R. § 1.41</w:t>
        </w:r>
      </w:hyperlink>
      <w:r>
        <w:rPr>
          <w:color w:val="000000"/>
        </w:rPr>
        <w:t xml:space="preserve"> and seeking comment on the Petition).</w:t>
      </w:r>
    </w:p>
  </w:footnote>
  <w:footnote w:id="9">
    <w:p w:rsidR="002823CF" w:rsidRPr="002823CF" w14:paraId="31CD5E8E" w14:textId="0A0A70BE">
      <w:pPr>
        <w:pStyle w:val="FootnoteText"/>
      </w:pPr>
      <w:r>
        <w:rPr>
          <w:rStyle w:val="FootnoteReference"/>
        </w:rPr>
        <w:footnoteRef/>
      </w:r>
      <w:r>
        <w:t xml:space="preserve"> </w:t>
      </w:r>
      <w:r>
        <w:rPr>
          <w:i/>
          <w:iCs/>
        </w:rPr>
        <w:t>See,</w:t>
      </w:r>
      <w:r w:rsidR="003C7BAC">
        <w:rPr>
          <w:i/>
          <w:iCs/>
        </w:rPr>
        <w:t xml:space="preserve"> </w:t>
      </w:r>
      <w:r w:rsidR="002515DA">
        <w:rPr>
          <w:i/>
          <w:iCs/>
        </w:rPr>
        <w:t xml:space="preserve">e.g., </w:t>
      </w:r>
      <w:r w:rsidR="002515DA">
        <w:t>IBFS File No. SAT-MOD-20180103-00002</w:t>
      </w:r>
      <w:r w:rsidR="00A96F33">
        <w:t>.</w:t>
      </w:r>
    </w:p>
  </w:footnote>
  <w:footnote w:id="10">
    <w:p w:rsidR="00BB543E" w:rsidP="00BB543E" w14:paraId="62731B3B" w14:textId="59D9FABB">
      <w:pPr>
        <w:pStyle w:val="FootnoteText"/>
      </w:pPr>
      <w:r>
        <w:rPr>
          <w:rStyle w:val="FootnoteReference"/>
        </w:rPr>
        <w:footnoteRef/>
      </w:r>
      <w:r>
        <w:t xml:space="preserve"> </w:t>
      </w:r>
      <w:bookmarkStart w:id="0" w:name="_Hlk58317085"/>
      <w:r w:rsidRPr="003C7BAC">
        <w:rPr>
          <w:i/>
          <w:iCs/>
        </w:rPr>
        <w:t xml:space="preserve">See </w:t>
      </w:r>
      <w:r w:rsidRPr="00A96F33">
        <w:t>Intelsat Request</w:t>
      </w:r>
      <w:r>
        <w:t xml:space="preserve"> at 3.</w:t>
      </w:r>
      <w:bookmarkEnd w:id="0"/>
      <w:r w:rsidR="004A51A7">
        <w:t xml:space="preserve">  </w:t>
      </w:r>
      <w:r w:rsidRPr="00B8549C" w:rsidR="004A51A7">
        <w:t>Intelsat notes that as to the last condition, in 2019 the last of the lifeline customer contracts expired.</w:t>
      </w:r>
      <w:r w:rsidR="004A51A7">
        <w:t xml:space="preserve">  </w:t>
      </w:r>
      <w:r w:rsidR="004A51A7">
        <w:rPr>
          <w:i/>
          <w:iCs/>
        </w:rPr>
        <w:t xml:space="preserve">See </w:t>
      </w:r>
      <w:r w:rsidR="004A51A7">
        <w:t>Intelsat Request at 5. </w:t>
      </w:r>
    </w:p>
  </w:footnote>
  <w:footnote w:id="11">
    <w:p w:rsidR="002823CF" w14:paraId="4E5DE1A6" w14:textId="5A67DF58">
      <w:pPr>
        <w:pStyle w:val="FootnoteText"/>
      </w:pPr>
      <w:r>
        <w:rPr>
          <w:rStyle w:val="FootnoteReference"/>
        </w:rPr>
        <w:footnoteRef/>
      </w:r>
      <w:r>
        <w:t xml:space="preserve"> </w:t>
      </w:r>
      <w:r w:rsidRPr="003C7BAC" w:rsidR="00CB1C41">
        <w:rPr>
          <w:i/>
          <w:iCs/>
        </w:rPr>
        <w:t xml:space="preserve">See </w:t>
      </w:r>
      <w:r w:rsidRPr="00A96F33" w:rsidR="00CB1C41">
        <w:t>Intelsat Request</w:t>
      </w:r>
      <w:r w:rsidR="00CB1C41">
        <w:t xml:space="preserve"> at</w:t>
      </w:r>
      <w:r w:rsidR="002515DA">
        <w:t xml:space="preserve"> 5-6.</w:t>
      </w:r>
    </w:p>
  </w:footnote>
  <w:footnote w:id="12">
    <w:p w:rsidR="00A2751A" w:rsidRPr="00A2751A" w14:paraId="4ED11C57" w14:textId="4C88C187">
      <w:pPr>
        <w:pStyle w:val="FootnoteText"/>
      </w:pPr>
      <w:r>
        <w:rPr>
          <w:rStyle w:val="FootnoteReference"/>
        </w:rPr>
        <w:footnoteRef/>
      </w:r>
      <w:r>
        <w:t xml:space="preserve"> 47 CFR § 1.41.</w:t>
      </w:r>
    </w:p>
  </w:footnote>
  <w:footnote w:id="13">
    <w:p w:rsidR="00A2751A" w14:paraId="75D9B965" w14:textId="409EC2AA">
      <w:pPr>
        <w:pStyle w:val="FootnoteText"/>
      </w:pPr>
      <w:r>
        <w:rPr>
          <w:rStyle w:val="FootnoteReference"/>
        </w:rPr>
        <w:footnoteRef/>
      </w:r>
      <w:r>
        <w:t xml:space="preserve"> 47 U.S.C. § 316</w:t>
      </w:r>
      <w:r w:rsidR="002219EA">
        <w:t>; 47 CFR § 1.87.</w:t>
      </w:r>
    </w:p>
  </w:footnote>
  <w:footnote w:id="14">
    <w:p w:rsidR="00A2751A" w14:paraId="600053F1" w14:textId="28E062DA">
      <w:pPr>
        <w:pStyle w:val="FootnoteText"/>
      </w:pPr>
      <w:r>
        <w:rPr>
          <w:rStyle w:val="FootnoteReference"/>
        </w:rPr>
        <w:footnoteRef/>
      </w:r>
      <w:r>
        <w:t xml:space="preserve"> </w:t>
      </w:r>
      <w:r w:rsidR="00DF0D55">
        <w:t>47 CFR §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73383D04" w14:textId="3963FC69">
    <w:pPr>
      <w:tabs>
        <w:tab w:val="center" w:pos="4680"/>
        <w:tab w:val="right" w:pos="9360"/>
      </w:tabs>
    </w:pPr>
    <w:r w:rsidRPr="009838BC">
      <w:rPr>
        <w:b/>
      </w:rPr>
      <w:tab/>
      <w:t>Federal Communications Commission</w:t>
    </w:r>
    <w:r w:rsidRPr="009838BC">
      <w:rPr>
        <w:b/>
      </w:rPr>
      <w:tab/>
    </w:r>
    <w:r w:rsidR="001869E1">
      <w:rPr>
        <w:b/>
      </w:rPr>
      <w:t>DA 20-1478</w:t>
    </w:r>
  </w:p>
  <w:p w:rsidR="009838BC" w:rsidRPr="009838BC" w:rsidP="009838BC" w14:paraId="4F89B697" w14:textId="7736F6DD">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12EADA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08D3614C" w14:textId="01553AC9">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DEF6D2D" w14:textId="77777777">
                          <w:pPr>
                            <w:rPr>
                              <w:rFonts w:ascii="Arial" w:hAnsi="Arial"/>
                              <w:b/>
                            </w:rPr>
                          </w:pPr>
                          <w:r>
                            <w:rPr>
                              <w:rFonts w:ascii="Arial" w:hAnsi="Arial"/>
                              <w:b/>
                            </w:rPr>
                            <w:t>Federal Communications Commission</w:t>
                          </w:r>
                        </w:p>
                        <w:p w:rsidR="009838BC" w:rsidP="009838BC" w14:paraId="353C0BC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B9D70A4"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77E00F38" w14:textId="77777777">
                    <w:pPr>
                      <w:rPr>
                        <w:rFonts w:ascii="Arial" w:hAnsi="Arial"/>
                        <w:b/>
                      </w:rPr>
                    </w:pPr>
                    <w:r>
                      <w:rPr>
                        <w:rFonts w:ascii="Arial" w:hAnsi="Arial"/>
                        <w:b/>
                      </w:rPr>
                      <w:t>Federal Communications Commission</w:t>
                    </w:r>
                  </w:p>
                  <w:p w:rsidR="009838BC" w:rsidP="009838BC" w14:paraId="7C1334B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A413A1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32236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0484C72" w14:textId="5CF2864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3975C5B" w14:textId="77777777">
                          <w:pPr>
                            <w:spacing w:before="40"/>
                            <w:jc w:val="right"/>
                            <w:rPr>
                              <w:rFonts w:ascii="Arial" w:hAnsi="Arial"/>
                              <w:b/>
                              <w:sz w:val="16"/>
                            </w:rPr>
                          </w:pPr>
                          <w:r>
                            <w:rPr>
                              <w:rFonts w:ascii="Arial" w:hAnsi="Arial"/>
                              <w:b/>
                              <w:sz w:val="16"/>
                            </w:rPr>
                            <w:t>News Media Information 202 / 418-0500</w:t>
                          </w:r>
                        </w:p>
                        <w:p w:rsidR="009838BC" w:rsidP="009838BC" w14:paraId="20BEF9C2"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9805421"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7BC5A0D" w14:textId="77777777">
                    <w:pPr>
                      <w:spacing w:before="40"/>
                      <w:jc w:val="right"/>
                      <w:rPr>
                        <w:rFonts w:ascii="Arial" w:hAnsi="Arial"/>
                        <w:b/>
                        <w:sz w:val="16"/>
                      </w:rPr>
                    </w:pPr>
                    <w:r>
                      <w:rPr>
                        <w:rFonts w:ascii="Arial" w:hAnsi="Arial"/>
                        <w:b/>
                        <w:sz w:val="16"/>
                      </w:rPr>
                      <w:t>News Media Information 202 / 418-0500</w:t>
                    </w:r>
                  </w:p>
                  <w:p w:rsidR="009838BC" w:rsidP="009838BC" w14:paraId="406D08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w:t>
                      </w:r>
                      <w:r w:rsidRPr="00D216CD">
                        <w:rPr>
                          <w:rStyle w:val="Hyperlink"/>
                          <w:rFonts w:ascii="Arial" w:hAnsi="Arial"/>
                          <w:b/>
                          <w:sz w:val="16"/>
                        </w:rPr>
                        <w:t>ttps://www.fcc.gov</w:t>
                      </w:r>
                    </w:hyperlink>
                  </w:p>
                  <w:p w:rsidR="009838BC" w:rsidP="009838BC" w14:paraId="0F95104E" w14:textId="77777777">
                    <w:pPr>
                      <w:jc w:val="right"/>
                    </w:pPr>
                    <w:r>
                      <w:rPr>
                        <w:rFonts w:ascii="Arial" w:hAnsi="Arial"/>
                        <w:b/>
                        <w:sz w:val="16"/>
                      </w:rPr>
                      <w:t>TTY: 1-888-835-5322</w:t>
                    </w:r>
                  </w:p>
                </w:txbxContent>
              </v:textbox>
            </v:shape>
          </w:pict>
        </mc:Fallback>
      </mc:AlternateContent>
    </w:r>
  </w:p>
  <w:p w:rsidR="006F7393" w:rsidRPr="009838BC" w:rsidP="009838BC" w14:paraId="60A96ED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FF6332"/>
    <w:multiLevelType w:val="hybridMultilevel"/>
    <w:tmpl w:val="2152A4D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FE79EA"/>
    <w:multiLevelType w:val="hybridMultilevel"/>
    <w:tmpl w:val="CEBEC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67130E90"/>
    <w:multiLevelType w:val="hybridMultilevel"/>
    <w:tmpl w:val="E17267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5C02570"/>
    <w:multiLevelType w:val="hybridMultilevel"/>
    <w:tmpl w:val="E098A1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10"/>
    <w:rsid w:val="000072CE"/>
    <w:rsid w:val="00013A8B"/>
    <w:rsid w:val="00021445"/>
    <w:rsid w:val="000325C1"/>
    <w:rsid w:val="00036039"/>
    <w:rsid w:val="00037F90"/>
    <w:rsid w:val="0004597A"/>
    <w:rsid w:val="000808E6"/>
    <w:rsid w:val="000875BF"/>
    <w:rsid w:val="00096D8C"/>
    <w:rsid w:val="000C0B65"/>
    <w:rsid w:val="000C10C7"/>
    <w:rsid w:val="000E3D42"/>
    <w:rsid w:val="000E5884"/>
    <w:rsid w:val="00111CA9"/>
    <w:rsid w:val="00122BD5"/>
    <w:rsid w:val="001238A6"/>
    <w:rsid w:val="001373D7"/>
    <w:rsid w:val="00165A03"/>
    <w:rsid w:val="00175010"/>
    <w:rsid w:val="001777CD"/>
    <w:rsid w:val="001869E1"/>
    <w:rsid w:val="00196DB2"/>
    <w:rsid w:val="001979D9"/>
    <w:rsid w:val="001A4C17"/>
    <w:rsid w:val="001A4D64"/>
    <w:rsid w:val="001A6CD7"/>
    <w:rsid w:val="001D6BCF"/>
    <w:rsid w:val="001E01CA"/>
    <w:rsid w:val="001F1046"/>
    <w:rsid w:val="001F5649"/>
    <w:rsid w:val="002060D9"/>
    <w:rsid w:val="002219EA"/>
    <w:rsid w:val="00226822"/>
    <w:rsid w:val="00245CAA"/>
    <w:rsid w:val="002515DA"/>
    <w:rsid w:val="00251EA6"/>
    <w:rsid w:val="0025420B"/>
    <w:rsid w:val="00260594"/>
    <w:rsid w:val="002823CF"/>
    <w:rsid w:val="00285017"/>
    <w:rsid w:val="002916DC"/>
    <w:rsid w:val="002A2D2E"/>
    <w:rsid w:val="002A47A3"/>
    <w:rsid w:val="002D211E"/>
    <w:rsid w:val="0030590D"/>
    <w:rsid w:val="00305965"/>
    <w:rsid w:val="00313B89"/>
    <w:rsid w:val="00315D12"/>
    <w:rsid w:val="00321182"/>
    <w:rsid w:val="00333107"/>
    <w:rsid w:val="00343749"/>
    <w:rsid w:val="00357D50"/>
    <w:rsid w:val="00362D1C"/>
    <w:rsid w:val="003800AD"/>
    <w:rsid w:val="003925DC"/>
    <w:rsid w:val="003A137B"/>
    <w:rsid w:val="003B0550"/>
    <w:rsid w:val="003B694F"/>
    <w:rsid w:val="003C57BF"/>
    <w:rsid w:val="003C7BAC"/>
    <w:rsid w:val="003F171C"/>
    <w:rsid w:val="00412FC5"/>
    <w:rsid w:val="00421F34"/>
    <w:rsid w:val="00422276"/>
    <w:rsid w:val="004242F1"/>
    <w:rsid w:val="00445A00"/>
    <w:rsid w:val="00451B0F"/>
    <w:rsid w:val="0046125F"/>
    <w:rsid w:val="00487524"/>
    <w:rsid w:val="00492AE5"/>
    <w:rsid w:val="00496106"/>
    <w:rsid w:val="004A51A7"/>
    <w:rsid w:val="004C12D0"/>
    <w:rsid w:val="004C2EE3"/>
    <w:rsid w:val="004C690F"/>
    <w:rsid w:val="004D306C"/>
    <w:rsid w:val="004E4A22"/>
    <w:rsid w:val="004E6367"/>
    <w:rsid w:val="004E7E04"/>
    <w:rsid w:val="004F536B"/>
    <w:rsid w:val="00502DDB"/>
    <w:rsid w:val="00511968"/>
    <w:rsid w:val="00533AAE"/>
    <w:rsid w:val="0055614C"/>
    <w:rsid w:val="00591E0C"/>
    <w:rsid w:val="005A5B9E"/>
    <w:rsid w:val="005B7095"/>
    <w:rsid w:val="005C5DAA"/>
    <w:rsid w:val="005D3E8D"/>
    <w:rsid w:val="00607BA5"/>
    <w:rsid w:val="00626EB6"/>
    <w:rsid w:val="00627ADE"/>
    <w:rsid w:val="006353A3"/>
    <w:rsid w:val="00650027"/>
    <w:rsid w:val="00653AC5"/>
    <w:rsid w:val="00655D03"/>
    <w:rsid w:val="00661783"/>
    <w:rsid w:val="00683F84"/>
    <w:rsid w:val="006A6A81"/>
    <w:rsid w:val="006D6FB7"/>
    <w:rsid w:val="006E26AF"/>
    <w:rsid w:val="006F0E1A"/>
    <w:rsid w:val="006F127F"/>
    <w:rsid w:val="006F7393"/>
    <w:rsid w:val="0070224F"/>
    <w:rsid w:val="007109C8"/>
    <w:rsid w:val="007115F7"/>
    <w:rsid w:val="007249F9"/>
    <w:rsid w:val="007333AB"/>
    <w:rsid w:val="00742C89"/>
    <w:rsid w:val="007628A1"/>
    <w:rsid w:val="00785689"/>
    <w:rsid w:val="0078625E"/>
    <w:rsid w:val="0079754B"/>
    <w:rsid w:val="007A1E6D"/>
    <w:rsid w:val="007B39C8"/>
    <w:rsid w:val="00822CE0"/>
    <w:rsid w:val="008239EF"/>
    <w:rsid w:val="00837C62"/>
    <w:rsid w:val="00841AB1"/>
    <w:rsid w:val="00864472"/>
    <w:rsid w:val="008701AD"/>
    <w:rsid w:val="008A77C9"/>
    <w:rsid w:val="008C22FD"/>
    <w:rsid w:val="008C51B7"/>
    <w:rsid w:val="00910F12"/>
    <w:rsid w:val="009144B0"/>
    <w:rsid w:val="00926503"/>
    <w:rsid w:val="0092673D"/>
    <w:rsid w:val="00930ECF"/>
    <w:rsid w:val="009838BC"/>
    <w:rsid w:val="009848BB"/>
    <w:rsid w:val="0099353C"/>
    <w:rsid w:val="009A5440"/>
    <w:rsid w:val="009A74B9"/>
    <w:rsid w:val="009D2BF9"/>
    <w:rsid w:val="00A10326"/>
    <w:rsid w:val="00A2751A"/>
    <w:rsid w:val="00A45F4F"/>
    <w:rsid w:val="00A600A9"/>
    <w:rsid w:val="00A84347"/>
    <w:rsid w:val="00A866AC"/>
    <w:rsid w:val="00A96F33"/>
    <w:rsid w:val="00AA55B7"/>
    <w:rsid w:val="00AA5B9E"/>
    <w:rsid w:val="00AB2407"/>
    <w:rsid w:val="00AB53DF"/>
    <w:rsid w:val="00AC3A40"/>
    <w:rsid w:val="00AF4C26"/>
    <w:rsid w:val="00B04EEF"/>
    <w:rsid w:val="00B0509A"/>
    <w:rsid w:val="00B07E5C"/>
    <w:rsid w:val="00B20363"/>
    <w:rsid w:val="00B326E3"/>
    <w:rsid w:val="00B60FBC"/>
    <w:rsid w:val="00B647E1"/>
    <w:rsid w:val="00B66921"/>
    <w:rsid w:val="00B70AB8"/>
    <w:rsid w:val="00B720EF"/>
    <w:rsid w:val="00B811F7"/>
    <w:rsid w:val="00B8549C"/>
    <w:rsid w:val="00B8780D"/>
    <w:rsid w:val="00B9560B"/>
    <w:rsid w:val="00BA2BFD"/>
    <w:rsid w:val="00BA5DC6"/>
    <w:rsid w:val="00BA6196"/>
    <w:rsid w:val="00BB3599"/>
    <w:rsid w:val="00BB543E"/>
    <w:rsid w:val="00BC6D8C"/>
    <w:rsid w:val="00BC6FE0"/>
    <w:rsid w:val="00BF7E01"/>
    <w:rsid w:val="00C07DD3"/>
    <w:rsid w:val="00C16AF2"/>
    <w:rsid w:val="00C31648"/>
    <w:rsid w:val="00C34006"/>
    <w:rsid w:val="00C426B1"/>
    <w:rsid w:val="00C727D2"/>
    <w:rsid w:val="00C740C0"/>
    <w:rsid w:val="00C74916"/>
    <w:rsid w:val="00C82B6B"/>
    <w:rsid w:val="00C90D6A"/>
    <w:rsid w:val="00C93EFE"/>
    <w:rsid w:val="00CA57FE"/>
    <w:rsid w:val="00CB1C41"/>
    <w:rsid w:val="00CC72B6"/>
    <w:rsid w:val="00CD1368"/>
    <w:rsid w:val="00CD172C"/>
    <w:rsid w:val="00CD7FD4"/>
    <w:rsid w:val="00CF0BD8"/>
    <w:rsid w:val="00D0218D"/>
    <w:rsid w:val="00D10EB0"/>
    <w:rsid w:val="00D216CD"/>
    <w:rsid w:val="00D35026"/>
    <w:rsid w:val="00D366FB"/>
    <w:rsid w:val="00D50070"/>
    <w:rsid w:val="00D6230E"/>
    <w:rsid w:val="00D62FE1"/>
    <w:rsid w:val="00D71F6B"/>
    <w:rsid w:val="00D87AEA"/>
    <w:rsid w:val="00DA1A69"/>
    <w:rsid w:val="00DA2529"/>
    <w:rsid w:val="00DB130A"/>
    <w:rsid w:val="00DC10A1"/>
    <w:rsid w:val="00DC655F"/>
    <w:rsid w:val="00DD1D1D"/>
    <w:rsid w:val="00DD7EBD"/>
    <w:rsid w:val="00DF0D55"/>
    <w:rsid w:val="00DF62B6"/>
    <w:rsid w:val="00E06C04"/>
    <w:rsid w:val="00E07225"/>
    <w:rsid w:val="00E155B7"/>
    <w:rsid w:val="00E5409F"/>
    <w:rsid w:val="00E77980"/>
    <w:rsid w:val="00E90910"/>
    <w:rsid w:val="00EA604B"/>
    <w:rsid w:val="00EB7E45"/>
    <w:rsid w:val="00EC0185"/>
    <w:rsid w:val="00EC66BD"/>
    <w:rsid w:val="00F021FA"/>
    <w:rsid w:val="00F57ACA"/>
    <w:rsid w:val="00F62E97"/>
    <w:rsid w:val="00F64209"/>
    <w:rsid w:val="00F87ABB"/>
    <w:rsid w:val="00F93BF5"/>
    <w:rsid w:val="00F96F63"/>
    <w:rsid w:val="00FA361E"/>
    <w:rsid w:val="00FA36D3"/>
    <w:rsid w:val="775ACC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D74683-C2FE-4115-9EE0-96CD3B98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rsid w:val="0078625E"/>
  </w:style>
  <w:style w:type="character" w:styleId="CommentReference">
    <w:name w:val="annotation reference"/>
    <w:uiPriority w:val="99"/>
    <w:semiHidden/>
    <w:unhideWhenUsed/>
    <w:rsid w:val="009A74B9"/>
    <w:rPr>
      <w:sz w:val="16"/>
      <w:szCs w:val="16"/>
    </w:rPr>
  </w:style>
  <w:style w:type="paragraph" w:styleId="CommentText">
    <w:name w:val="annotation text"/>
    <w:basedOn w:val="Normal"/>
    <w:link w:val="CommentTextChar"/>
    <w:uiPriority w:val="99"/>
    <w:unhideWhenUsed/>
    <w:rsid w:val="009A74B9"/>
    <w:rPr>
      <w:sz w:val="20"/>
    </w:rPr>
  </w:style>
  <w:style w:type="character" w:customStyle="1" w:styleId="CommentTextChar">
    <w:name w:val="Comment Text Char"/>
    <w:link w:val="CommentText"/>
    <w:uiPriority w:val="99"/>
    <w:rsid w:val="009A74B9"/>
    <w:rPr>
      <w:snapToGrid w:val="0"/>
      <w:kern w:val="28"/>
    </w:rPr>
  </w:style>
  <w:style w:type="paragraph" w:styleId="CommentSubject">
    <w:name w:val="annotation subject"/>
    <w:basedOn w:val="CommentText"/>
    <w:next w:val="CommentText"/>
    <w:link w:val="CommentSubjectChar"/>
    <w:uiPriority w:val="99"/>
    <w:semiHidden/>
    <w:unhideWhenUsed/>
    <w:rsid w:val="009A74B9"/>
    <w:rPr>
      <w:b/>
      <w:bCs/>
    </w:rPr>
  </w:style>
  <w:style w:type="character" w:customStyle="1" w:styleId="CommentSubjectChar">
    <w:name w:val="Comment Subject Char"/>
    <w:link w:val="CommentSubject"/>
    <w:uiPriority w:val="99"/>
    <w:semiHidden/>
    <w:rsid w:val="009A74B9"/>
    <w:rPr>
      <w:b/>
      <w:bCs/>
      <w:snapToGrid w:val="0"/>
      <w:kern w:val="28"/>
    </w:rPr>
  </w:style>
  <w:style w:type="paragraph" w:styleId="BalloonText">
    <w:name w:val="Balloon Text"/>
    <w:basedOn w:val="Normal"/>
    <w:link w:val="BalloonTextChar"/>
    <w:uiPriority w:val="99"/>
    <w:semiHidden/>
    <w:unhideWhenUsed/>
    <w:rsid w:val="009A74B9"/>
    <w:rPr>
      <w:rFonts w:ascii="Segoe UI" w:hAnsi="Segoe UI" w:cs="Segoe UI"/>
      <w:sz w:val="18"/>
      <w:szCs w:val="18"/>
    </w:rPr>
  </w:style>
  <w:style w:type="character" w:customStyle="1" w:styleId="BalloonTextChar">
    <w:name w:val="Balloon Text Char"/>
    <w:link w:val="BalloonText"/>
    <w:uiPriority w:val="99"/>
    <w:semiHidden/>
    <w:rsid w:val="009A74B9"/>
    <w:rPr>
      <w:rFonts w:ascii="Segoe UI" w:hAnsi="Segoe UI" w:cs="Segoe UI"/>
      <w:snapToGrid w:val="0"/>
      <w:kern w:val="28"/>
      <w:sz w:val="18"/>
      <w:szCs w:val="18"/>
    </w:rPr>
  </w:style>
  <w:style w:type="character" w:customStyle="1" w:styleId="UnresolvedMention1">
    <w:name w:val="Unresolved Mention1"/>
    <w:uiPriority w:val="99"/>
    <w:semiHidden/>
    <w:unhideWhenUsed/>
    <w:rsid w:val="00165A03"/>
    <w:rPr>
      <w:color w:val="605E5C"/>
      <w:shd w:val="clear" w:color="auto" w:fill="E1DFDD"/>
    </w:rPr>
  </w:style>
  <w:style w:type="paragraph" w:styleId="Revision">
    <w:name w:val="Revision"/>
    <w:hidden/>
    <w:uiPriority w:val="99"/>
    <w:semiHidden/>
    <w:rsid w:val="008A77C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file:///D:\Users\Merissa.Velez\Desktop\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Find/Default.wl?rs=dfa1.0&amp;vr=2.0&amp;DB=4493&amp;FindType=Y&amp;SerialNum=2000470664" TargetMode="External" /><Relationship Id="rId2" Type="http://schemas.openxmlformats.org/officeDocument/2006/relationships/hyperlink" Target="http://www.westlaw.com/Find/Default.wl?rs=dfa1.0&amp;vr=2.0&amp;DB=4493&amp;FindType=Y&amp;SerialNum=2000646649" TargetMode="External" /><Relationship Id="rId3" Type="http://schemas.openxmlformats.org/officeDocument/2006/relationships/hyperlink" Target="http://www.westlaw.com/Find/Default.wl?rs=dfa1.0&amp;vr=2.0&amp;DB=4493&amp;FindType=Y&amp;SerialNum=2009571675" TargetMode="External" /><Relationship Id="rId4" Type="http://schemas.openxmlformats.org/officeDocument/2006/relationships/hyperlink" Target="http://www.westlaw.com/Find/Default.wl?rs=dfa1.0&amp;vr=2.0&amp;DB=1000547&amp;DocName=47CFRS1.41&amp;FindType=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