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0582">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300582" w:rsidRPr="00C50B80">
      <w:pPr>
        <w:jc w:val="right"/>
        <w:rPr>
          <w:b/>
          <w:szCs w:val="22"/>
        </w:rPr>
      </w:pPr>
      <w:bookmarkStart w:id="1" w:name="_GoBack"/>
      <w:r>
        <w:rPr>
          <w:b/>
          <w:szCs w:val="22"/>
        </w:rPr>
        <w:t xml:space="preserve">DA </w:t>
      </w:r>
      <w:r w:rsidR="006E3F78">
        <w:rPr>
          <w:b/>
          <w:szCs w:val="22"/>
        </w:rPr>
        <w:t>20</w:t>
      </w:r>
      <w:r w:rsidR="00C86003">
        <w:rPr>
          <w:b/>
          <w:szCs w:val="22"/>
        </w:rPr>
        <w:t>-</w:t>
      </w:r>
      <w:r w:rsidR="00637B6F">
        <w:rPr>
          <w:b/>
          <w:szCs w:val="22"/>
        </w:rPr>
        <w:t>147</w:t>
      </w:r>
    </w:p>
    <w:p w:rsidR="00300582">
      <w:pPr>
        <w:spacing w:before="60"/>
        <w:jc w:val="right"/>
        <w:rPr>
          <w:sz w:val="24"/>
        </w:rPr>
      </w:pPr>
      <w:r>
        <w:rPr>
          <w:b/>
          <w:szCs w:val="22"/>
        </w:rPr>
        <w:t xml:space="preserve">Released: </w:t>
      </w:r>
      <w:r w:rsidR="006E3F78">
        <w:rPr>
          <w:b/>
          <w:szCs w:val="22"/>
        </w:rPr>
        <w:t>February 1</w:t>
      </w:r>
      <w:r w:rsidR="008C36D9">
        <w:rPr>
          <w:b/>
          <w:szCs w:val="22"/>
        </w:rPr>
        <w:t>1</w:t>
      </w:r>
      <w:r w:rsidR="006E3F78">
        <w:rPr>
          <w:b/>
          <w:szCs w:val="22"/>
        </w:rPr>
        <w:t>, 2020</w:t>
      </w:r>
    </w:p>
    <w:p w:rsidR="00300582">
      <w:pPr>
        <w:jc w:val="right"/>
        <w:rPr>
          <w:sz w:val="24"/>
        </w:rPr>
      </w:pPr>
    </w:p>
    <w:p w:rsidR="00300582" w:rsidRPr="00375887" w:rsidP="00644027">
      <w:pPr>
        <w:suppressAutoHyphens/>
        <w:jc w:val="center"/>
        <w:rPr>
          <w:b/>
          <w:bCs/>
          <w:szCs w:val="22"/>
        </w:rPr>
      </w:pPr>
      <w:r>
        <w:rPr>
          <w:b/>
          <w:szCs w:val="22"/>
        </w:rPr>
        <w:t xml:space="preserve">DOMESTIC SECTION 214 </w:t>
      </w:r>
      <w:r>
        <w:rPr>
          <w:b/>
          <w:szCs w:val="22"/>
        </w:rPr>
        <w:t>APPLICATION</w:t>
      </w:r>
      <w:r w:rsidRPr="00792582">
        <w:rPr>
          <w:b/>
          <w:szCs w:val="22"/>
        </w:rPr>
        <w:t xml:space="preserve"> GRANTED FOR THE </w:t>
      </w:r>
      <w:r w:rsidRPr="006E3F78" w:rsidR="006E3F78">
        <w:rPr>
          <w:b/>
          <w:szCs w:val="22"/>
        </w:rPr>
        <w:t>TRANSFER OF CONTROL OF VANTAGE TELECOM LLC TO PINNACLE TELECOM LLC</w:t>
      </w:r>
    </w:p>
    <w:p w:rsidR="00300582" w:rsidRPr="00792582" w:rsidP="00300582">
      <w:pPr>
        <w:suppressAutoHyphens/>
        <w:rPr>
          <w:b/>
          <w:color w:val="000000"/>
          <w:szCs w:val="22"/>
        </w:rPr>
      </w:pPr>
    </w:p>
    <w:p w:rsidR="00300582" w:rsidRPr="004E4DA2" w:rsidP="00300582">
      <w:pPr>
        <w:suppressAutoHyphens/>
        <w:spacing w:after="240"/>
        <w:jc w:val="center"/>
        <w:rPr>
          <w:rFonts w:ascii="Arial" w:hAnsi="Arial" w:cs="Arial"/>
          <w:b/>
          <w:szCs w:val="22"/>
        </w:rPr>
      </w:pPr>
      <w:r>
        <w:rPr>
          <w:b/>
          <w:color w:val="000000"/>
          <w:szCs w:val="22"/>
        </w:rPr>
        <w:t xml:space="preserve">WC Docket No. </w:t>
      </w:r>
      <w:r w:rsidR="006E3F78">
        <w:rPr>
          <w:b/>
          <w:color w:val="000000"/>
          <w:szCs w:val="22"/>
        </w:rPr>
        <w:t>19-387</w:t>
      </w:r>
      <w:bookmarkEnd w:id="1"/>
    </w:p>
    <w:p w:rsidR="00F80DBA" w:rsidP="008907E3">
      <w:pPr>
        <w:autoSpaceDE w:val="0"/>
        <w:autoSpaceDN w:val="0"/>
        <w:adjustRightInd w:val="0"/>
        <w:spacing w:before="120"/>
        <w:ind w:firstLine="720"/>
        <w:rPr>
          <w:szCs w:val="22"/>
        </w:rPr>
      </w:pPr>
      <w:r>
        <w:rPr>
          <w:szCs w:val="22"/>
        </w:rPr>
        <w:t xml:space="preserve">By this Public Notice, the Wireline Competition Bureau (Bureau) grants the </w:t>
      </w:r>
      <w:r w:rsidRPr="00950931" w:rsidR="00221558">
        <w:rPr>
          <w:szCs w:val="22"/>
        </w:rPr>
        <w:t>application</w:t>
      </w:r>
      <w:r>
        <w:rPr>
          <w:rStyle w:val="FootnoteReference"/>
          <w:szCs w:val="22"/>
        </w:rPr>
        <w:footnoteReference w:id="3"/>
      </w:r>
      <w:r w:rsidRPr="00950931" w:rsidR="00221558">
        <w:rPr>
          <w:szCs w:val="22"/>
        </w:rPr>
        <w:t xml:space="preserve"> filed by</w:t>
      </w:r>
      <w:r w:rsidR="00221558">
        <w:rPr>
          <w:szCs w:val="22"/>
        </w:rPr>
        <w:t xml:space="preserve"> </w:t>
      </w:r>
      <w:bookmarkStart w:id="2" w:name="_Hlk526955767"/>
      <w:r w:rsidRPr="001E2F0D" w:rsidR="001E2F0D">
        <w:rPr>
          <w:szCs w:val="22"/>
        </w:rPr>
        <w:t>James Larry Bone, K. Wayne King, Ross Morreale, the Bill and Debra Stuckey Family, the Conley Bone Family, and other members of Vantage Telecom LLC (Vantage), as well as Pinnacle Telecom LLC (Pinnacle), (collectively, Applicants)</w:t>
      </w:r>
      <w:r w:rsidR="001E2F0D">
        <w:rPr>
          <w:szCs w:val="22"/>
        </w:rPr>
        <w:t>,</w:t>
      </w:r>
      <w:r w:rsidRPr="001E2F0D" w:rsidR="001E2F0D">
        <w:t xml:space="preserve"> </w:t>
      </w:r>
      <w:r w:rsidRPr="001E2F0D" w:rsidR="001E2F0D">
        <w:rPr>
          <w:szCs w:val="22"/>
        </w:rPr>
        <w:t>pursuant to section 214 of the Communications Act of 1934, as amended, and sections 63.03-04 of the Commission’s rules,</w:t>
      </w:r>
      <w:r>
        <w:rPr>
          <w:szCs w:val="22"/>
          <w:vertAlign w:val="superscript"/>
        </w:rPr>
        <w:footnoteReference w:id="4"/>
      </w:r>
      <w:r w:rsidRPr="001E2F0D" w:rsidR="001E2F0D">
        <w:rPr>
          <w:szCs w:val="22"/>
        </w:rPr>
        <w:t xml:space="preserve"> requesting consent for the unauthorized transfer of control that occurred on July 1, 2016 when Applicants transferred Vantage to Pinnacle without prior Commission approval.</w:t>
      </w:r>
      <w:r>
        <w:rPr>
          <w:rStyle w:val="FootnoteReference"/>
          <w:rFonts w:ascii="TimesNewRomanPSMT" w:hAnsi="TimesNewRomanPSMT" w:cs="TimesNewRomanPSMT"/>
          <w:szCs w:val="22"/>
        </w:rPr>
        <w:footnoteReference w:id="5"/>
      </w:r>
      <w:bookmarkEnd w:id="2"/>
    </w:p>
    <w:p w:rsidR="0067482A" w:rsidP="008907E3">
      <w:pPr>
        <w:spacing w:before="120"/>
        <w:ind w:firstLine="720"/>
        <w:rPr>
          <w:rFonts w:ascii="TimesNewRomanPSMT" w:hAnsi="TimesNewRomanPSMT" w:cs="TimesNewRomanPSMT"/>
          <w:szCs w:val="22"/>
        </w:rPr>
      </w:pPr>
      <w:r w:rsidRPr="0067482A">
        <w:rPr>
          <w:rFonts w:ascii="TimesNewRomanPSMT" w:hAnsi="TimesNewRomanPSMT" w:cs="TimesNewRomanPSMT"/>
          <w:szCs w:val="22"/>
        </w:rPr>
        <w:t xml:space="preserve">Vantage, an Arkansas limited liability company, provides competitive local exchange carrier services to approximately 1,200 access lines in western Arkansas and eastern Oklahoma, </w:t>
      </w:r>
      <w:r w:rsidRPr="0067482A">
        <w:rPr>
          <w:rFonts w:ascii="TimesNewRomanPSMT" w:hAnsi="TimesNewRomanPSMT" w:cs="TimesNewRomanPSMT"/>
          <w:szCs w:val="22"/>
        </w:rPr>
        <w:t>and also</w:t>
      </w:r>
      <w:r w:rsidRPr="0067482A">
        <w:rPr>
          <w:rFonts w:ascii="TimesNewRomanPSMT" w:hAnsi="TimesNewRomanPSMT" w:cs="TimesNewRomanPSMT"/>
          <w:szCs w:val="22"/>
        </w:rPr>
        <w:t xml:space="preserve"> provides wholesale and other telecommunications services to retail service providers in south central Missouri</w:t>
      </w:r>
      <w:r>
        <w:rPr>
          <w:rFonts w:ascii="TimesNewRomanPSMT" w:hAnsi="TimesNewRomanPSMT" w:cs="TimesNewRomanPSMT"/>
          <w:szCs w:val="22"/>
        </w:rPr>
        <w:t>.</w:t>
      </w:r>
      <w:r w:rsidRPr="0067482A">
        <w:rPr>
          <w:rFonts w:ascii="TimesNewRomanPSMT" w:hAnsi="TimesNewRomanPSMT" w:cs="TimesNewRomanPSMT"/>
          <w:szCs w:val="22"/>
        </w:rPr>
        <w:t xml:space="preserve"> </w:t>
      </w:r>
      <w:r>
        <w:rPr>
          <w:rFonts w:ascii="TimesNewRomanPSMT" w:hAnsi="TimesNewRomanPSMT" w:cs="TimesNewRomanPSMT"/>
          <w:szCs w:val="22"/>
        </w:rPr>
        <w:t xml:space="preserve"> </w:t>
      </w:r>
      <w:r w:rsidRPr="0067482A">
        <w:rPr>
          <w:rFonts w:ascii="TimesNewRomanPSMT" w:hAnsi="TimesNewRomanPSMT" w:cs="TimesNewRomanPSMT"/>
          <w:szCs w:val="22"/>
        </w:rPr>
        <w:t>Pursuant to the terms of the consummated transaction,</w:t>
      </w:r>
      <w:r>
        <w:rPr>
          <w:rFonts w:ascii="TimesNewRomanPSMT" w:hAnsi="TimesNewRomanPSMT" w:cs="TimesNewRomanPSMT"/>
          <w:szCs w:val="22"/>
        </w:rPr>
        <w:t xml:space="preserve"> </w:t>
      </w:r>
      <w:r w:rsidRPr="0067482A">
        <w:rPr>
          <w:rFonts w:ascii="TimesNewRomanPSMT" w:hAnsi="TimesNewRomanPSMT" w:cs="TimesNewRomanPSMT"/>
          <w:szCs w:val="22"/>
        </w:rPr>
        <w:t>Pinnacle received a 51% membership interest in Vantage in exchange for certain fiber optic facilities and other assets.</w:t>
      </w:r>
      <w:r>
        <w:rPr>
          <w:rStyle w:val="FootnoteReference"/>
          <w:rFonts w:ascii="TimesNewRomanPSMT" w:hAnsi="TimesNewRomanPSMT" w:cs="TimesNewRomanPSMT"/>
          <w:szCs w:val="22"/>
        </w:rPr>
        <w:footnoteReference w:id="6"/>
      </w:r>
      <w:r w:rsidRPr="0067482A">
        <w:rPr>
          <w:rFonts w:ascii="TimesNewRomanPSMT" w:hAnsi="TimesNewRomanPSMT" w:cs="TimesNewRomanPSMT"/>
          <w:szCs w:val="22"/>
        </w:rPr>
        <w:t xml:space="preserve"> </w:t>
      </w:r>
      <w:r>
        <w:rPr>
          <w:rFonts w:ascii="TimesNewRomanPSMT" w:hAnsi="TimesNewRomanPSMT" w:cs="TimesNewRomanPSMT"/>
          <w:szCs w:val="22"/>
        </w:rPr>
        <w:t xml:space="preserve"> </w:t>
      </w:r>
    </w:p>
    <w:p w:rsidR="00AF2358" w:rsidP="008907E3">
      <w:pPr>
        <w:spacing w:before="120"/>
        <w:rPr>
          <w:szCs w:val="22"/>
        </w:rPr>
      </w:pPr>
    </w:p>
    <w:p w:rsidR="00300582" w:rsidRPr="005F2494" w:rsidP="008907E3">
      <w:pPr>
        <w:spacing w:before="120"/>
        <w:ind w:firstLine="720"/>
        <w:rPr>
          <w:color w:val="000000"/>
          <w:szCs w:val="22"/>
        </w:rPr>
      </w:pPr>
      <w:r>
        <w:rPr>
          <w:szCs w:val="22"/>
        </w:rPr>
        <w:t>T</w:t>
      </w:r>
      <w:r w:rsidRPr="006A19BD">
        <w:rPr>
          <w:color w:val="000000"/>
          <w:szCs w:val="22"/>
        </w:rPr>
        <w:t xml:space="preserve">he Bureau finds, upon consideration of the record, that the </w:t>
      </w:r>
      <w:r>
        <w:rPr>
          <w:color w:val="000000"/>
          <w:szCs w:val="22"/>
        </w:rPr>
        <w:t>transaction</w:t>
      </w:r>
      <w:r w:rsidRPr="006A19BD">
        <w:rPr>
          <w:color w:val="000000"/>
          <w:szCs w:val="22"/>
        </w:rPr>
        <w:t xml:space="preserve"> will serve the public interest, convenience, and necessity and, therefore, grants the </w:t>
      </w:r>
      <w:r>
        <w:rPr>
          <w:color w:val="000000"/>
          <w:szCs w:val="22"/>
        </w:rPr>
        <w:t>Application</w:t>
      </w:r>
      <w:r w:rsidRPr="006A19BD">
        <w:rPr>
          <w:color w:val="000000"/>
          <w:szCs w:val="22"/>
        </w:rPr>
        <w:t>.</w:t>
      </w:r>
      <w:r>
        <w:rPr>
          <w:rStyle w:val="FootnoteReference"/>
          <w:color w:val="000000"/>
          <w:szCs w:val="22"/>
        </w:rPr>
        <w:footnoteReference w:id="7"/>
      </w:r>
      <w:r>
        <w:rPr>
          <w:color w:val="000000"/>
          <w:szCs w:val="22"/>
        </w:rPr>
        <w:t xml:space="preserve">  </w:t>
      </w:r>
      <w:r w:rsidRPr="006A19BD">
        <w:rPr>
          <w:color w:val="000000"/>
          <w:szCs w:val="22"/>
        </w:rPr>
        <w:t>Pursuant to section 1.103 of the Commission's rules, </w:t>
      </w:r>
      <w:hyperlink r:id="rId11" w:history="1">
        <w:r w:rsidRPr="006A19BD">
          <w:rPr>
            <w:color w:val="000000"/>
            <w:szCs w:val="22"/>
          </w:rPr>
          <w:t>47 CFR § 1.103</w:t>
        </w:r>
      </w:hyperlink>
      <w:r w:rsidRPr="006A19BD">
        <w:rPr>
          <w:color w:val="000000"/>
          <w:szCs w:val="22"/>
        </w:rPr>
        <w:t>, the consent granted herein is effective upon the release of the Public Notice.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8"/>
      </w:r>
      <w:r w:rsidRPr="006A19BD">
        <w:rPr>
          <w:color w:val="000000"/>
          <w:szCs w:val="22"/>
          <w:vertAlign w:val="superscript"/>
        </w:rPr>
        <w:t xml:space="preserve"> </w:t>
      </w:r>
      <w:r w:rsidRPr="006A19BD">
        <w:rPr>
          <w:color w:val="000000"/>
          <w:szCs w:val="22"/>
        </w:rPr>
        <w:t xml:space="preserve">  </w:t>
      </w:r>
      <w:r w:rsidRPr="005F2494">
        <w:rPr>
          <w:color w:val="000000"/>
          <w:szCs w:val="22"/>
        </w:rPr>
        <w:t xml:space="preserve"> </w:t>
      </w:r>
    </w:p>
    <w:p w:rsidR="00300582" w:rsidP="008907E3">
      <w:pPr>
        <w:spacing w:before="120"/>
        <w:ind w:firstLine="720"/>
        <w:rPr>
          <w:color w:val="000000"/>
          <w:szCs w:val="22"/>
        </w:rPr>
      </w:pPr>
      <w:bookmarkStart w:id="4" w:name="FN[FN12]"/>
      <w:bookmarkStart w:id="5" w:name="sp_999_2"/>
      <w:bookmarkStart w:id="6" w:name="SDU_2"/>
      <w:bookmarkEnd w:id="4"/>
      <w:bookmarkEnd w:id="5"/>
      <w:bookmarkEnd w:id="6"/>
      <w:r w:rsidRPr="001D3B79">
        <w:rPr>
          <w:color w:val="000000"/>
          <w:szCs w:val="22"/>
        </w:rPr>
        <w:t>For further information, please contact</w:t>
      </w:r>
      <w:r>
        <w:rPr>
          <w:color w:val="000000"/>
          <w:szCs w:val="22"/>
        </w:rPr>
        <w:t xml:space="preserve"> </w:t>
      </w:r>
      <w:r w:rsidR="00026431">
        <w:rPr>
          <w:color w:val="000000"/>
          <w:szCs w:val="22"/>
        </w:rPr>
        <w:t>Gregory Kwan</w:t>
      </w:r>
      <w:r w:rsidRPr="001D3B79">
        <w:rPr>
          <w:color w:val="000000"/>
          <w:szCs w:val="22"/>
        </w:rPr>
        <w:t>, Wireline C</w:t>
      </w:r>
      <w:r>
        <w:rPr>
          <w:color w:val="000000"/>
          <w:szCs w:val="22"/>
        </w:rPr>
        <w:t>ompetition Bureau, Competition Policy Division, (202) 418-</w:t>
      </w:r>
      <w:r w:rsidR="00026431">
        <w:rPr>
          <w:color w:val="000000"/>
          <w:szCs w:val="22"/>
        </w:rPr>
        <w:t>1191</w:t>
      </w:r>
      <w:r w:rsidRPr="001D3B79">
        <w:rPr>
          <w:color w:val="000000"/>
          <w:szCs w:val="22"/>
        </w:rPr>
        <w:t>.</w:t>
      </w:r>
    </w:p>
    <w:p w:rsidR="00300582" w:rsidP="00300582">
      <w:pPr>
        <w:ind w:firstLine="720"/>
        <w:rPr>
          <w:color w:val="000000"/>
          <w:szCs w:val="22"/>
        </w:rPr>
      </w:pPr>
    </w:p>
    <w:p w:rsidR="00300582" w:rsidRPr="00E30687" w:rsidP="00300582">
      <w:pPr>
        <w:ind w:left="3960" w:firstLine="360"/>
        <w:rPr>
          <w:b/>
          <w:color w:val="000000"/>
          <w:szCs w:val="22"/>
        </w:rPr>
      </w:pPr>
      <w:r w:rsidRPr="00E30687">
        <w:rPr>
          <w:b/>
          <w:color w:val="000000"/>
          <w:szCs w:val="22"/>
        </w:rPr>
        <w:t>- FCC -</w:t>
      </w:r>
    </w:p>
    <w:p w:rsidR="00300582" w:rsidP="00300582">
      <w:pPr>
        <w:ind w:firstLine="720"/>
        <w:rPr>
          <w:color w:val="000000"/>
          <w:szCs w:val="22"/>
        </w:rPr>
      </w:pPr>
    </w:p>
    <w:p w:rsidR="00300582" w:rsidRPr="00C50B80" w:rsidP="00300582">
      <w:pPr>
        <w:rPr>
          <w:rFonts w:eastAsia="ヒラギノ角ゴ Pro W3"/>
          <w:color w:val="000000"/>
          <w:szCs w:val="22"/>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jc w:val="center"/>
    </w:pPr>
    <w:r>
      <w:fldChar w:fldCharType="begin"/>
    </w:r>
    <w:r>
      <w:instrText xml:space="preserve"> PAGE   \* MERGEFORMAT </w:instrText>
    </w:r>
    <w:r>
      <w:fldChar w:fldCharType="separate"/>
    </w:r>
    <w:r>
      <w:rPr>
        <w:noProof/>
      </w:rPr>
      <w:t>3</w:t>
    </w:r>
    <w:r>
      <w:rPr>
        <w:noProof/>
      </w:rPr>
      <w:fldChar w:fldCharType="end"/>
    </w:r>
  </w:p>
  <w:p w:rsidR="0030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0009">
      <w:r>
        <w:separator/>
      </w:r>
    </w:p>
  </w:footnote>
  <w:footnote w:type="continuationSeparator" w:id="1">
    <w:p w:rsidR="00D20009" w:rsidRPr="008B08B3">
      <w:pPr>
        <w:rPr>
          <w:sz w:val="20"/>
        </w:rPr>
      </w:pPr>
      <w:r w:rsidRPr="008B08B3">
        <w:rPr>
          <w:sz w:val="20"/>
        </w:rPr>
        <w:t xml:space="preserve">(Continued from previous page) </w:t>
      </w:r>
      <w:r w:rsidRPr="008B08B3">
        <w:rPr>
          <w:sz w:val="20"/>
        </w:rPr>
        <w:separator/>
      </w:r>
    </w:p>
  </w:footnote>
  <w:footnote w:type="continuationNotice" w:id="2">
    <w:p w:rsidR="00D20009" w:rsidRPr="008B08B3" w:rsidP="00300582">
      <w:pPr>
        <w:jc w:val="right"/>
        <w:rPr>
          <w:sz w:val="20"/>
        </w:rPr>
      </w:pPr>
      <w:r>
        <w:rPr>
          <w:sz w:val="20"/>
        </w:rPr>
        <w:t>(continued…)</w:t>
      </w:r>
    </w:p>
  </w:footnote>
  <w:footnote w:id="3">
    <w:p w:rsidR="00F80F29" w:rsidRPr="00842042" w:rsidP="00644027">
      <w:pPr>
        <w:pStyle w:val="FootnoteText"/>
        <w:rPr>
          <w:sz w:val="20"/>
        </w:rPr>
      </w:pPr>
      <w:r w:rsidRPr="00842042">
        <w:rPr>
          <w:rStyle w:val="FootnoteReference"/>
          <w:sz w:val="20"/>
        </w:rPr>
        <w:footnoteRef/>
      </w:r>
      <w:r w:rsidRPr="00842042">
        <w:rPr>
          <w:sz w:val="20"/>
        </w:rPr>
        <w:t xml:space="preserve"> </w:t>
      </w:r>
      <w:r w:rsidRPr="00644027">
        <w:rPr>
          <w:sz w:val="20"/>
        </w:rPr>
        <w:t xml:space="preserve">Domestic Section 214 Application </w:t>
      </w:r>
      <w:r w:rsidR="00EF4E42">
        <w:rPr>
          <w:sz w:val="20"/>
        </w:rPr>
        <w:t>of James Larry Bone et al. and Pinnacle Telecom LLC</w:t>
      </w:r>
      <w:r w:rsidR="001E2F0D">
        <w:rPr>
          <w:sz w:val="20"/>
        </w:rPr>
        <w:t xml:space="preserve"> for the Transfer of Control of Vantage Telecom LLC, WC Docket No. 19-387 (filed Dec. 20, 2019) (Application)</w:t>
      </w:r>
      <w:r w:rsidR="008C36D9">
        <w:rPr>
          <w:sz w:val="20"/>
        </w:rPr>
        <w:t xml:space="preserve">; </w:t>
      </w:r>
      <w:r w:rsidRPr="008C36D9" w:rsidR="008C36D9">
        <w:rPr>
          <w:i/>
          <w:iCs/>
          <w:sz w:val="20"/>
        </w:rPr>
        <w:t>Domestic Section 214 Application Filed for the Transfer of Control of Vantage Telecom LLC to Pinnacle Telecom LLC</w:t>
      </w:r>
      <w:r w:rsidR="008C36D9">
        <w:rPr>
          <w:sz w:val="20"/>
        </w:rPr>
        <w:t>, WC Docket No. 19-387, Public Notice, DA 20-33 (WCB 2020)</w:t>
      </w:r>
      <w:r w:rsidR="001E2F0D">
        <w:rPr>
          <w:sz w:val="20"/>
        </w:rPr>
        <w:t xml:space="preserve">.  </w:t>
      </w:r>
      <w:r w:rsidRPr="00644027">
        <w:rPr>
          <w:sz w:val="20"/>
        </w:rPr>
        <w:t>The Bureau received no comments in opposition to a grant of the Application.</w:t>
      </w:r>
    </w:p>
  </w:footnote>
  <w:footnote w:id="4">
    <w:p w:rsidR="001E2F0D" w:rsidRPr="00842042" w:rsidP="001E2F0D">
      <w:pPr>
        <w:pStyle w:val="FootnoteText"/>
        <w:rPr>
          <w:sz w:val="20"/>
        </w:rPr>
      </w:pPr>
      <w:r w:rsidRPr="00842042">
        <w:rPr>
          <w:rStyle w:val="FootnoteReference"/>
          <w:sz w:val="20"/>
        </w:rPr>
        <w:footnoteRef/>
      </w:r>
      <w:r w:rsidRPr="00842042">
        <w:rPr>
          <w:sz w:val="20"/>
        </w:rPr>
        <w:t xml:space="preserve"> 47 U.S.C. § 214; 47 CFR §§ 63.03-04.    </w:t>
      </w:r>
    </w:p>
  </w:footnote>
  <w:footnote w:id="5">
    <w:p w:rsidR="001E2F0D" w:rsidRPr="0067482A" w:rsidP="001E2F0D">
      <w:pPr>
        <w:pStyle w:val="FootnoteText"/>
        <w:rPr>
          <w:iCs/>
          <w:sz w:val="20"/>
        </w:rPr>
      </w:pPr>
      <w:r w:rsidRPr="00842042">
        <w:rPr>
          <w:rStyle w:val="FootnoteReference"/>
          <w:sz w:val="20"/>
        </w:rPr>
        <w:footnoteRef/>
      </w:r>
      <w:r w:rsidRPr="00842042">
        <w:rPr>
          <w:sz w:val="20"/>
        </w:rPr>
        <w:t xml:space="preserve"> </w:t>
      </w:r>
      <w:r>
        <w:rPr>
          <w:sz w:val="20"/>
        </w:rPr>
        <w:t>T</w:t>
      </w:r>
      <w:r w:rsidRPr="00842042">
        <w:rPr>
          <w:sz w:val="20"/>
        </w:rPr>
        <w:t xml:space="preserve">he Bureau granted </w:t>
      </w:r>
      <w:r>
        <w:rPr>
          <w:sz w:val="20"/>
        </w:rPr>
        <w:t xml:space="preserve">the </w:t>
      </w:r>
      <w:r w:rsidRPr="00842042">
        <w:rPr>
          <w:sz w:val="20"/>
        </w:rPr>
        <w:t>Applicant</w:t>
      </w:r>
      <w:r>
        <w:rPr>
          <w:sz w:val="20"/>
        </w:rPr>
        <w:t>s’</w:t>
      </w:r>
      <w:r w:rsidRPr="00842042">
        <w:rPr>
          <w:sz w:val="20"/>
        </w:rPr>
        <w:t xml:space="preserve"> request</w:t>
      </w:r>
      <w:r>
        <w:rPr>
          <w:sz w:val="20"/>
        </w:rPr>
        <w:t>s</w:t>
      </w:r>
      <w:r w:rsidRPr="00842042">
        <w:rPr>
          <w:sz w:val="20"/>
        </w:rPr>
        <w:t xml:space="preserve"> for special temporary authority </w:t>
      </w:r>
      <w:r w:rsidR="008C36D9">
        <w:rPr>
          <w:sz w:val="20"/>
        </w:rPr>
        <w:t xml:space="preserve">for 60 days </w:t>
      </w:r>
      <w:r w:rsidRPr="00842042">
        <w:rPr>
          <w:sz w:val="20"/>
        </w:rPr>
        <w:t xml:space="preserve">to authorize </w:t>
      </w:r>
      <w:r w:rsidR="0067482A">
        <w:rPr>
          <w:sz w:val="20"/>
        </w:rPr>
        <w:t>Vantage</w:t>
      </w:r>
      <w:r w:rsidRPr="00842042">
        <w:rPr>
          <w:sz w:val="20"/>
        </w:rPr>
        <w:t xml:space="preserve"> to continue providing service pending approval of the </w:t>
      </w:r>
      <w:r>
        <w:rPr>
          <w:sz w:val="20"/>
        </w:rPr>
        <w:t>Application</w:t>
      </w:r>
      <w:r w:rsidRPr="00842042">
        <w:rPr>
          <w:sz w:val="20"/>
        </w:rPr>
        <w:t xml:space="preserve">.  </w:t>
      </w:r>
      <w:bookmarkStart w:id="3" w:name="_Hlk530475462"/>
      <w:r>
        <w:rPr>
          <w:i/>
          <w:sz w:val="20"/>
        </w:rPr>
        <w:t xml:space="preserve">See </w:t>
      </w:r>
      <w:r w:rsidRPr="0067482A" w:rsidR="0067482A">
        <w:rPr>
          <w:iCs/>
          <w:sz w:val="20"/>
        </w:rPr>
        <w:t xml:space="preserve">Letter from Gerald J. Duffy, </w:t>
      </w:r>
      <w:r w:rsidR="008C36D9">
        <w:rPr>
          <w:iCs/>
          <w:sz w:val="20"/>
        </w:rPr>
        <w:t>C</w:t>
      </w:r>
      <w:r w:rsidRPr="0067482A" w:rsidR="0067482A">
        <w:rPr>
          <w:iCs/>
          <w:sz w:val="20"/>
        </w:rPr>
        <w:t xml:space="preserve">ounsel to Applicants, to Marlene H. Dortch, Secretary, FCC (filed Dec. </w:t>
      </w:r>
      <w:r w:rsidR="00005506">
        <w:rPr>
          <w:iCs/>
          <w:sz w:val="20"/>
        </w:rPr>
        <w:t>20</w:t>
      </w:r>
      <w:r w:rsidRPr="0067482A" w:rsidR="0067482A">
        <w:rPr>
          <w:iCs/>
          <w:sz w:val="20"/>
        </w:rPr>
        <w:t xml:space="preserve">, 2019) </w:t>
      </w:r>
      <w:r w:rsidR="0067482A">
        <w:rPr>
          <w:iCs/>
          <w:sz w:val="20"/>
        </w:rPr>
        <w:t xml:space="preserve">(grant stamped on Jan. 9, 2020) </w:t>
      </w:r>
      <w:r w:rsidRPr="0067482A" w:rsidR="0067482A">
        <w:rPr>
          <w:iCs/>
          <w:sz w:val="20"/>
        </w:rPr>
        <w:t>(on file in WC Docket No. 19-387).</w:t>
      </w:r>
      <w:bookmarkEnd w:id="3"/>
      <w:r w:rsidR="00DD08C4">
        <w:rPr>
          <w:iCs/>
          <w:sz w:val="20"/>
        </w:rPr>
        <w:t xml:space="preserve">  A grant of the Application is without prejudice to any enforcement action by the Commission for non-compliance with the Act or the Commission’s rules. </w:t>
      </w:r>
    </w:p>
  </w:footnote>
  <w:footnote w:id="6">
    <w:p w:rsidR="0067482A">
      <w:pPr>
        <w:pStyle w:val="FootnoteText"/>
      </w:pPr>
      <w:r>
        <w:rPr>
          <w:rStyle w:val="FootnoteReference"/>
        </w:rPr>
        <w:footnoteRef/>
      </w:r>
      <w:r>
        <w:t xml:space="preserve"> </w:t>
      </w:r>
      <w:r w:rsidRPr="0067482A">
        <w:rPr>
          <w:sz w:val="20"/>
        </w:rPr>
        <w:t>Application at 2 and 7.</w:t>
      </w:r>
    </w:p>
  </w:footnote>
  <w:footnote w:id="7">
    <w:p w:rsidR="00300582" w:rsidRPr="00F16F39">
      <w:pPr>
        <w:pStyle w:val="FootnoteText"/>
        <w:rPr>
          <w:sz w:val="20"/>
        </w:rPr>
      </w:pPr>
      <w:r>
        <w:rPr>
          <w:rStyle w:val="FootnoteReference"/>
        </w:rPr>
        <w:footnoteRef/>
      </w:r>
      <w:r>
        <w:t xml:space="preserve"> </w:t>
      </w:r>
      <w:r w:rsidRPr="00F16F39">
        <w:rPr>
          <w:i/>
          <w:sz w:val="20"/>
        </w:rPr>
        <w:t>Implementation of Further Streamlining Measures for Domestic Section 214 Authorizations</w:t>
      </w:r>
      <w:r w:rsidRPr="00F16F39">
        <w:rPr>
          <w:sz w:val="20"/>
        </w:rPr>
        <w:t xml:space="preserve">, CC Docket No. 01-150, Report and Order, 17 FCC Rcd 5517, 5533, para. 30 (2002).  </w:t>
      </w:r>
    </w:p>
  </w:footnote>
  <w:footnote w:id="8">
    <w:p w:rsidR="00300582" w:rsidRPr="006A19BD">
      <w:pPr>
        <w:pStyle w:val="FootnoteText"/>
        <w:rPr>
          <w:sz w:val="20"/>
        </w:rPr>
      </w:pPr>
      <w:r>
        <w:rPr>
          <w:rStyle w:val="FootnoteReference"/>
        </w:rPr>
        <w:footnoteRef/>
      </w:r>
      <w:r>
        <w:t xml:space="preserve"> </w:t>
      </w:r>
      <w:r w:rsidRPr="006A19BD">
        <w:rPr>
          <w:sz w:val="20"/>
        </w:rPr>
        <w:t>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58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34.95pt;position:absolute;visibility:visible;z-index:251661312" o:allowincell="f">
          <v:imagedata r:id="rId1" o:title="fcc_logo"/>
          <w10:wrap type="topAndBottom"/>
        </v:shape>
      </w:pict>
    </w:r>
    <w:r>
      <w:rPr>
        <w:rFonts w:ascii="News Gothic MT" w:hAnsi="News Gothic MT"/>
        <w:b/>
        <w:kern w:val="28"/>
        <w:sz w:val="96"/>
      </w:rPr>
      <w:t xml:space="preserve">  PUBLIC NOTICE</w:t>
    </w:r>
  </w:p>
  <w:p w:rsidR="00300582">
    <w:pPr>
      <w:pStyle w:val="Header"/>
      <w:tabs>
        <w:tab w:val="left" w:pos="1080"/>
        <w:tab w:val="clear" w:pos="4320"/>
        <w:tab w:val="clear" w:pos="8640"/>
      </w:tabs>
      <w:spacing w:line="1120" w:lineRule="exact"/>
      <w:ind w:left="720"/>
      <w:rPr>
        <w:rFonts w:ascii="Arial" w:hAnsi="Arial"/>
        <w:b/>
        <w:sz w:val="28"/>
      </w:rPr>
    </w:pPr>
    <w:r>
      <w:rPr>
        <w:noProof/>
      </w:rPr>
      <w:pict>
        <v:line id="Line 4" o:spid="_x0000_s2050" style="position:absolute;visibility:visible;z-index:251659264" from="37.6pt,54.95pt" to="501.1pt,55.15pt" o:allowincell="f"/>
      </w:pict>
    </w:r>
    <w:r>
      <w:rPr>
        <w:noProof/>
      </w:rPr>
      <w:pict>
        <v:shapetype id="_x0000_t202" coordsize="21600,21600" o:spt="202" path="m,l,21600r21600,l21600,xe">
          <v:stroke joinstyle="miter"/>
          <v:path gradientshapeok="t" o:connecttype="rect"/>
        </v:shapetype>
        <v:shape id="Text Box 2" o:spid="_x0000_s2051" type="#_x0000_t202" style="width:244.8pt;height:50.4pt;margin-top:0.4pt;margin-left:30pt;position:absolute;visibility:visible;z-index:251658240" o:allowincell="f" stroked="f">
          <v:textbox>
            <w:txbxContent>
              <w:p w:rsidR="00300582">
                <w:pPr>
                  <w:rPr>
                    <w:rFonts w:ascii="Arial" w:hAnsi="Arial"/>
                    <w:b/>
                  </w:rPr>
                </w:pPr>
                <w:r>
                  <w:rPr>
                    <w:rFonts w:ascii="Arial" w:hAnsi="Arial"/>
                    <w:b/>
                  </w:rPr>
                  <w:t>Federal Communications Commission</w:t>
                </w:r>
              </w:p>
              <w:p w:rsidR="00300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582">
                <w:pPr>
                  <w:rPr>
                    <w:rFonts w:ascii="Arial" w:hAnsi="Arial"/>
                    <w:sz w:val="24"/>
                  </w:rPr>
                </w:pPr>
                <w:r>
                  <w:rPr>
                    <w:rFonts w:ascii="Arial" w:hAnsi="Arial"/>
                    <w:b/>
                  </w:rPr>
                  <w:t>Washington, D.C. 20554</w:t>
                </w:r>
              </w:p>
            </w:txbxContent>
          </v:textbox>
        </v:shape>
      </w:pict>
    </w:r>
    <w:r>
      <w:rPr>
        <w:noProof/>
      </w:rPr>
      <w:pict>
        <v:shape id="Text Box 5" o:spid="_x0000_s2052" type="#_x0000_t202" style="width:207.95pt;height:43.2pt;margin-top:10.25pt;margin-left:301.5pt;position:absolute;visibility:visible;z-index:251660288" o:allowincell="f" stroked="f">
          <v:textbox inset=",0,,0">
            <w:txbxContent>
              <w:p w:rsidR="00300582">
                <w:pPr>
                  <w:spacing w:before="40"/>
                  <w:jc w:val="right"/>
                  <w:rPr>
                    <w:rFonts w:ascii="Arial" w:hAnsi="Arial"/>
                    <w:b/>
                    <w:sz w:val="16"/>
                  </w:rPr>
                </w:pPr>
                <w:r>
                  <w:rPr>
                    <w:rFonts w:ascii="Arial" w:hAnsi="Arial"/>
                    <w:b/>
                    <w:sz w:val="16"/>
                  </w:rPr>
                  <w:t>News Media Information 202 / 418-0500</w:t>
                </w:r>
              </w:p>
              <w:p w:rsidR="00300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0582">
                <w:pPr>
                  <w:jc w:val="right"/>
                  <w:rPr>
                    <w:rFonts w:ascii="Arial" w:hAnsi="Arial"/>
                    <w:b/>
                    <w:sz w:val="16"/>
                  </w:rPr>
                </w:pPr>
                <w:r>
                  <w:rPr>
                    <w:rFonts w:ascii="Arial" w:hAnsi="Arial"/>
                    <w:b/>
                    <w:sz w:val="16"/>
                  </w:rPr>
                  <w:t>TTY: 1-888-835-5322</w:t>
                </w:r>
              </w:p>
              <w:p w:rsidR="00300582">
                <w:pPr>
                  <w:jc w:val="right"/>
                </w:pPr>
              </w:p>
            </w:txbxContent>
          </v:textbox>
        </v:shape>
      </w:pict>
    </w:r>
  </w:p>
  <w:p w:rsidR="0030058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331B"/>
    <w:multiLevelType w:val="hybridMultilevel"/>
    <w:tmpl w:val="BE08B4FE"/>
    <w:lvl w:ilvl="0">
      <w:start w:val="1"/>
      <w:numFmt w:val="decimal"/>
      <w:lvlText w:val="%1."/>
      <w:lvlJc w:val="lef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
    <w:nsid w:val="096A45F9"/>
    <w:multiLevelType w:val="hybridMultilevel"/>
    <w:tmpl w:val="32B48FFC"/>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7566593"/>
    <w:multiLevelType w:val="hybridMultilevel"/>
    <w:tmpl w:val="B9BAA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D44120"/>
    <w:multiLevelType w:val="hybridMultilevel"/>
    <w:tmpl w:val="BE929A28"/>
    <w:lvl w:ilvl="0">
      <w:start w:val="1"/>
      <w:numFmt w:val="decimal"/>
      <w:lvlText w:val="%1."/>
      <w:lvlJc w:val="left"/>
      <w:pPr>
        <w:ind w:left="1710" w:hanging="36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7685427"/>
    <w:multiLevelType w:val="hybridMultilevel"/>
    <w:tmpl w:val="F9CA86B0"/>
    <w:lvl w:ilvl="0">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start w:val="13"/>
      <w:numFmt w:val="decimal"/>
      <w:lvlText w:val="%2."/>
      <w:lvlJc w:val="left"/>
      <w:pPr>
        <w:tabs>
          <w:tab w:val="num" w:pos="720"/>
        </w:tabs>
        <w:ind w:left="720" w:hanging="360"/>
      </w:pPr>
      <w:rPr>
        <w:rFonts w:cs="Times New Roman" w:hint="default"/>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5761DC"/>
    <w:multiLevelType w:val="hybridMultilevel"/>
    <w:tmpl w:val="64D24C8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60F0118"/>
    <w:multiLevelType w:val="hybridMultilevel"/>
    <w:tmpl w:val="7EB0ADD2"/>
    <w:lvl w:ilvl="0">
      <w:start w:val="1"/>
      <w:numFmt w:val="lowerLetter"/>
      <w:lvlText w:val="%1)"/>
      <w:lvlJc w:val="left"/>
      <w:pPr>
        <w:tabs>
          <w:tab w:val="num" w:pos="1440"/>
        </w:tabs>
        <w:ind w:left="1440" w:hanging="360"/>
      </w:pPr>
      <w:rPr>
        <w:b w:val="0"/>
        <w:i w:val="0"/>
      </w:rPr>
    </w:lvl>
    <w:lvl w:ilvl="1">
      <w:start w:val="1"/>
      <w:numFmt w:val="lowerRoman"/>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B597F9D"/>
    <w:multiLevelType w:val="hybridMultilevel"/>
    <w:tmpl w:val="EA183FBE"/>
    <w:lvl w:ilvl="0">
      <w:start w:val="1"/>
      <w:numFmt w:val="lowerLetter"/>
      <w:lvlText w:val="(%1)"/>
      <w:lvlJc w:val="left"/>
      <w:pPr>
        <w:ind w:left="1980" w:hanging="360"/>
      </w:pPr>
      <w:rPr>
        <w:rFonts w:hint="default"/>
        <w:i w:val="0"/>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4">
    <w:nsid w:val="79370CEA"/>
    <w:multiLevelType w:val="hybridMultilevel"/>
    <w:tmpl w:val="5338FD5A"/>
    <w:lvl w:ilvl="0">
      <w:start w:val="1"/>
      <w:numFmt w:val="lowerRoman"/>
      <w:lvlText w:val="%1."/>
      <w:lvlJc w:val="righ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5">
    <w:nsid w:val="7D8120BC"/>
    <w:multiLevelType w:val="hybridMultilevel"/>
    <w:tmpl w:val="90D00BF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4"/>
  </w:num>
  <w:num w:numId="15">
    <w:abstractNumId w:val="5"/>
  </w:num>
  <w:num w:numId="16">
    <w:abstractNumId w:val="15"/>
  </w:num>
  <w:num w:numId="17">
    <w:abstractNumId w:val="13"/>
  </w:num>
  <w:num w:numId="18">
    <w:abstractNumId w:val="14"/>
  </w:num>
  <w:num w:numId="19">
    <w:abstractNumId w:val="0"/>
  </w:num>
  <w:num w:numId="20">
    <w:abstractNumId w:val="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80"/>
    <w:rsid w:val="00005506"/>
    <w:rsid w:val="00026431"/>
    <w:rsid w:val="00047D43"/>
    <w:rsid w:val="000C5183"/>
    <w:rsid w:val="000D720A"/>
    <w:rsid w:val="001208FE"/>
    <w:rsid w:val="00195C12"/>
    <w:rsid w:val="001D3B79"/>
    <w:rsid w:val="001E2F0D"/>
    <w:rsid w:val="00217EEF"/>
    <w:rsid w:val="00221558"/>
    <w:rsid w:val="00300582"/>
    <w:rsid w:val="00375887"/>
    <w:rsid w:val="0038750F"/>
    <w:rsid w:val="00447486"/>
    <w:rsid w:val="004900F8"/>
    <w:rsid w:val="004E4DA2"/>
    <w:rsid w:val="005179D5"/>
    <w:rsid w:val="005323AB"/>
    <w:rsid w:val="00547514"/>
    <w:rsid w:val="005739A3"/>
    <w:rsid w:val="00576A91"/>
    <w:rsid w:val="00594C3F"/>
    <w:rsid w:val="005F2494"/>
    <w:rsid w:val="0062032E"/>
    <w:rsid w:val="00637B6F"/>
    <w:rsid w:val="00644027"/>
    <w:rsid w:val="00656CB4"/>
    <w:rsid w:val="0067482A"/>
    <w:rsid w:val="006A19BD"/>
    <w:rsid w:val="006E3F78"/>
    <w:rsid w:val="00792582"/>
    <w:rsid w:val="007D452E"/>
    <w:rsid w:val="00842042"/>
    <w:rsid w:val="008907E3"/>
    <w:rsid w:val="008C1006"/>
    <w:rsid w:val="008C36D9"/>
    <w:rsid w:val="00921A4A"/>
    <w:rsid w:val="009367B8"/>
    <w:rsid w:val="00950931"/>
    <w:rsid w:val="00AB76C4"/>
    <w:rsid w:val="00AD7F41"/>
    <w:rsid w:val="00AF2358"/>
    <w:rsid w:val="00B8199E"/>
    <w:rsid w:val="00C50B80"/>
    <w:rsid w:val="00C70D87"/>
    <w:rsid w:val="00C86003"/>
    <w:rsid w:val="00CF0AFC"/>
    <w:rsid w:val="00D07CD5"/>
    <w:rsid w:val="00D109A4"/>
    <w:rsid w:val="00D20009"/>
    <w:rsid w:val="00D55C7B"/>
    <w:rsid w:val="00DA049A"/>
    <w:rsid w:val="00DD08C4"/>
    <w:rsid w:val="00E30687"/>
    <w:rsid w:val="00EF4E42"/>
    <w:rsid w:val="00F16F39"/>
    <w:rsid w:val="00F673BF"/>
    <w:rsid w:val="00F76042"/>
    <w:rsid w:val="00F80DBA"/>
    <w:rsid w:val="00F80F29"/>
    <w:rsid w:val="00F83A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C50B80"/>
    <w:rPr>
      <w:sz w:val="22"/>
    </w:rPr>
  </w:style>
  <w:style w:type="character" w:customStyle="1" w:styleId="FootnoteCharacters">
    <w:name w:val="Footnote Characters"/>
    <w:rsid w:val="00C50B80"/>
    <w:rPr>
      <w:vertAlign w:val="superscript"/>
    </w:rPr>
  </w:style>
  <w:style w:type="character" w:customStyle="1" w:styleId="FooterChar">
    <w:name w:val="Footer Char"/>
    <w:link w:val="Footer"/>
    <w:uiPriority w:val="99"/>
    <w:rsid w:val="00C50B80"/>
    <w:rPr>
      <w:sz w:val="22"/>
    </w:rPr>
  </w:style>
  <w:style w:type="paragraph" w:styleId="ListParagraph">
    <w:name w:val="List Paragraph"/>
    <w:basedOn w:val="Normal"/>
    <w:uiPriority w:val="34"/>
    <w:qFormat/>
    <w:rsid w:val="00E30687"/>
    <w:pPr>
      <w:ind w:left="720"/>
      <w:contextualSpacing/>
    </w:pPr>
  </w:style>
  <w:style w:type="paragraph" w:styleId="BalloonText">
    <w:name w:val="Balloon Text"/>
    <w:basedOn w:val="Normal"/>
    <w:link w:val="BalloonTextChar"/>
    <w:uiPriority w:val="99"/>
    <w:semiHidden/>
    <w:unhideWhenUsed/>
    <w:rsid w:val="00C26DCE"/>
    <w:rPr>
      <w:rFonts w:ascii="Segoe UI" w:hAnsi="Segoe UI" w:cs="Segoe UI"/>
      <w:sz w:val="18"/>
      <w:szCs w:val="18"/>
    </w:rPr>
  </w:style>
  <w:style w:type="character" w:customStyle="1" w:styleId="BalloonTextChar">
    <w:name w:val="Balloon Text Char"/>
    <w:link w:val="BalloonText"/>
    <w:uiPriority w:val="99"/>
    <w:semiHidden/>
    <w:rsid w:val="00C26DCE"/>
    <w:rPr>
      <w:rFonts w:ascii="Segoe UI" w:hAnsi="Segoe UI" w:cs="Segoe UI"/>
      <w:sz w:val="18"/>
      <w:szCs w:val="18"/>
    </w:rPr>
  </w:style>
  <w:style w:type="character" w:styleId="CommentReference">
    <w:name w:val="annotation reference"/>
    <w:uiPriority w:val="99"/>
    <w:semiHidden/>
    <w:unhideWhenUsed/>
    <w:rsid w:val="0012508C"/>
    <w:rPr>
      <w:sz w:val="16"/>
      <w:szCs w:val="16"/>
    </w:rPr>
  </w:style>
  <w:style w:type="paragraph" w:styleId="CommentText">
    <w:name w:val="annotation text"/>
    <w:basedOn w:val="Normal"/>
    <w:link w:val="CommentTextChar"/>
    <w:uiPriority w:val="99"/>
    <w:semiHidden/>
    <w:unhideWhenUsed/>
    <w:rsid w:val="0012508C"/>
    <w:rPr>
      <w:sz w:val="20"/>
    </w:rPr>
  </w:style>
  <w:style w:type="character" w:customStyle="1" w:styleId="CommentTextChar">
    <w:name w:val="Comment Text Char"/>
    <w:basedOn w:val="DefaultParagraphFont"/>
    <w:link w:val="CommentText"/>
    <w:uiPriority w:val="99"/>
    <w:semiHidden/>
    <w:rsid w:val="0012508C"/>
  </w:style>
  <w:style w:type="paragraph" w:styleId="CommentSubject">
    <w:name w:val="annotation subject"/>
    <w:basedOn w:val="CommentText"/>
    <w:next w:val="CommentText"/>
    <w:link w:val="CommentSubjectChar"/>
    <w:uiPriority w:val="99"/>
    <w:semiHidden/>
    <w:unhideWhenUsed/>
    <w:rsid w:val="0012508C"/>
    <w:rPr>
      <w:b/>
      <w:bCs/>
    </w:rPr>
  </w:style>
  <w:style w:type="character" w:customStyle="1" w:styleId="CommentSubjectChar">
    <w:name w:val="Comment Subject Char"/>
    <w:link w:val="CommentSubject"/>
    <w:uiPriority w:val="99"/>
    <w:semiHidden/>
    <w:rsid w:val="0012508C"/>
    <w:rPr>
      <w:b/>
      <w:bCs/>
    </w:rPr>
  </w:style>
  <w:style w:type="character" w:customStyle="1" w:styleId="copinpointicon">
    <w:name w:val="co_pinpointicon"/>
    <w:rsid w:val="00F16F39"/>
  </w:style>
  <w:style w:type="character" w:customStyle="1" w:styleId="cosearchterm">
    <w:name w:val="co_searchterm"/>
    <w:rsid w:val="00F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1.next.westlaw.com/Link/Document/FullText?findType=L&amp;pubNum=1000547&amp;cite=47CFRS1.103&amp;originatingDoc=I2a5de1caa71b11e69822eed485bc7ca1&amp;refType=LQ&amp;originationContext=document&amp;transitionType=DocumentItem&amp;contextData=(sc.Search)"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