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F71F5" w:rsidRPr="00A128DC" w14:paraId="478E436E" w14:textId="77777777">
      <w:pPr>
        <w:pStyle w:val="Header"/>
        <w:tabs>
          <w:tab w:val="clear" w:pos="4320"/>
          <w:tab w:val="clear" w:pos="8640"/>
        </w:tabs>
        <w:sectPr w:rsidSect="00B44AF3">
          <w:footerReference w:type="even" r:id="rId5"/>
          <w:footerReference w:type="default" r:id="rId6"/>
          <w:headerReference w:type="first" r:id="rId7"/>
          <w:pgSz w:w="12240" w:h="15840" w:code="1"/>
          <w:pgMar w:top="1440" w:right="1440" w:bottom="720" w:left="1440" w:header="720" w:footer="720" w:gutter="0"/>
          <w:cols w:space="720"/>
          <w:titlePg/>
        </w:sectPr>
      </w:pPr>
    </w:p>
    <w:p w:rsidR="00A4133F" w:rsidRPr="00E032CD" w:rsidP="00E032CD" w14:paraId="37BD9EB7" w14:textId="77777777">
      <w:pPr>
        <w:jc w:val="right"/>
        <w:rPr>
          <w:b/>
          <w:sz w:val="24"/>
        </w:rPr>
      </w:pPr>
      <w:r>
        <w:rPr>
          <w:b/>
          <w:szCs w:val="22"/>
        </w:rPr>
        <w:t>DA</w:t>
      </w:r>
      <w:r w:rsidR="00E032CD">
        <w:rPr>
          <w:b/>
          <w:szCs w:val="22"/>
        </w:rPr>
        <w:t xml:space="preserve"> </w:t>
      </w:r>
      <w:r w:rsidRPr="00E032CD" w:rsidR="00E032CD">
        <w:rPr>
          <w:b/>
          <w:szCs w:val="22"/>
        </w:rPr>
        <w:t>20-1480</w:t>
      </w:r>
    </w:p>
    <w:p w:rsidR="00A4133F" w:rsidRPr="00A128DC" w:rsidP="00E032CD" w14:paraId="007E9E76" w14:textId="77777777">
      <w:pPr>
        <w:spacing w:before="60"/>
        <w:jc w:val="right"/>
        <w:rPr>
          <w:b/>
          <w:szCs w:val="22"/>
        </w:rPr>
      </w:pPr>
      <w:r w:rsidRPr="00A128DC">
        <w:rPr>
          <w:b/>
          <w:szCs w:val="22"/>
        </w:rPr>
        <w:t xml:space="preserve">Released:  </w:t>
      </w:r>
      <w:r w:rsidR="00381E40">
        <w:rPr>
          <w:b/>
          <w:szCs w:val="22"/>
        </w:rPr>
        <w:t>December</w:t>
      </w:r>
      <w:r w:rsidR="00A2387F">
        <w:rPr>
          <w:b/>
          <w:szCs w:val="22"/>
        </w:rPr>
        <w:t xml:space="preserve"> </w:t>
      </w:r>
      <w:r w:rsidR="00E032CD">
        <w:rPr>
          <w:b/>
          <w:szCs w:val="22"/>
        </w:rPr>
        <w:t>14,</w:t>
      </w:r>
      <w:r w:rsidR="0086157E">
        <w:rPr>
          <w:b/>
          <w:szCs w:val="22"/>
        </w:rPr>
        <w:t xml:space="preserve"> 20</w:t>
      </w:r>
      <w:r w:rsidR="000120DD">
        <w:rPr>
          <w:b/>
          <w:szCs w:val="22"/>
        </w:rPr>
        <w:t>20</w:t>
      </w:r>
    </w:p>
    <w:p w:rsidR="00A4133F" w:rsidRPr="00A128DC" w:rsidP="00B44AF3" w14:paraId="1491CF64" w14:textId="77777777">
      <w:pPr>
        <w:jc w:val="center"/>
        <w:rPr>
          <w:szCs w:val="22"/>
        </w:rPr>
      </w:pPr>
    </w:p>
    <w:p w:rsidR="00C80814" w:rsidRPr="00B44AF3" w:rsidP="00C80814" w14:paraId="38CDDD7C" w14:textId="77777777">
      <w:pPr>
        <w:jc w:val="center"/>
        <w:rPr>
          <w:b/>
          <w:caps/>
          <w:szCs w:val="22"/>
        </w:rPr>
      </w:pPr>
      <w:r w:rsidRPr="00B44AF3">
        <w:rPr>
          <w:b/>
          <w:caps/>
          <w:szCs w:val="22"/>
        </w:rPr>
        <w:t xml:space="preserve">Proposed </w:t>
      </w:r>
      <w:r w:rsidRPr="00B44AF3" w:rsidR="004F45DA">
        <w:rPr>
          <w:b/>
          <w:caps/>
          <w:szCs w:val="22"/>
        </w:rPr>
        <w:t>F</w:t>
      </w:r>
      <w:r w:rsidRPr="00B44AF3" w:rsidR="00381E40">
        <w:rPr>
          <w:b/>
          <w:caps/>
          <w:szCs w:val="22"/>
        </w:rPr>
        <w:t>irst</w:t>
      </w:r>
      <w:r w:rsidRPr="00B44AF3" w:rsidR="0092777F">
        <w:rPr>
          <w:b/>
          <w:caps/>
          <w:szCs w:val="22"/>
        </w:rPr>
        <w:t xml:space="preserve"> </w:t>
      </w:r>
      <w:r w:rsidRPr="00B44AF3">
        <w:rPr>
          <w:b/>
          <w:caps/>
          <w:szCs w:val="22"/>
        </w:rPr>
        <w:t>Quarter 20</w:t>
      </w:r>
      <w:r w:rsidRPr="00B44AF3" w:rsidR="00C15ED6">
        <w:rPr>
          <w:b/>
          <w:caps/>
          <w:szCs w:val="22"/>
        </w:rPr>
        <w:t>2</w:t>
      </w:r>
      <w:r w:rsidRPr="00B44AF3" w:rsidR="00381E40">
        <w:rPr>
          <w:b/>
          <w:caps/>
          <w:szCs w:val="22"/>
        </w:rPr>
        <w:t>1</w:t>
      </w:r>
      <w:r w:rsidRPr="00B44AF3" w:rsidR="00D02BF3">
        <w:rPr>
          <w:b/>
          <w:caps/>
          <w:szCs w:val="22"/>
        </w:rPr>
        <w:t xml:space="preserve"> </w:t>
      </w:r>
      <w:r w:rsidRPr="00B44AF3">
        <w:rPr>
          <w:b/>
          <w:caps/>
          <w:szCs w:val="22"/>
        </w:rPr>
        <w:t>Universal Service Contribution Factor</w:t>
      </w:r>
    </w:p>
    <w:p w:rsidR="00C80814" w:rsidRPr="00A128DC" w:rsidP="00C80814" w14:paraId="4CB6BF31" w14:textId="77777777">
      <w:pPr>
        <w:jc w:val="center"/>
        <w:rPr>
          <w:b/>
          <w:szCs w:val="22"/>
        </w:rPr>
      </w:pPr>
    </w:p>
    <w:p w:rsidR="00C80814" w:rsidRPr="00B44AF3" w:rsidP="00C80814" w14:paraId="19D19491" w14:textId="77777777">
      <w:pPr>
        <w:jc w:val="center"/>
        <w:rPr>
          <w:b/>
          <w:bCs/>
          <w:szCs w:val="22"/>
        </w:rPr>
      </w:pPr>
      <w:r w:rsidRPr="00B44AF3">
        <w:rPr>
          <w:b/>
          <w:bCs/>
          <w:szCs w:val="22"/>
        </w:rPr>
        <w:t xml:space="preserve">CC Docket No. </w:t>
      </w:r>
      <w:r w:rsidRPr="00B44AF3" w:rsidR="005E40E8">
        <w:rPr>
          <w:b/>
          <w:bCs/>
          <w:szCs w:val="22"/>
        </w:rPr>
        <w:t>96-45</w:t>
      </w:r>
    </w:p>
    <w:p w:rsidR="00C80814" w:rsidRPr="00A128DC" w:rsidP="00C80814" w14:paraId="183D4962" w14:textId="77777777">
      <w:pPr>
        <w:jc w:val="center"/>
        <w:rPr>
          <w:szCs w:val="22"/>
        </w:rPr>
      </w:pPr>
    </w:p>
    <w:p w:rsidR="00C80814" w:rsidRPr="00A128DC" w:rsidP="00B44AF3" w14:paraId="0234EBC1" w14:textId="77777777">
      <w:pPr>
        <w:ind w:firstLine="720"/>
        <w:rPr>
          <w:szCs w:val="22"/>
        </w:rPr>
      </w:pPr>
      <w:r w:rsidRPr="00A128DC">
        <w:rPr>
          <w:szCs w:val="22"/>
        </w:rPr>
        <w:t xml:space="preserve">In this Public Notice, the </w:t>
      </w:r>
      <w:r w:rsidR="00F73808">
        <w:rPr>
          <w:szCs w:val="22"/>
        </w:rPr>
        <w:t>Office of Man</w:t>
      </w:r>
      <w:r w:rsidRPr="00CE7CEC" w:rsidR="0070509E">
        <w:rPr>
          <w:szCs w:val="22"/>
        </w:rPr>
        <w:t>a</w:t>
      </w:r>
      <w:r w:rsidR="00F73808">
        <w:rPr>
          <w:szCs w:val="22"/>
        </w:rPr>
        <w:t>g</w:t>
      </w:r>
      <w:r w:rsidR="00CE7CEC">
        <w:rPr>
          <w:szCs w:val="22"/>
        </w:rPr>
        <w:t>ing</w:t>
      </w:r>
      <w:r w:rsidR="00F73808">
        <w:rPr>
          <w:szCs w:val="22"/>
        </w:rPr>
        <w:t xml:space="preserve"> Director </w:t>
      </w:r>
      <w:r w:rsidRPr="00A128DC">
        <w:rPr>
          <w:szCs w:val="22"/>
        </w:rPr>
        <w:t>(</w:t>
      </w:r>
      <w:r w:rsidR="00F73808">
        <w:rPr>
          <w:szCs w:val="22"/>
        </w:rPr>
        <w:t>OMD</w:t>
      </w:r>
      <w:r w:rsidRPr="00A128DC">
        <w:rPr>
          <w:szCs w:val="22"/>
        </w:rPr>
        <w:t xml:space="preserve">) announces that the proposed universal service contribution factor for the </w:t>
      </w:r>
      <w:r w:rsidR="00391AF5">
        <w:rPr>
          <w:szCs w:val="22"/>
        </w:rPr>
        <w:t>first</w:t>
      </w:r>
      <w:r w:rsidRPr="00BF573D" w:rsidR="00D4272B">
        <w:rPr>
          <w:szCs w:val="22"/>
        </w:rPr>
        <w:t xml:space="preserve"> q</w:t>
      </w:r>
      <w:r w:rsidRPr="00BF573D">
        <w:rPr>
          <w:szCs w:val="22"/>
        </w:rPr>
        <w:t>uarter of 20</w:t>
      </w:r>
      <w:r w:rsidR="00413828">
        <w:rPr>
          <w:szCs w:val="22"/>
        </w:rPr>
        <w:t>2</w:t>
      </w:r>
      <w:r w:rsidR="00381E40">
        <w:rPr>
          <w:szCs w:val="22"/>
        </w:rPr>
        <w:t>1</w:t>
      </w:r>
      <w:r w:rsidRPr="00A128DC">
        <w:rPr>
          <w:szCs w:val="22"/>
        </w:rPr>
        <w:t xml:space="preserve"> </w:t>
      </w:r>
      <w:r w:rsidRPr="00A128DC" w:rsidR="0073413E">
        <w:rPr>
          <w:szCs w:val="22"/>
        </w:rPr>
        <w:t xml:space="preserve">will </w:t>
      </w:r>
      <w:r w:rsidRPr="00CD6E19" w:rsidR="00707336">
        <w:rPr>
          <w:szCs w:val="22"/>
        </w:rPr>
        <w:t>be</w:t>
      </w:r>
      <w:r w:rsidRPr="00CD6E19" w:rsidR="0073413E">
        <w:rPr>
          <w:szCs w:val="22"/>
        </w:rPr>
        <w:t xml:space="preserve"> </w:t>
      </w:r>
      <w:r w:rsidRPr="00426DCC" w:rsidR="004E0D51">
        <w:rPr>
          <w:szCs w:val="22"/>
        </w:rPr>
        <w:t>0.</w:t>
      </w:r>
      <w:r w:rsidR="00381E40">
        <w:rPr>
          <w:szCs w:val="22"/>
        </w:rPr>
        <w:t>318</w:t>
      </w:r>
      <w:r w:rsidRPr="00ED4FA0" w:rsidR="006D1E63">
        <w:rPr>
          <w:szCs w:val="22"/>
        </w:rPr>
        <w:t xml:space="preserve"> </w:t>
      </w:r>
      <w:r w:rsidRPr="00ED4FA0">
        <w:rPr>
          <w:szCs w:val="22"/>
        </w:rPr>
        <w:t xml:space="preserve">or </w:t>
      </w:r>
      <w:r w:rsidR="00381E40">
        <w:rPr>
          <w:szCs w:val="22"/>
        </w:rPr>
        <w:t>31.8</w:t>
      </w:r>
      <w:r w:rsidRPr="00A128DC">
        <w:rPr>
          <w:b/>
          <w:szCs w:val="22"/>
        </w:rPr>
        <w:t xml:space="preserve"> </w:t>
      </w:r>
      <w:r w:rsidRPr="00A128DC">
        <w:rPr>
          <w:szCs w:val="22"/>
        </w:rPr>
        <w:t>percent.</w:t>
      </w:r>
      <w:r>
        <w:rPr>
          <w:szCs w:val="22"/>
          <w:vertAlign w:val="superscript"/>
        </w:rPr>
        <w:footnoteReference w:id="2"/>
      </w:r>
    </w:p>
    <w:p w:rsidR="00C80814" w:rsidRPr="00A128DC" w:rsidP="00C80814" w14:paraId="4344F29A" w14:textId="77777777">
      <w:pPr>
        <w:rPr>
          <w:szCs w:val="22"/>
        </w:rPr>
      </w:pPr>
    </w:p>
    <w:p w:rsidR="00C80814" w:rsidRPr="00A128DC" w:rsidP="00C80814" w14:paraId="471BCD39" w14:textId="77777777">
      <w:pPr>
        <w:rPr>
          <w:b/>
          <w:szCs w:val="22"/>
          <w:u w:val="single"/>
        </w:rPr>
      </w:pPr>
      <w:r w:rsidRPr="00A128DC">
        <w:rPr>
          <w:b/>
          <w:szCs w:val="22"/>
          <w:u w:val="single"/>
        </w:rPr>
        <w:t>Rules for Calculating the Contribution Factor</w:t>
      </w:r>
    </w:p>
    <w:p w:rsidR="00C80814" w:rsidRPr="00A128DC" w:rsidP="00C80814" w14:paraId="109CD4EF" w14:textId="77777777">
      <w:pPr>
        <w:rPr>
          <w:szCs w:val="22"/>
        </w:rPr>
      </w:pPr>
    </w:p>
    <w:p w:rsidR="00C80814" w:rsidRPr="00A128DC" w:rsidP="00B44AF3" w14:paraId="6BA18467" w14:textId="77777777">
      <w:pPr>
        <w:ind w:firstLine="720"/>
        <w:rPr>
          <w:szCs w:val="22"/>
        </w:rPr>
      </w:pPr>
      <w:r w:rsidRPr="00A128DC">
        <w:rPr>
          <w:szCs w:val="22"/>
        </w:rPr>
        <w:t>Contributions to the federal universal service support mechanisms are determined using a quarterly contribution factor calculated by the Federal Communications Commission (Commission).</w:t>
      </w:r>
      <w:r>
        <w:rPr>
          <w:rStyle w:val="FootnoteReference"/>
          <w:szCs w:val="22"/>
        </w:rPr>
        <w:footnoteReference w:id="3"/>
      </w:r>
      <w:r w:rsidRPr="00A128DC">
        <w:rPr>
          <w:szCs w:val="22"/>
        </w:rPr>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Pr>
          <w:szCs w:val="22"/>
          <w:vertAlign w:val="superscript"/>
        </w:rPr>
        <w:footnoteReference w:id="4"/>
      </w:r>
      <w:r w:rsidRPr="00A128DC">
        <w:rPr>
          <w:szCs w:val="22"/>
        </w:rPr>
        <w:t xml:space="preserve">  </w:t>
      </w:r>
    </w:p>
    <w:p w:rsidR="00C80814" w:rsidRPr="00A128DC" w:rsidP="00C80814" w14:paraId="2E614A5F" w14:textId="77777777">
      <w:pPr>
        <w:rPr>
          <w:b/>
          <w:szCs w:val="22"/>
          <w:u w:val="single"/>
        </w:rPr>
      </w:pPr>
    </w:p>
    <w:p w:rsidR="00C80814" w:rsidRPr="00A128DC" w:rsidP="00C80814" w14:paraId="656EE82A" w14:textId="77777777">
      <w:pPr>
        <w:rPr>
          <w:b/>
          <w:szCs w:val="22"/>
          <w:u w:val="single"/>
        </w:rPr>
      </w:pPr>
      <w:r w:rsidRPr="00A128DC">
        <w:rPr>
          <w:b/>
          <w:szCs w:val="22"/>
          <w:u w:val="single"/>
        </w:rPr>
        <w:t>USAC Projections of Demand and Administrative Expenses</w:t>
      </w:r>
    </w:p>
    <w:p w:rsidR="00C80814" w:rsidRPr="00A128DC" w:rsidP="00C80814" w14:paraId="6ACD824D" w14:textId="77777777">
      <w:pPr>
        <w:rPr>
          <w:szCs w:val="22"/>
        </w:rPr>
      </w:pPr>
    </w:p>
    <w:p w:rsidR="00C80814" w:rsidRPr="00A128DC" w:rsidP="00C80814" w14:paraId="690CA527" w14:textId="77777777">
      <w:pPr>
        <w:ind w:firstLine="720"/>
        <w:rPr>
          <w:szCs w:val="22"/>
        </w:rPr>
      </w:pPr>
      <w:r w:rsidRPr="00A128DC">
        <w:rPr>
          <w:szCs w:val="22"/>
        </w:rPr>
        <w:t>Pursuant to section 54.709(a)(3) of the Commission’s rules,</w:t>
      </w:r>
      <w:r>
        <w:rPr>
          <w:szCs w:val="22"/>
          <w:vertAlign w:val="superscript"/>
        </w:rPr>
        <w:footnoteReference w:id="5"/>
      </w:r>
      <w:r w:rsidRPr="00A128DC">
        <w:rPr>
          <w:szCs w:val="22"/>
        </w:rPr>
        <w:t xml:space="preserve"> the Universal Service Administrative Company (USAC) submitted projections of demand and administrative expenses for the </w:t>
      </w:r>
      <w:r w:rsidR="00DE059A">
        <w:rPr>
          <w:szCs w:val="22"/>
        </w:rPr>
        <w:t>f</w:t>
      </w:r>
      <w:r w:rsidR="00391AF5">
        <w:rPr>
          <w:szCs w:val="22"/>
        </w:rPr>
        <w:t>irst</w:t>
      </w:r>
      <w:r w:rsidRPr="00BF573D" w:rsidR="006D1E63">
        <w:rPr>
          <w:szCs w:val="22"/>
        </w:rPr>
        <w:t xml:space="preserve"> </w:t>
      </w:r>
      <w:r w:rsidRPr="00BF573D">
        <w:rPr>
          <w:szCs w:val="22"/>
        </w:rPr>
        <w:t>quarter of 20</w:t>
      </w:r>
      <w:r w:rsidR="00016E44">
        <w:rPr>
          <w:szCs w:val="22"/>
        </w:rPr>
        <w:t>2</w:t>
      </w:r>
      <w:r w:rsidR="00391AF5">
        <w:rPr>
          <w:szCs w:val="22"/>
        </w:rPr>
        <w:t>1</w:t>
      </w:r>
      <w:r w:rsidRPr="00A128DC">
        <w:rPr>
          <w:szCs w:val="22"/>
        </w:rPr>
        <w:t>.</w:t>
      </w:r>
      <w:r>
        <w:rPr>
          <w:szCs w:val="22"/>
          <w:vertAlign w:val="superscript"/>
        </w:rPr>
        <w:footnoteReference w:id="6"/>
      </w:r>
      <w:r w:rsidRPr="00A128DC">
        <w:rPr>
          <w:szCs w:val="22"/>
        </w:rPr>
        <w:t xml:space="preserve">  Accordingly, the projected demand and expenses are as follows:</w:t>
      </w:r>
    </w:p>
    <w:p w:rsidR="00C80814" w:rsidRPr="00A128DC" w:rsidP="00B44AF3" w14:paraId="2528B9A3" w14:textId="77777777">
      <w:pPr>
        <w:rPr>
          <w:szCs w:val="22"/>
        </w:rPr>
      </w:pPr>
    </w:p>
    <w:p w:rsidR="00C80814" w:rsidRPr="00A128DC" w:rsidP="00CC75F9" w14:paraId="26666E58" w14:textId="77777777">
      <w:pPr>
        <w:keepNext/>
        <w:keepLines/>
        <w:spacing w:line="360" w:lineRule="auto"/>
        <w:ind w:firstLine="720"/>
        <w:jc w:val="center"/>
        <w:rPr>
          <w:szCs w:val="22"/>
        </w:rPr>
      </w:pPr>
      <w:r w:rsidRPr="00A128DC">
        <w:rPr>
          <w:szCs w:val="22"/>
        </w:rPr>
        <w:t>($ millions)</w:t>
      </w:r>
    </w:p>
    <w:tbl>
      <w:tblPr>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340"/>
        <w:gridCol w:w="1590"/>
        <w:gridCol w:w="1620"/>
        <w:gridCol w:w="1620"/>
        <w:gridCol w:w="1650"/>
      </w:tblGrid>
      <w:tr w14:paraId="3D6C0FA0" w14:textId="77777777" w:rsidTr="00B710D4">
        <w:tblPrEx>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rHeight w:val="927"/>
          <w:jc w:val="right"/>
        </w:trPr>
        <w:tc>
          <w:tcPr>
            <w:tcW w:w="2340" w:type="dxa"/>
            <w:tcBorders>
              <w:top w:val="double" w:sz="6" w:space="0" w:color="auto"/>
              <w:left w:val="double" w:sz="6" w:space="0" w:color="auto"/>
              <w:bottom w:val="nil"/>
            </w:tcBorders>
          </w:tcPr>
          <w:p w:rsidR="00B710D4" w:rsidP="00CC75F9" w14:paraId="42A3EE6D" w14:textId="77777777">
            <w:pPr>
              <w:keepNext/>
              <w:tabs>
                <w:tab w:val="left" w:pos="0"/>
              </w:tabs>
              <w:spacing w:before="90" w:after="54" w:line="226" w:lineRule="auto"/>
              <w:jc w:val="center"/>
              <w:rPr>
                <w:szCs w:val="22"/>
              </w:rPr>
            </w:pPr>
            <w:r w:rsidRPr="00A128DC">
              <w:rPr>
                <w:szCs w:val="22"/>
              </w:rPr>
              <w:t>Program</w:t>
            </w:r>
            <w:r>
              <w:rPr>
                <w:szCs w:val="22"/>
              </w:rPr>
              <w:t xml:space="preserve"> Demand</w:t>
            </w:r>
          </w:p>
          <w:p w:rsidR="00B710D4" w:rsidRPr="00A128DC" w:rsidP="00CC75F9" w14:paraId="25FE97E0" w14:textId="77777777">
            <w:pPr>
              <w:keepNext/>
              <w:tabs>
                <w:tab w:val="left" w:pos="0"/>
              </w:tabs>
              <w:spacing w:before="90" w:after="54" w:line="226" w:lineRule="auto"/>
              <w:jc w:val="center"/>
              <w:rPr>
                <w:szCs w:val="22"/>
              </w:rPr>
            </w:pPr>
          </w:p>
        </w:tc>
        <w:tc>
          <w:tcPr>
            <w:tcW w:w="1590" w:type="dxa"/>
            <w:tcBorders>
              <w:top w:val="double" w:sz="6" w:space="0" w:color="auto"/>
              <w:bottom w:val="double" w:sz="6" w:space="0" w:color="auto"/>
            </w:tcBorders>
          </w:tcPr>
          <w:p w:rsidR="00B710D4" w:rsidRPr="00A128DC" w:rsidP="00CC75F9" w14:paraId="331542C5" w14:textId="77777777">
            <w:pPr>
              <w:keepNext/>
              <w:tabs>
                <w:tab w:val="left" w:pos="0"/>
              </w:tabs>
              <w:spacing w:before="90" w:after="54" w:line="226" w:lineRule="auto"/>
              <w:jc w:val="center"/>
              <w:rPr>
                <w:szCs w:val="22"/>
              </w:rPr>
            </w:pPr>
            <w:r w:rsidRPr="00A128DC">
              <w:rPr>
                <w:szCs w:val="22"/>
              </w:rPr>
              <w:t>Projected Program Support</w:t>
            </w:r>
          </w:p>
        </w:tc>
        <w:tc>
          <w:tcPr>
            <w:tcW w:w="1620" w:type="dxa"/>
            <w:tcBorders>
              <w:top w:val="double" w:sz="6" w:space="0" w:color="auto"/>
              <w:bottom w:val="double" w:sz="6" w:space="0" w:color="auto"/>
            </w:tcBorders>
          </w:tcPr>
          <w:p w:rsidR="00B710D4" w:rsidRPr="00A128DC" w:rsidP="00CC75F9" w14:paraId="51AF439A" w14:textId="77777777">
            <w:pPr>
              <w:keepNext/>
              <w:tabs>
                <w:tab w:val="left" w:pos="0"/>
              </w:tabs>
              <w:spacing w:before="90" w:after="54" w:line="226" w:lineRule="auto"/>
              <w:jc w:val="center"/>
              <w:rPr>
                <w:szCs w:val="22"/>
              </w:rPr>
            </w:pPr>
            <w:r w:rsidRPr="00A128DC">
              <w:rPr>
                <w:szCs w:val="22"/>
              </w:rPr>
              <w:t>Admin. Expenses</w:t>
            </w:r>
          </w:p>
        </w:tc>
        <w:tc>
          <w:tcPr>
            <w:tcW w:w="1620" w:type="dxa"/>
            <w:tcBorders>
              <w:top w:val="double" w:sz="6" w:space="0" w:color="auto"/>
              <w:bottom w:val="double" w:sz="6" w:space="0" w:color="auto"/>
              <w:right w:val="nil"/>
            </w:tcBorders>
          </w:tcPr>
          <w:p w:rsidR="00B710D4" w:rsidRPr="00A128DC" w:rsidP="00CC75F9" w14:paraId="4BC14216" w14:textId="77777777">
            <w:pPr>
              <w:keepNext/>
              <w:tabs>
                <w:tab w:val="left" w:pos="0"/>
              </w:tabs>
              <w:spacing w:before="90" w:after="54" w:line="226" w:lineRule="auto"/>
              <w:jc w:val="center"/>
              <w:rPr>
                <w:szCs w:val="22"/>
              </w:rPr>
            </w:pPr>
            <w:r w:rsidRPr="00A128DC">
              <w:rPr>
                <w:szCs w:val="22"/>
              </w:rPr>
              <w:t>Application of True-Ups</w:t>
            </w:r>
            <w:r>
              <w:rPr>
                <w:szCs w:val="22"/>
              </w:rPr>
              <w:t xml:space="preserve"> &amp; Adjustments</w:t>
            </w:r>
          </w:p>
        </w:tc>
        <w:tc>
          <w:tcPr>
            <w:tcW w:w="1650" w:type="dxa"/>
            <w:tcBorders>
              <w:top w:val="double" w:sz="6" w:space="0" w:color="auto"/>
              <w:left w:val="double" w:sz="6" w:space="0" w:color="auto"/>
              <w:bottom w:val="nil"/>
              <w:right w:val="double" w:sz="6" w:space="0" w:color="auto"/>
            </w:tcBorders>
          </w:tcPr>
          <w:p w:rsidR="00B710D4" w:rsidRPr="00A128DC" w:rsidP="00CC75F9" w14:paraId="50112959" w14:textId="77777777">
            <w:pPr>
              <w:keepNext/>
              <w:tabs>
                <w:tab w:val="left" w:pos="0"/>
              </w:tabs>
              <w:spacing w:before="90" w:after="54" w:line="226" w:lineRule="auto"/>
              <w:jc w:val="center"/>
              <w:rPr>
                <w:szCs w:val="22"/>
              </w:rPr>
            </w:pPr>
            <w:r w:rsidRPr="00A128DC">
              <w:rPr>
                <w:szCs w:val="22"/>
              </w:rPr>
              <w:t>Total Program Collection</w:t>
            </w:r>
            <w:r>
              <w:rPr>
                <w:szCs w:val="22"/>
              </w:rPr>
              <w:t xml:space="preserve"> (Revenue Requirement)</w:t>
            </w:r>
          </w:p>
        </w:tc>
      </w:tr>
      <w:tr w14:paraId="7BBD9E50" w14:textId="77777777" w:rsidTr="00B710D4">
        <w:tblPrEx>
          <w:tblW w:w="8820" w:type="dxa"/>
          <w:jc w:val="right"/>
          <w:tblLayout w:type="fixed"/>
          <w:tblCellMar>
            <w:left w:w="120" w:type="dxa"/>
            <w:right w:w="120" w:type="dxa"/>
          </w:tblCellMar>
          <w:tblLook w:val="0000"/>
        </w:tblPrEx>
        <w:trPr>
          <w:trHeight w:hRule="exact" w:val="389"/>
          <w:jc w:val="right"/>
        </w:trPr>
        <w:tc>
          <w:tcPr>
            <w:tcW w:w="2340" w:type="dxa"/>
            <w:tcBorders>
              <w:top w:val="double" w:sz="6" w:space="0" w:color="auto"/>
              <w:left w:val="double" w:sz="6" w:space="0" w:color="auto"/>
              <w:bottom w:val="nil"/>
            </w:tcBorders>
            <w:vAlign w:val="bottom"/>
          </w:tcPr>
          <w:p w:rsidR="00B710D4" w:rsidRPr="00A128DC" w:rsidP="00CC75F9" w14:paraId="75A05439" w14:textId="77777777">
            <w:pPr>
              <w:keepNext/>
              <w:tabs>
                <w:tab w:val="left" w:pos="0"/>
              </w:tabs>
              <w:spacing w:before="90" w:after="54" w:line="226" w:lineRule="auto"/>
              <w:jc w:val="center"/>
              <w:rPr>
                <w:szCs w:val="22"/>
              </w:rPr>
            </w:pPr>
            <w:r w:rsidRPr="00A128DC">
              <w:rPr>
                <w:szCs w:val="22"/>
              </w:rPr>
              <w:t>Schools and Libraries</w:t>
            </w:r>
          </w:p>
        </w:tc>
        <w:tc>
          <w:tcPr>
            <w:tcW w:w="1590" w:type="dxa"/>
            <w:tcBorders>
              <w:top w:val="nil"/>
            </w:tcBorders>
            <w:vAlign w:val="bottom"/>
          </w:tcPr>
          <w:p w:rsidR="00B710D4" w:rsidRPr="00ED4FA0" w:rsidP="00B710D4" w14:paraId="22CC0C84" w14:textId="77777777">
            <w:pPr>
              <w:jc w:val="center"/>
              <w:rPr>
                <w:szCs w:val="22"/>
              </w:rPr>
            </w:pPr>
            <w:r>
              <w:rPr>
                <w:szCs w:val="22"/>
              </w:rPr>
              <w:t xml:space="preserve">     </w:t>
            </w:r>
            <w:r w:rsidR="00776DD2">
              <w:rPr>
                <w:szCs w:val="22"/>
              </w:rPr>
              <w:t>534.10</w:t>
            </w:r>
            <w:r>
              <w:rPr>
                <w:szCs w:val="22"/>
              </w:rPr>
              <w:t xml:space="preserve">       </w:t>
            </w:r>
          </w:p>
        </w:tc>
        <w:tc>
          <w:tcPr>
            <w:tcW w:w="1620" w:type="dxa"/>
            <w:tcBorders>
              <w:top w:val="nil"/>
            </w:tcBorders>
            <w:vAlign w:val="bottom"/>
          </w:tcPr>
          <w:p w:rsidR="00B710D4" w:rsidRPr="00ED4FA0" w:rsidP="00B710D4" w14:paraId="0908D689" w14:textId="77777777">
            <w:pPr>
              <w:rPr>
                <w:szCs w:val="22"/>
              </w:rPr>
            </w:pPr>
            <w:r>
              <w:rPr>
                <w:szCs w:val="22"/>
              </w:rPr>
              <w:t xml:space="preserve">          </w:t>
            </w:r>
            <w:r w:rsidR="00391AF5">
              <w:rPr>
                <w:szCs w:val="22"/>
              </w:rPr>
              <w:t>19</w:t>
            </w:r>
            <w:r>
              <w:rPr>
                <w:szCs w:val="22"/>
              </w:rPr>
              <w:t>.</w:t>
            </w:r>
            <w:r w:rsidR="00391AF5">
              <w:rPr>
                <w:szCs w:val="22"/>
              </w:rPr>
              <w:t>79</w:t>
            </w:r>
            <w:r>
              <w:rPr>
                <w:szCs w:val="22"/>
              </w:rPr>
              <w:t xml:space="preserve">          </w:t>
            </w:r>
          </w:p>
        </w:tc>
        <w:tc>
          <w:tcPr>
            <w:tcW w:w="1620" w:type="dxa"/>
            <w:tcBorders>
              <w:top w:val="nil"/>
              <w:right w:val="nil"/>
            </w:tcBorders>
            <w:vAlign w:val="bottom"/>
          </w:tcPr>
          <w:p w:rsidR="00B710D4" w:rsidRPr="00ED4FA0" w:rsidP="00AE4841" w14:paraId="331AEA30" w14:textId="77777777">
            <w:pPr>
              <w:jc w:val="center"/>
              <w:rPr>
                <w:szCs w:val="22"/>
              </w:rPr>
            </w:pPr>
            <w:r w:rsidRPr="00ED4FA0">
              <w:rPr>
                <w:szCs w:val="22"/>
              </w:rPr>
              <w:t xml:space="preserve">     </w:t>
            </w:r>
            <w:r w:rsidR="00391AF5">
              <w:rPr>
                <w:szCs w:val="22"/>
              </w:rPr>
              <w:t>57</w:t>
            </w:r>
            <w:r>
              <w:rPr>
                <w:szCs w:val="22"/>
              </w:rPr>
              <w:t>.</w:t>
            </w:r>
            <w:r w:rsidR="00776DD2">
              <w:rPr>
                <w:szCs w:val="22"/>
              </w:rPr>
              <w:t>3</w:t>
            </w:r>
            <w:r w:rsidR="00391AF5">
              <w:rPr>
                <w:szCs w:val="22"/>
              </w:rPr>
              <w:t>8</w:t>
            </w:r>
            <w:r>
              <w:rPr>
                <w:szCs w:val="22"/>
              </w:rPr>
              <w:t xml:space="preserve">      </w:t>
            </w:r>
          </w:p>
        </w:tc>
        <w:tc>
          <w:tcPr>
            <w:tcW w:w="1650" w:type="dxa"/>
            <w:tcBorders>
              <w:top w:val="double" w:sz="6" w:space="0" w:color="auto"/>
              <w:left w:val="double" w:sz="6" w:space="0" w:color="auto"/>
              <w:bottom w:val="single" w:sz="6" w:space="0" w:color="auto"/>
              <w:right w:val="double" w:sz="6" w:space="0" w:color="auto"/>
            </w:tcBorders>
            <w:vAlign w:val="bottom"/>
          </w:tcPr>
          <w:p w:rsidR="00B710D4" w:rsidRPr="00ED4FA0" w:rsidP="00163F05" w14:paraId="2A96F18E" w14:textId="77777777">
            <w:pPr>
              <w:jc w:val="center"/>
              <w:rPr>
                <w:szCs w:val="22"/>
              </w:rPr>
            </w:pPr>
            <w:r>
              <w:rPr>
                <w:szCs w:val="22"/>
              </w:rPr>
              <w:t xml:space="preserve"> </w:t>
            </w:r>
            <w:r w:rsidR="00391AF5">
              <w:rPr>
                <w:szCs w:val="22"/>
              </w:rPr>
              <w:t>611</w:t>
            </w:r>
            <w:r>
              <w:rPr>
                <w:szCs w:val="22"/>
              </w:rPr>
              <w:t>.</w:t>
            </w:r>
            <w:r w:rsidR="00391AF5">
              <w:rPr>
                <w:szCs w:val="22"/>
              </w:rPr>
              <w:t>27</w:t>
            </w:r>
            <w:r>
              <w:rPr>
                <w:szCs w:val="22"/>
              </w:rPr>
              <w:t xml:space="preserve">          </w:t>
            </w:r>
          </w:p>
        </w:tc>
      </w:tr>
      <w:tr w14:paraId="01E6170E" w14:textId="77777777" w:rsidTr="00B710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346F5913" w14:textId="77777777">
            <w:pPr>
              <w:keepNext/>
              <w:tabs>
                <w:tab w:val="left" w:pos="0"/>
              </w:tabs>
              <w:spacing w:before="90" w:after="54" w:line="226" w:lineRule="auto"/>
              <w:jc w:val="center"/>
              <w:rPr>
                <w:szCs w:val="22"/>
              </w:rPr>
            </w:pPr>
            <w:r w:rsidRPr="00A128DC">
              <w:rPr>
                <w:szCs w:val="22"/>
              </w:rPr>
              <w:t>Rural Health Care</w:t>
            </w:r>
            <w:r>
              <w:rPr>
                <w:rStyle w:val="FootnoteReference"/>
                <w:szCs w:val="22"/>
              </w:rPr>
              <w:footnoteReference w:id="7"/>
            </w:r>
          </w:p>
        </w:tc>
        <w:tc>
          <w:tcPr>
            <w:tcW w:w="1590" w:type="dxa"/>
            <w:vAlign w:val="bottom"/>
          </w:tcPr>
          <w:p w:rsidR="00B710D4" w:rsidRPr="00ED4FA0" w:rsidP="00B710D4" w14:paraId="2EB90B0A" w14:textId="77777777">
            <w:pPr>
              <w:jc w:val="center"/>
              <w:rPr>
                <w:szCs w:val="22"/>
              </w:rPr>
            </w:pPr>
            <w:r>
              <w:rPr>
                <w:szCs w:val="22"/>
              </w:rPr>
              <w:t xml:space="preserve">     1</w:t>
            </w:r>
            <w:r w:rsidR="00CA177B">
              <w:rPr>
                <w:szCs w:val="22"/>
              </w:rPr>
              <w:t>51</w:t>
            </w:r>
            <w:r>
              <w:rPr>
                <w:szCs w:val="22"/>
              </w:rPr>
              <w:t>.</w:t>
            </w:r>
            <w:r w:rsidR="00CA177B">
              <w:rPr>
                <w:szCs w:val="22"/>
              </w:rPr>
              <w:t>19</w:t>
            </w:r>
            <w:r w:rsidRPr="00ED4FA0">
              <w:rPr>
                <w:szCs w:val="22"/>
              </w:rPr>
              <w:t xml:space="preserve"> </w:t>
            </w:r>
          </w:p>
        </w:tc>
        <w:tc>
          <w:tcPr>
            <w:tcW w:w="1620" w:type="dxa"/>
            <w:vAlign w:val="bottom"/>
          </w:tcPr>
          <w:p w:rsidR="00B710D4" w:rsidRPr="00ED4FA0" w:rsidP="00B710D4" w14:paraId="0BE95002" w14:textId="77777777">
            <w:pPr>
              <w:jc w:val="center"/>
              <w:rPr>
                <w:szCs w:val="22"/>
              </w:rPr>
            </w:pPr>
            <w:r>
              <w:rPr>
                <w:szCs w:val="22"/>
              </w:rPr>
              <w:t xml:space="preserve">     0.00</w:t>
            </w:r>
          </w:p>
        </w:tc>
        <w:tc>
          <w:tcPr>
            <w:tcW w:w="1620" w:type="dxa"/>
            <w:tcBorders>
              <w:right w:val="nil"/>
            </w:tcBorders>
            <w:vAlign w:val="bottom"/>
          </w:tcPr>
          <w:p w:rsidR="00B710D4" w:rsidRPr="00ED4FA0" w:rsidP="00AE4841" w14:paraId="10AF1A3F" w14:textId="77777777">
            <w:pPr>
              <w:jc w:val="center"/>
              <w:rPr>
                <w:szCs w:val="22"/>
              </w:rPr>
            </w:pPr>
            <w:r w:rsidRPr="00ED4FA0">
              <w:rPr>
                <w:szCs w:val="22"/>
              </w:rPr>
              <w:t xml:space="preserve">    </w:t>
            </w:r>
            <w:r>
              <w:rPr>
                <w:szCs w:val="22"/>
              </w:rPr>
              <w:t xml:space="preserve">  </w:t>
            </w:r>
            <w:r w:rsidR="00391AF5">
              <w:rPr>
                <w:szCs w:val="22"/>
              </w:rPr>
              <w:t>15</w:t>
            </w:r>
            <w:r>
              <w:rPr>
                <w:szCs w:val="22"/>
              </w:rPr>
              <w:t>.</w:t>
            </w:r>
            <w:r w:rsidR="00E47BD4">
              <w:rPr>
                <w:szCs w:val="22"/>
              </w:rPr>
              <w:t>6</w:t>
            </w:r>
            <w:r w:rsidR="00391AF5">
              <w:rPr>
                <w:szCs w:val="22"/>
              </w:rPr>
              <w:t>9</w:t>
            </w:r>
          </w:p>
        </w:tc>
        <w:tc>
          <w:tcPr>
            <w:tcW w:w="1650" w:type="dxa"/>
            <w:tcBorders>
              <w:top w:val="nil"/>
              <w:left w:val="double" w:sz="6" w:space="0" w:color="auto"/>
              <w:bottom w:val="single" w:sz="6" w:space="0" w:color="auto"/>
              <w:right w:val="double" w:sz="6" w:space="0" w:color="auto"/>
            </w:tcBorders>
            <w:vAlign w:val="bottom"/>
          </w:tcPr>
          <w:p w:rsidR="00B710D4" w:rsidRPr="00ED4FA0" w:rsidP="00AE4841" w14:paraId="288E9B3C" w14:textId="77777777">
            <w:pPr>
              <w:jc w:val="center"/>
              <w:rPr>
                <w:szCs w:val="22"/>
              </w:rPr>
            </w:pPr>
            <w:r>
              <w:rPr>
                <w:szCs w:val="22"/>
              </w:rPr>
              <w:t xml:space="preserve"> </w:t>
            </w:r>
            <w:r>
              <w:rPr>
                <w:szCs w:val="22"/>
              </w:rPr>
              <w:t>1</w:t>
            </w:r>
            <w:r w:rsidR="00391AF5">
              <w:rPr>
                <w:szCs w:val="22"/>
              </w:rPr>
              <w:t>66</w:t>
            </w:r>
            <w:r>
              <w:rPr>
                <w:szCs w:val="22"/>
              </w:rPr>
              <w:t>.</w:t>
            </w:r>
            <w:r w:rsidR="00391AF5">
              <w:rPr>
                <w:szCs w:val="22"/>
              </w:rPr>
              <w:t>88</w:t>
            </w:r>
          </w:p>
        </w:tc>
      </w:tr>
      <w:tr w14:paraId="450E0C07" w14:textId="77777777" w:rsidTr="00E47B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730F27C9" w14:textId="77777777">
            <w:pPr>
              <w:keepNext/>
              <w:tabs>
                <w:tab w:val="left" w:pos="0"/>
              </w:tabs>
              <w:spacing w:before="90" w:after="54" w:line="226" w:lineRule="auto"/>
              <w:jc w:val="center"/>
              <w:rPr>
                <w:szCs w:val="22"/>
              </w:rPr>
            </w:pPr>
            <w:r w:rsidRPr="00A128DC">
              <w:rPr>
                <w:szCs w:val="22"/>
              </w:rPr>
              <w:t>High-Cost</w:t>
            </w:r>
          </w:p>
        </w:tc>
        <w:tc>
          <w:tcPr>
            <w:tcW w:w="1590" w:type="dxa"/>
            <w:vAlign w:val="bottom"/>
          </w:tcPr>
          <w:p w:rsidR="00B710D4" w:rsidRPr="00ED4FA0" w:rsidP="00B710D4" w14:paraId="2776309A" w14:textId="77777777">
            <w:pPr>
              <w:jc w:val="center"/>
              <w:rPr>
                <w:szCs w:val="22"/>
              </w:rPr>
            </w:pPr>
            <w:r>
              <w:rPr>
                <w:szCs w:val="22"/>
              </w:rPr>
              <w:t xml:space="preserve">  1</w:t>
            </w:r>
            <w:r w:rsidRPr="00ED4FA0">
              <w:rPr>
                <w:szCs w:val="22"/>
              </w:rPr>
              <w:t>,</w:t>
            </w:r>
            <w:r>
              <w:rPr>
                <w:szCs w:val="22"/>
              </w:rPr>
              <w:t>2</w:t>
            </w:r>
            <w:r w:rsidR="00391AF5">
              <w:rPr>
                <w:szCs w:val="22"/>
              </w:rPr>
              <w:t>15</w:t>
            </w:r>
            <w:r>
              <w:rPr>
                <w:szCs w:val="22"/>
              </w:rPr>
              <w:t>.</w:t>
            </w:r>
            <w:r w:rsidR="00391AF5">
              <w:rPr>
                <w:szCs w:val="22"/>
              </w:rPr>
              <w:t>5</w:t>
            </w:r>
            <w:r w:rsidR="00CA177B">
              <w:rPr>
                <w:szCs w:val="22"/>
              </w:rPr>
              <w:t>1</w:t>
            </w:r>
          </w:p>
        </w:tc>
        <w:tc>
          <w:tcPr>
            <w:tcW w:w="1620" w:type="dxa"/>
            <w:vAlign w:val="bottom"/>
          </w:tcPr>
          <w:p w:rsidR="00B710D4" w:rsidRPr="00ED4FA0" w:rsidP="00B710D4" w14:paraId="7C33419C" w14:textId="77777777">
            <w:pPr>
              <w:jc w:val="center"/>
              <w:rPr>
                <w:szCs w:val="22"/>
              </w:rPr>
            </w:pPr>
            <w:r>
              <w:rPr>
                <w:szCs w:val="22"/>
              </w:rPr>
              <w:t xml:space="preserve">   16.</w:t>
            </w:r>
            <w:r w:rsidR="00C12083">
              <w:rPr>
                <w:szCs w:val="22"/>
              </w:rPr>
              <w:t>5</w:t>
            </w:r>
            <w:r w:rsidR="00391AF5">
              <w:rPr>
                <w:szCs w:val="22"/>
              </w:rPr>
              <w:t>0</w:t>
            </w:r>
          </w:p>
        </w:tc>
        <w:tc>
          <w:tcPr>
            <w:tcW w:w="1620" w:type="dxa"/>
            <w:tcBorders>
              <w:right w:val="nil"/>
            </w:tcBorders>
            <w:vAlign w:val="bottom"/>
          </w:tcPr>
          <w:p w:rsidR="00B710D4" w:rsidRPr="00ED4FA0" w:rsidP="00AE4841" w14:paraId="5568EA51" w14:textId="77777777">
            <w:pPr>
              <w:jc w:val="center"/>
              <w:rPr>
                <w:szCs w:val="22"/>
              </w:rPr>
            </w:pPr>
            <w:r w:rsidRPr="00ED4FA0">
              <w:rPr>
                <w:szCs w:val="22"/>
              </w:rPr>
              <w:t xml:space="preserve">   </w:t>
            </w:r>
            <w:r w:rsidR="00391AF5">
              <w:rPr>
                <w:szCs w:val="22"/>
              </w:rPr>
              <w:t>127.18</w:t>
            </w:r>
          </w:p>
        </w:tc>
        <w:tc>
          <w:tcPr>
            <w:tcW w:w="1650" w:type="dxa"/>
            <w:tcBorders>
              <w:top w:val="nil"/>
              <w:left w:val="double" w:sz="6" w:space="0" w:color="auto"/>
              <w:bottom w:val="single" w:sz="6" w:space="0" w:color="auto"/>
              <w:right w:val="double" w:sz="6" w:space="0" w:color="auto"/>
            </w:tcBorders>
            <w:vAlign w:val="bottom"/>
          </w:tcPr>
          <w:p w:rsidR="00B710D4" w:rsidRPr="00ED4FA0" w:rsidP="00163F05" w14:paraId="34F20DF4" w14:textId="77777777">
            <w:pPr>
              <w:rPr>
                <w:szCs w:val="22"/>
              </w:rPr>
            </w:pPr>
            <w:r>
              <w:rPr>
                <w:szCs w:val="22"/>
              </w:rPr>
              <w:t xml:space="preserve">    </w:t>
            </w:r>
            <w:r w:rsidR="00964396">
              <w:rPr>
                <w:szCs w:val="22"/>
              </w:rPr>
              <w:t xml:space="preserve"> </w:t>
            </w:r>
            <w:r>
              <w:rPr>
                <w:szCs w:val="22"/>
              </w:rPr>
              <w:t>1</w:t>
            </w:r>
            <w:r w:rsidRPr="00ED4FA0">
              <w:rPr>
                <w:szCs w:val="22"/>
              </w:rPr>
              <w:t>,</w:t>
            </w:r>
            <w:r w:rsidR="00391AF5">
              <w:rPr>
                <w:szCs w:val="22"/>
              </w:rPr>
              <w:t>3</w:t>
            </w:r>
            <w:r w:rsidR="00C12083">
              <w:rPr>
                <w:szCs w:val="22"/>
              </w:rPr>
              <w:t>5</w:t>
            </w:r>
            <w:r w:rsidR="00391AF5">
              <w:rPr>
                <w:szCs w:val="22"/>
              </w:rPr>
              <w:t>9</w:t>
            </w:r>
            <w:r>
              <w:rPr>
                <w:szCs w:val="22"/>
              </w:rPr>
              <w:t>.</w:t>
            </w:r>
            <w:r w:rsidR="00391AF5">
              <w:rPr>
                <w:szCs w:val="22"/>
              </w:rPr>
              <w:t>1</w:t>
            </w:r>
            <w:r w:rsidR="00E47BD4">
              <w:rPr>
                <w:szCs w:val="22"/>
              </w:rPr>
              <w:t>9</w:t>
            </w:r>
          </w:p>
        </w:tc>
      </w:tr>
      <w:tr w14:paraId="5D907EE9" w14:textId="77777777" w:rsidTr="00E47B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14:paraId="46F03FD6" w14:textId="77777777">
            <w:pPr>
              <w:keepNext/>
              <w:tabs>
                <w:tab w:val="left" w:pos="0"/>
              </w:tabs>
              <w:spacing w:before="90" w:after="54" w:line="226" w:lineRule="auto"/>
              <w:jc w:val="center"/>
              <w:rPr>
                <w:szCs w:val="22"/>
              </w:rPr>
            </w:pPr>
            <w:r w:rsidRPr="00A128DC">
              <w:rPr>
                <w:szCs w:val="22"/>
              </w:rPr>
              <w:t>L</w:t>
            </w:r>
            <w:r>
              <w:rPr>
                <w:szCs w:val="22"/>
              </w:rPr>
              <w:t>ifeline</w:t>
            </w:r>
          </w:p>
        </w:tc>
        <w:tc>
          <w:tcPr>
            <w:tcW w:w="1590" w:type="dxa"/>
            <w:tcBorders>
              <w:bottom w:val="nil"/>
            </w:tcBorders>
            <w:vAlign w:val="bottom"/>
          </w:tcPr>
          <w:p w:rsidR="00B710D4" w:rsidRPr="00ED4FA0" w:rsidP="005E2466" w14:paraId="09CDBFAD" w14:textId="77777777">
            <w:pPr>
              <w:jc w:val="center"/>
              <w:rPr>
                <w:szCs w:val="22"/>
              </w:rPr>
            </w:pPr>
            <w:r>
              <w:rPr>
                <w:szCs w:val="22"/>
              </w:rPr>
              <w:t xml:space="preserve">     </w:t>
            </w:r>
            <w:r w:rsidR="0071264A">
              <w:rPr>
                <w:szCs w:val="22"/>
              </w:rPr>
              <w:t>2</w:t>
            </w:r>
            <w:r w:rsidR="00391AF5">
              <w:rPr>
                <w:szCs w:val="22"/>
              </w:rPr>
              <w:t>1</w:t>
            </w:r>
            <w:r w:rsidR="00C12083">
              <w:rPr>
                <w:szCs w:val="22"/>
              </w:rPr>
              <w:t>5</w:t>
            </w:r>
            <w:r>
              <w:rPr>
                <w:szCs w:val="22"/>
              </w:rPr>
              <w:t>.</w:t>
            </w:r>
            <w:r w:rsidR="00391AF5">
              <w:rPr>
                <w:szCs w:val="22"/>
              </w:rPr>
              <w:t>33</w:t>
            </w:r>
          </w:p>
        </w:tc>
        <w:tc>
          <w:tcPr>
            <w:tcW w:w="1620" w:type="dxa"/>
            <w:tcBorders>
              <w:bottom w:val="nil"/>
            </w:tcBorders>
            <w:vAlign w:val="bottom"/>
          </w:tcPr>
          <w:p w:rsidR="00B710D4" w:rsidRPr="00ED4FA0" w:rsidP="00B710D4" w14:paraId="353EF58A" w14:textId="77777777">
            <w:pPr>
              <w:jc w:val="center"/>
              <w:rPr>
                <w:szCs w:val="22"/>
              </w:rPr>
            </w:pPr>
            <w:r>
              <w:rPr>
                <w:szCs w:val="22"/>
              </w:rPr>
              <w:t xml:space="preserve">   1</w:t>
            </w:r>
            <w:r w:rsidR="007765E2">
              <w:rPr>
                <w:szCs w:val="22"/>
              </w:rPr>
              <w:t>6</w:t>
            </w:r>
            <w:r>
              <w:rPr>
                <w:szCs w:val="22"/>
              </w:rPr>
              <w:t>.</w:t>
            </w:r>
            <w:r w:rsidR="00391AF5">
              <w:rPr>
                <w:szCs w:val="22"/>
              </w:rPr>
              <w:t>37</w:t>
            </w:r>
          </w:p>
        </w:tc>
        <w:tc>
          <w:tcPr>
            <w:tcW w:w="1620" w:type="dxa"/>
            <w:tcBorders>
              <w:bottom w:val="nil"/>
              <w:right w:val="nil"/>
            </w:tcBorders>
            <w:vAlign w:val="bottom"/>
          </w:tcPr>
          <w:p w:rsidR="00B710D4" w:rsidRPr="00ED4FA0" w:rsidP="00AE4841" w14:paraId="4B5E709F" w14:textId="77777777">
            <w:pPr>
              <w:jc w:val="center"/>
              <w:rPr>
                <w:szCs w:val="22"/>
              </w:rPr>
            </w:pPr>
            <w:r w:rsidRPr="00ED4FA0">
              <w:rPr>
                <w:szCs w:val="22"/>
              </w:rPr>
              <w:t xml:space="preserve">   </w:t>
            </w:r>
            <w:r w:rsidR="00CA177B">
              <w:rPr>
                <w:szCs w:val="22"/>
              </w:rPr>
              <w:t xml:space="preserve"> </w:t>
            </w:r>
            <w:r w:rsidR="00E47BD4">
              <w:rPr>
                <w:szCs w:val="22"/>
              </w:rPr>
              <w:t xml:space="preserve">  </w:t>
            </w:r>
            <w:r w:rsidR="00391AF5">
              <w:rPr>
                <w:szCs w:val="22"/>
              </w:rPr>
              <w:t>30.62</w:t>
            </w:r>
          </w:p>
        </w:tc>
        <w:tc>
          <w:tcPr>
            <w:tcW w:w="1650" w:type="dxa"/>
            <w:tcBorders>
              <w:top w:val="single" w:sz="6" w:space="0" w:color="auto"/>
              <w:left w:val="double" w:sz="6" w:space="0" w:color="auto"/>
              <w:bottom w:val="single" w:sz="4" w:space="0" w:color="auto"/>
              <w:right w:val="double" w:sz="6" w:space="0" w:color="auto"/>
            </w:tcBorders>
            <w:vAlign w:val="bottom"/>
          </w:tcPr>
          <w:p w:rsidR="00B710D4" w:rsidRPr="00ED4FA0" w:rsidP="00D37EE5" w14:paraId="0113542A" w14:textId="77777777">
            <w:pPr>
              <w:jc w:val="center"/>
              <w:rPr>
                <w:szCs w:val="22"/>
              </w:rPr>
            </w:pPr>
            <w:r>
              <w:rPr>
                <w:szCs w:val="22"/>
              </w:rPr>
              <w:t xml:space="preserve"> 2</w:t>
            </w:r>
            <w:r w:rsidR="00391AF5">
              <w:rPr>
                <w:szCs w:val="22"/>
              </w:rPr>
              <w:t>62</w:t>
            </w:r>
            <w:r w:rsidR="00E47BD4">
              <w:rPr>
                <w:szCs w:val="22"/>
              </w:rPr>
              <w:t>.</w:t>
            </w:r>
            <w:r w:rsidR="00391AF5">
              <w:rPr>
                <w:szCs w:val="22"/>
              </w:rPr>
              <w:t>32</w:t>
            </w:r>
          </w:p>
        </w:tc>
      </w:tr>
      <w:tr w14:paraId="65D5DC0D" w14:textId="77777777" w:rsidTr="00E47BD4">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7765E2" w:rsidRPr="00A128DC" w:rsidP="00CC75F9" w14:paraId="0B619E92" w14:textId="77777777">
            <w:pPr>
              <w:keepNext/>
              <w:tabs>
                <w:tab w:val="left" w:pos="0"/>
              </w:tabs>
              <w:spacing w:before="90" w:after="54" w:line="226" w:lineRule="auto"/>
              <w:jc w:val="center"/>
              <w:rPr>
                <w:szCs w:val="22"/>
              </w:rPr>
            </w:pPr>
            <w:r>
              <w:rPr>
                <w:szCs w:val="22"/>
              </w:rPr>
              <w:t>Connected Care</w:t>
            </w:r>
          </w:p>
        </w:tc>
        <w:tc>
          <w:tcPr>
            <w:tcW w:w="1590" w:type="dxa"/>
            <w:tcBorders>
              <w:bottom w:val="nil"/>
            </w:tcBorders>
            <w:vAlign w:val="bottom"/>
          </w:tcPr>
          <w:p w:rsidR="007765E2" w:rsidP="005E2466" w14:paraId="3B0CF186" w14:textId="77777777">
            <w:pPr>
              <w:jc w:val="center"/>
              <w:rPr>
                <w:szCs w:val="22"/>
              </w:rPr>
            </w:pPr>
            <w:r>
              <w:rPr>
                <w:szCs w:val="22"/>
              </w:rPr>
              <w:t xml:space="preserve">         8.33</w:t>
            </w:r>
          </w:p>
        </w:tc>
        <w:tc>
          <w:tcPr>
            <w:tcW w:w="1620" w:type="dxa"/>
            <w:tcBorders>
              <w:bottom w:val="nil"/>
            </w:tcBorders>
            <w:vAlign w:val="bottom"/>
          </w:tcPr>
          <w:p w:rsidR="007765E2" w:rsidP="00B710D4" w14:paraId="7A9A7B24" w14:textId="77777777">
            <w:pPr>
              <w:jc w:val="center"/>
              <w:rPr>
                <w:szCs w:val="22"/>
              </w:rPr>
            </w:pPr>
            <w:r>
              <w:rPr>
                <w:szCs w:val="22"/>
              </w:rPr>
              <w:t xml:space="preserve">     0.00</w:t>
            </w:r>
          </w:p>
        </w:tc>
        <w:tc>
          <w:tcPr>
            <w:tcW w:w="1620" w:type="dxa"/>
            <w:tcBorders>
              <w:bottom w:val="nil"/>
              <w:right w:val="nil"/>
            </w:tcBorders>
            <w:vAlign w:val="bottom"/>
          </w:tcPr>
          <w:p w:rsidR="007765E2" w:rsidRPr="00ED4FA0" w:rsidP="00AE4841" w14:paraId="13730FA3" w14:textId="77777777">
            <w:pPr>
              <w:jc w:val="center"/>
              <w:rPr>
                <w:szCs w:val="22"/>
              </w:rPr>
            </w:pPr>
            <w:r>
              <w:rPr>
                <w:szCs w:val="22"/>
              </w:rPr>
              <w:t xml:space="preserve">      0.00</w:t>
            </w:r>
          </w:p>
        </w:tc>
        <w:tc>
          <w:tcPr>
            <w:tcW w:w="1650" w:type="dxa"/>
            <w:tcBorders>
              <w:top w:val="single" w:sz="4" w:space="0" w:color="auto"/>
              <w:left w:val="double" w:sz="6" w:space="0" w:color="auto"/>
              <w:bottom w:val="nil"/>
              <w:right w:val="double" w:sz="6" w:space="0" w:color="auto"/>
            </w:tcBorders>
            <w:vAlign w:val="bottom"/>
          </w:tcPr>
          <w:p w:rsidR="007765E2" w:rsidP="00D37EE5" w14:paraId="402BA7EC" w14:textId="77777777">
            <w:pPr>
              <w:jc w:val="center"/>
              <w:rPr>
                <w:szCs w:val="22"/>
              </w:rPr>
            </w:pPr>
            <w:r>
              <w:rPr>
                <w:szCs w:val="22"/>
              </w:rPr>
              <w:t xml:space="preserve">     8.33</w:t>
            </w:r>
          </w:p>
        </w:tc>
      </w:tr>
      <w:tr w14:paraId="6C1F4B3C" w14:textId="77777777" w:rsidTr="00B710D4">
        <w:tblPrEx>
          <w:tblW w:w="8820" w:type="dxa"/>
          <w:jc w:val="right"/>
          <w:tblLayout w:type="fixed"/>
          <w:tblCellMar>
            <w:left w:w="120" w:type="dxa"/>
            <w:right w:w="120" w:type="dxa"/>
          </w:tblCellMar>
          <w:tblLook w:val="0000"/>
        </w:tblPrEx>
        <w:trPr>
          <w:trHeight w:hRule="exact" w:val="432"/>
          <w:jc w:val="right"/>
        </w:trPr>
        <w:tc>
          <w:tcPr>
            <w:tcW w:w="2340" w:type="dxa"/>
            <w:tcBorders>
              <w:top w:val="double" w:sz="6" w:space="0" w:color="auto"/>
              <w:left w:val="double" w:sz="6" w:space="0" w:color="auto"/>
              <w:bottom w:val="double" w:sz="6" w:space="0" w:color="auto"/>
            </w:tcBorders>
            <w:vAlign w:val="bottom"/>
          </w:tcPr>
          <w:p w:rsidR="00B710D4" w:rsidRPr="00A128DC" w:rsidP="00CC75F9" w14:paraId="5867DE53" w14:textId="77777777">
            <w:pPr>
              <w:pStyle w:val="FootnoteText"/>
              <w:keepNext/>
              <w:tabs>
                <w:tab w:val="left" w:pos="0"/>
              </w:tabs>
              <w:spacing w:before="90" w:after="54" w:line="226" w:lineRule="auto"/>
              <w:jc w:val="center"/>
              <w:rPr>
                <w:szCs w:val="22"/>
              </w:rPr>
            </w:pPr>
            <w:r w:rsidRPr="00A128DC">
              <w:rPr>
                <w:szCs w:val="22"/>
              </w:rPr>
              <w:t>TOTAL</w:t>
            </w:r>
          </w:p>
        </w:tc>
        <w:tc>
          <w:tcPr>
            <w:tcW w:w="1590" w:type="dxa"/>
            <w:tcBorders>
              <w:top w:val="double" w:sz="6" w:space="0" w:color="auto"/>
              <w:bottom w:val="double" w:sz="6" w:space="0" w:color="auto"/>
            </w:tcBorders>
            <w:vAlign w:val="bottom"/>
          </w:tcPr>
          <w:p w:rsidR="00B710D4" w:rsidRPr="00ED4FA0" w:rsidP="00B710D4" w14:paraId="23C8FCCE" w14:textId="77777777">
            <w:pPr>
              <w:jc w:val="center"/>
              <w:rPr>
                <w:szCs w:val="22"/>
              </w:rPr>
            </w:pPr>
            <w:r>
              <w:rPr>
                <w:szCs w:val="22"/>
              </w:rPr>
              <w:t xml:space="preserve">  </w:t>
            </w:r>
            <w:r w:rsidR="00CA177B">
              <w:rPr>
                <w:szCs w:val="22"/>
              </w:rPr>
              <w:t>2</w:t>
            </w:r>
            <w:r>
              <w:rPr>
                <w:szCs w:val="22"/>
              </w:rPr>
              <w:t>,</w:t>
            </w:r>
            <w:r w:rsidR="00E47BD4">
              <w:rPr>
                <w:szCs w:val="22"/>
              </w:rPr>
              <w:t>1</w:t>
            </w:r>
            <w:r w:rsidR="00391AF5">
              <w:rPr>
                <w:szCs w:val="22"/>
              </w:rPr>
              <w:t>24</w:t>
            </w:r>
            <w:r>
              <w:rPr>
                <w:szCs w:val="22"/>
              </w:rPr>
              <w:t>.</w:t>
            </w:r>
            <w:r w:rsidR="00391AF5">
              <w:rPr>
                <w:szCs w:val="22"/>
              </w:rPr>
              <w:t>46</w:t>
            </w:r>
          </w:p>
        </w:tc>
        <w:tc>
          <w:tcPr>
            <w:tcW w:w="1620" w:type="dxa"/>
            <w:tcBorders>
              <w:top w:val="double" w:sz="6" w:space="0" w:color="auto"/>
              <w:bottom w:val="double" w:sz="6" w:space="0" w:color="auto"/>
            </w:tcBorders>
            <w:vAlign w:val="bottom"/>
          </w:tcPr>
          <w:p w:rsidR="00B710D4" w:rsidRPr="00ED4FA0" w:rsidP="00B710D4" w14:paraId="70973ED4" w14:textId="77777777">
            <w:pPr>
              <w:jc w:val="center"/>
              <w:rPr>
                <w:szCs w:val="22"/>
              </w:rPr>
            </w:pPr>
            <w:r>
              <w:rPr>
                <w:szCs w:val="22"/>
              </w:rPr>
              <w:t xml:space="preserve">   5</w:t>
            </w:r>
            <w:r w:rsidR="00391AF5">
              <w:rPr>
                <w:szCs w:val="22"/>
              </w:rPr>
              <w:t>2</w:t>
            </w:r>
            <w:r>
              <w:rPr>
                <w:szCs w:val="22"/>
              </w:rPr>
              <w:t>.</w:t>
            </w:r>
            <w:r w:rsidR="007765E2">
              <w:rPr>
                <w:szCs w:val="22"/>
              </w:rPr>
              <w:t>6</w:t>
            </w:r>
            <w:r w:rsidR="00391AF5">
              <w:rPr>
                <w:szCs w:val="22"/>
              </w:rPr>
              <w:t>6</w:t>
            </w:r>
          </w:p>
        </w:tc>
        <w:tc>
          <w:tcPr>
            <w:tcW w:w="1620" w:type="dxa"/>
            <w:tcBorders>
              <w:top w:val="double" w:sz="6" w:space="0" w:color="auto"/>
              <w:bottom w:val="double" w:sz="6" w:space="0" w:color="auto"/>
              <w:right w:val="nil"/>
            </w:tcBorders>
            <w:vAlign w:val="bottom"/>
          </w:tcPr>
          <w:p w:rsidR="00B710D4" w:rsidRPr="00ED4FA0" w:rsidP="00D37EE5" w14:paraId="75523C9B" w14:textId="77777777">
            <w:pPr>
              <w:jc w:val="center"/>
              <w:rPr>
                <w:szCs w:val="22"/>
              </w:rPr>
            </w:pPr>
            <w:r>
              <w:rPr>
                <w:szCs w:val="22"/>
              </w:rPr>
              <w:t xml:space="preserve">  </w:t>
            </w:r>
            <w:r w:rsidR="00CA177B">
              <w:rPr>
                <w:szCs w:val="22"/>
              </w:rPr>
              <w:t xml:space="preserve">  </w:t>
            </w:r>
            <w:r w:rsidR="00391AF5">
              <w:rPr>
                <w:szCs w:val="22"/>
              </w:rPr>
              <w:t>230</w:t>
            </w:r>
            <w:r>
              <w:rPr>
                <w:szCs w:val="22"/>
              </w:rPr>
              <w:t>.</w:t>
            </w:r>
            <w:r w:rsidR="00391AF5">
              <w:rPr>
                <w:szCs w:val="22"/>
              </w:rPr>
              <w:t>87</w:t>
            </w:r>
            <w:r w:rsidRPr="00ED4FA0">
              <w:rPr>
                <w:szCs w:val="22"/>
              </w:rPr>
              <w:t xml:space="preserve">      </w:t>
            </w:r>
          </w:p>
        </w:tc>
        <w:tc>
          <w:tcPr>
            <w:tcW w:w="1650" w:type="dxa"/>
            <w:tcBorders>
              <w:top w:val="double" w:sz="6" w:space="0" w:color="auto"/>
              <w:left w:val="double" w:sz="6" w:space="0" w:color="auto"/>
              <w:bottom w:val="double" w:sz="6" w:space="0" w:color="auto"/>
              <w:right w:val="double" w:sz="6" w:space="0" w:color="auto"/>
            </w:tcBorders>
            <w:vAlign w:val="bottom"/>
          </w:tcPr>
          <w:p w:rsidR="00B710D4" w:rsidRPr="00ED4FA0" w:rsidP="00163F05" w14:paraId="6EEBEE3B" w14:textId="77777777">
            <w:pPr>
              <w:rPr>
                <w:szCs w:val="22"/>
              </w:rPr>
            </w:pPr>
            <w:r>
              <w:rPr>
                <w:szCs w:val="22"/>
              </w:rPr>
              <w:t xml:space="preserve">    </w:t>
            </w:r>
            <w:r w:rsidR="00964396">
              <w:rPr>
                <w:szCs w:val="22"/>
              </w:rPr>
              <w:t xml:space="preserve"> </w:t>
            </w:r>
            <w:r w:rsidR="00CA177B">
              <w:rPr>
                <w:szCs w:val="22"/>
              </w:rPr>
              <w:t>2</w:t>
            </w:r>
            <w:r>
              <w:rPr>
                <w:szCs w:val="22"/>
              </w:rPr>
              <w:t>,</w:t>
            </w:r>
            <w:r w:rsidR="00391AF5">
              <w:rPr>
                <w:szCs w:val="22"/>
              </w:rPr>
              <w:t>4</w:t>
            </w:r>
            <w:r w:rsidR="00E47BD4">
              <w:rPr>
                <w:szCs w:val="22"/>
              </w:rPr>
              <w:t>0</w:t>
            </w:r>
            <w:r w:rsidR="00391AF5">
              <w:rPr>
                <w:szCs w:val="22"/>
              </w:rPr>
              <w:t>7</w:t>
            </w:r>
            <w:r>
              <w:rPr>
                <w:szCs w:val="22"/>
              </w:rPr>
              <w:t>.</w:t>
            </w:r>
            <w:r w:rsidR="00391AF5">
              <w:rPr>
                <w:szCs w:val="22"/>
              </w:rPr>
              <w:t>9</w:t>
            </w:r>
            <w:r w:rsidR="00E47BD4">
              <w:rPr>
                <w:szCs w:val="22"/>
              </w:rPr>
              <w:t>9</w:t>
            </w:r>
            <w:r w:rsidR="00A664DE">
              <w:rPr>
                <w:szCs w:val="22"/>
              </w:rPr>
              <w:t xml:space="preserve"> </w:t>
            </w:r>
          </w:p>
        </w:tc>
      </w:tr>
    </w:tbl>
    <w:p w:rsidR="00C80814" w:rsidRPr="00A128DC" w:rsidP="00C80814" w14:paraId="07963C1B" w14:textId="77777777">
      <w:pPr>
        <w:rPr>
          <w:b/>
          <w:szCs w:val="22"/>
          <w:u w:val="single"/>
        </w:rPr>
      </w:pPr>
    </w:p>
    <w:p w:rsidR="00C80814" w:rsidRPr="00A128DC" w:rsidP="00C80814" w14:paraId="298C7C4D" w14:textId="77777777">
      <w:pPr>
        <w:rPr>
          <w:b/>
          <w:szCs w:val="22"/>
          <w:u w:val="single"/>
        </w:rPr>
      </w:pPr>
      <w:r w:rsidRPr="00A128DC">
        <w:rPr>
          <w:b/>
          <w:szCs w:val="22"/>
          <w:u w:val="single"/>
        </w:rPr>
        <w:t>USAC Projections of Industry Revenues</w:t>
      </w:r>
      <w:r w:rsidR="00182EB9">
        <w:rPr>
          <w:b/>
          <w:szCs w:val="22"/>
          <w:u w:val="single"/>
        </w:rPr>
        <w:t xml:space="preserve"> </w:t>
      </w:r>
    </w:p>
    <w:p w:rsidR="00C80814" w:rsidRPr="00A128DC" w:rsidP="00C80814" w14:paraId="0D895B0F" w14:textId="77777777">
      <w:pPr>
        <w:rPr>
          <w:b/>
          <w:szCs w:val="22"/>
          <w:u w:val="single"/>
        </w:rPr>
      </w:pPr>
    </w:p>
    <w:p w:rsidR="00C80814" w:rsidRPr="00A128DC" w:rsidP="00C80814" w14:paraId="6977140E" w14:textId="77777777">
      <w:pPr>
        <w:rPr>
          <w:szCs w:val="22"/>
        </w:rPr>
      </w:pPr>
      <w:r w:rsidRPr="00A128DC">
        <w:rPr>
          <w:szCs w:val="22"/>
        </w:rPr>
        <w:tab/>
        <w:t xml:space="preserve">USAC submitted projected collected end-user telecommunications revenues for </w:t>
      </w:r>
      <w:r w:rsidR="00391AF5">
        <w:rPr>
          <w:szCs w:val="22"/>
        </w:rPr>
        <w:t>January</w:t>
      </w:r>
      <w:r w:rsidR="00A664DE">
        <w:rPr>
          <w:szCs w:val="22"/>
        </w:rPr>
        <w:t xml:space="preserve"> 202</w:t>
      </w:r>
      <w:r w:rsidR="00391AF5">
        <w:rPr>
          <w:szCs w:val="22"/>
        </w:rPr>
        <w:t>1</w:t>
      </w:r>
      <w:r w:rsidR="00650E6E">
        <w:rPr>
          <w:szCs w:val="22"/>
        </w:rPr>
        <w:t xml:space="preserve"> </w:t>
      </w:r>
      <w:r w:rsidR="001243ED">
        <w:rPr>
          <w:szCs w:val="22"/>
        </w:rPr>
        <w:t xml:space="preserve">through </w:t>
      </w:r>
      <w:r w:rsidR="00391AF5">
        <w:rPr>
          <w:szCs w:val="22"/>
        </w:rPr>
        <w:t>March</w:t>
      </w:r>
      <w:r w:rsidRPr="00070D90" w:rsidR="006F5B52">
        <w:rPr>
          <w:color w:val="FF0000"/>
          <w:szCs w:val="22"/>
        </w:rPr>
        <w:t xml:space="preserve"> </w:t>
      </w:r>
      <w:r w:rsidRPr="00BF573D">
        <w:rPr>
          <w:szCs w:val="22"/>
        </w:rPr>
        <w:t>20</w:t>
      </w:r>
      <w:r w:rsidR="00016E44">
        <w:rPr>
          <w:szCs w:val="22"/>
        </w:rPr>
        <w:t>2</w:t>
      </w:r>
      <w:r w:rsidR="00391AF5">
        <w:rPr>
          <w:szCs w:val="22"/>
        </w:rPr>
        <w:t>1</w:t>
      </w:r>
      <w:r w:rsidR="003E33E5">
        <w:rPr>
          <w:szCs w:val="22"/>
        </w:rPr>
        <w:t xml:space="preserve"> </w:t>
      </w:r>
      <w:r w:rsidRPr="00A128DC">
        <w:rPr>
          <w:szCs w:val="22"/>
        </w:rPr>
        <w:t xml:space="preserve">based on information contained in the </w:t>
      </w:r>
      <w:r w:rsidR="00A664DE">
        <w:rPr>
          <w:szCs w:val="22"/>
        </w:rPr>
        <w:t>F</w:t>
      </w:r>
      <w:r w:rsidR="00391AF5">
        <w:rPr>
          <w:szCs w:val="22"/>
        </w:rPr>
        <w:t>irst</w:t>
      </w:r>
      <w:r w:rsidR="00A500E1">
        <w:rPr>
          <w:szCs w:val="22"/>
        </w:rPr>
        <w:t xml:space="preserve"> </w:t>
      </w:r>
      <w:r w:rsidRPr="00BF573D">
        <w:rPr>
          <w:szCs w:val="22"/>
        </w:rPr>
        <w:t>Quarter 20</w:t>
      </w:r>
      <w:r w:rsidR="00016E44">
        <w:rPr>
          <w:szCs w:val="22"/>
        </w:rPr>
        <w:t>2</w:t>
      </w:r>
      <w:r w:rsidR="00391AF5">
        <w:rPr>
          <w:szCs w:val="22"/>
        </w:rPr>
        <w:t>1</w:t>
      </w:r>
      <w:r w:rsidR="00E3070D">
        <w:rPr>
          <w:szCs w:val="22"/>
        </w:rPr>
        <w:t xml:space="preserve"> </w:t>
      </w:r>
      <w:r w:rsidR="001618BC">
        <w:rPr>
          <w:szCs w:val="22"/>
        </w:rPr>
        <w:t>T</w:t>
      </w:r>
      <w:r w:rsidRPr="00A128DC">
        <w:rPr>
          <w:szCs w:val="22"/>
        </w:rPr>
        <w:t>elecommunications Reporting Worksheet (FCC Form 499-Q).</w:t>
      </w:r>
      <w:r>
        <w:rPr>
          <w:rStyle w:val="FootnoteReference"/>
          <w:szCs w:val="22"/>
        </w:rPr>
        <w:footnoteReference w:id="8"/>
      </w:r>
      <w:r w:rsidRPr="00A128DC">
        <w:rPr>
          <w:szCs w:val="22"/>
        </w:rPr>
        <w:t xml:space="preserve">  The amount is as follows:</w:t>
      </w:r>
    </w:p>
    <w:p w:rsidR="00C80814" w:rsidRPr="00A128DC" w:rsidP="00C80814" w14:paraId="1849537A" w14:textId="77777777">
      <w:pPr>
        <w:rPr>
          <w:szCs w:val="22"/>
        </w:rPr>
      </w:pPr>
    </w:p>
    <w:p w:rsidR="00C80814" w:rsidRPr="00A128DC" w:rsidP="00C80814" w14:paraId="5014227F" w14:textId="77777777">
      <w:pPr>
        <w:ind w:left="720"/>
        <w:rPr>
          <w:szCs w:val="22"/>
        </w:rPr>
      </w:pPr>
      <w:r w:rsidRPr="00A128DC">
        <w:rPr>
          <w:szCs w:val="22"/>
        </w:rPr>
        <w:t xml:space="preserve">Total Projected Collected Interstate and International End-User Telecommunications Revenues for </w:t>
      </w:r>
      <w:r w:rsidR="00A664DE">
        <w:rPr>
          <w:szCs w:val="22"/>
        </w:rPr>
        <w:t>F</w:t>
      </w:r>
      <w:r w:rsidR="00391AF5">
        <w:rPr>
          <w:szCs w:val="22"/>
        </w:rPr>
        <w:t>irst</w:t>
      </w:r>
      <w:r w:rsidRPr="00BF573D" w:rsidR="00842AEB">
        <w:rPr>
          <w:szCs w:val="22"/>
        </w:rPr>
        <w:t xml:space="preserve"> </w:t>
      </w:r>
      <w:r w:rsidRPr="00BF573D">
        <w:rPr>
          <w:szCs w:val="22"/>
        </w:rPr>
        <w:t xml:space="preserve">Quarter </w:t>
      </w:r>
      <w:r w:rsidRPr="00BF573D" w:rsidR="00842AEB">
        <w:rPr>
          <w:szCs w:val="22"/>
        </w:rPr>
        <w:t>20</w:t>
      </w:r>
      <w:r w:rsidR="00016E44">
        <w:rPr>
          <w:szCs w:val="22"/>
        </w:rPr>
        <w:t>2</w:t>
      </w:r>
      <w:r w:rsidR="00391AF5">
        <w:rPr>
          <w:szCs w:val="22"/>
        </w:rPr>
        <w:t>1</w:t>
      </w:r>
      <w:r w:rsidRPr="00BF573D">
        <w:rPr>
          <w:szCs w:val="22"/>
        </w:rPr>
        <w:t>:  $</w:t>
      </w:r>
      <w:r w:rsidRPr="00426DCC" w:rsidR="009A7E94">
        <w:rPr>
          <w:szCs w:val="22"/>
        </w:rPr>
        <w:t>1</w:t>
      </w:r>
      <w:r w:rsidR="000C2161">
        <w:rPr>
          <w:szCs w:val="22"/>
        </w:rPr>
        <w:t>0</w:t>
      </w:r>
      <w:r w:rsidRPr="00426DCC" w:rsidR="009A7E94">
        <w:rPr>
          <w:szCs w:val="22"/>
        </w:rPr>
        <w:t>.</w:t>
      </w:r>
      <w:r w:rsidR="00391AF5">
        <w:rPr>
          <w:szCs w:val="22"/>
        </w:rPr>
        <w:t>068713</w:t>
      </w:r>
      <w:r w:rsidRPr="002666FF" w:rsidR="006F5B52">
        <w:rPr>
          <w:color w:val="FF0000"/>
          <w:szCs w:val="22"/>
        </w:rPr>
        <w:t xml:space="preserve"> </w:t>
      </w:r>
      <w:r w:rsidRPr="00A128DC">
        <w:rPr>
          <w:szCs w:val="22"/>
        </w:rPr>
        <w:t>billion.</w:t>
      </w:r>
    </w:p>
    <w:p w:rsidR="00C80814" w:rsidRPr="00A128DC" w:rsidP="00C80814" w14:paraId="2F7C3E4D" w14:textId="77777777">
      <w:pPr>
        <w:jc w:val="center"/>
        <w:rPr>
          <w:szCs w:val="22"/>
        </w:rPr>
      </w:pPr>
    </w:p>
    <w:p w:rsidR="00C80814" w:rsidRPr="00A128DC" w:rsidP="00C80814" w14:paraId="4C6ED37C" w14:textId="77777777">
      <w:pPr>
        <w:rPr>
          <w:b/>
          <w:szCs w:val="22"/>
          <w:u w:val="single"/>
        </w:rPr>
      </w:pPr>
      <w:r w:rsidRPr="00A128DC">
        <w:rPr>
          <w:b/>
          <w:szCs w:val="22"/>
          <w:u w:val="single"/>
        </w:rPr>
        <w:t>Adjusted Contribution Base</w:t>
      </w:r>
    </w:p>
    <w:p w:rsidR="00C80814" w:rsidRPr="00A128DC" w:rsidP="00C80814" w14:paraId="52B408C6" w14:textId="77777777">
      <w:pPr>
        <w:rPr>
          <w:b/>
          <w:szCs w:val="22"/>
          <w:u w:val="single"/>
        </w:rPr>
      </w:pPr>
    </w:p>
    <w:p w:rsidR="00C80814" w:rsidRPr="00BF573D" w:rsidP="00C80814" w14:paraId="5FC16DC4" w14:textId="77777777">
      <w:pPr>
        <w:ind w:firstLine="720"/>
        <w:rPr>
          <w:szCs w:val="22"/>
        </w:rPr>
      </w:pPr>
      <w:r w:rsidRPr="00A128DC">
        <w:rPr>
          <w:szCs w:val="22"/>
        </w:rPr>
        <w:t xml:space="preserve">To determine the quarterly contribution base, we </w:t>
      </w:r>
      <w:r w:rsidRPr="00DE66A3">
        <w:rPr>
          <w:szCs w:val="22"/>
        </w:rPr>
        <w:t>decrease</w:t>
      </w:r>
      <w:r w:rsidRPr="00DE66A3">
        <w:rPr>
          <w:color w:val="FF0000"/>
          <w:szCs w:val="22"/>
        </w:rPr>
        <w:t xml:space="preserve"> </w:t>
      </w:r>
      <w:r w:rsidRPr="00A128DC">
        <w:rPr>
          <w:szCs w:val="22"/>
        </w:rPr>
        <w:t>the</w:t>
      </w:r>
      <w:r w:rsidR="006F5B52">
        <w:rPr>
          <w:szCs w:val="22"/>
        </w:rPr>
        <w:t xml:space="preserve"> </w:t>
      </w:r>
      <w:r w:rsidR="00B44857">
        <w:rPr>
          <w:szCs w:val="22"/>
        </w:rPr>
        <w:t>f</w:t>
      </w:r>
      <w:r w:rsidR="00391AF5">
        <w:rPr>
          <w:szCs w:val="22"/>
        </w:rPr>
        <w:t>irst</w:t>
      </w:r>
      <w:r w:rsidR="0078491C">
        <w:rPr>
          <w:szCs w:val="22"/>
        </w:rPr>
        <w:t xml:space="preserve"> q</w:t>
      </w:r>
      <w:r w:rsidRPr="00BF573D">
        <w:rPr>
          <w:szCs w:val="22"/>
        </w:rPr>
        <w:t xml:space="preserve">uarter </w:t>
      </w:r>
      <w:r w:rsidRPr="00BF573D" w:rsidR="00842AEB">
        <w:rPr>
          <w:szCs w:val="22"/>
        </w:rPr>
        <w:t>20</w:t>
      </w:r>
      <w:r w:rsidR="00046C35">
        <w:rPr>
          <w:szCs w:val="22"/>
        </w:rPr>
        <w:t>2</w:t>
      </w:r>
      <w:r w:rsidR="00391AF5">
        <w:rPr>
          <w:szCs w:val="22"/>
        </w:rPr>
        <w:t>1</w:t>
      </w:r>
      <w:r w:rsidRPr="00A128DC" w:rsidR="00842AEB">
        <w:rPr>
          <w:szCs w:val="22"/>
        </w:rPr>
        <w:t xml:space="preserve"> </w:t>
      </w:r>
      <w:r w:rsidRPr="00A128DC">
        <w:rPr>
          <w:szCs w:val="22"/>
        </w:rPr>
        <w:t>estimate of projected collected interstate and international end-user telecommunications revenues by the projected revenue requirement to account for circularity</w:t>
      </w:r>
      <w:r w:rsidR="00E83BF8">
        <w:rPr>
          <w:szCs w:val="22"/>
        </w:rPr>
        <w:t xml:space="preserve"> </w:t>
      </w:r>
      <w:r w:rsidRPr="00A128DC">
        <w:rPr>
          <w:szCs w:val="22"/>
        </w:rPr>
        <w:t xml:space="preserve">and decrease the result by one percent to account for uncollectible contributions.  Accordingly, the quarterly contribution base for </w:t>
      </w:r>
      <w:r w:rsidRPr="00BF573D">
        <w:rPr>
          <w:szCs w:val="22"/>
        </w:rPr>
        <w:t xml:space="preserve">the </w:t>
      </w:r>
      <w:r w:rsidR="00B44857">
        <w:rPr>
          <w:szCs w:val="22"/>
        </w:rPr>
        <w:t>f</w:t>
      </w:r>
      <w:r w:rsidR="00391AF5">
        <w:rPr>
          <w:szCs w:val="22"/>
        </w:rPr>
        <w:t>irst</w:t>
      </w:r>
      <w:r w:rsidRPr="00BF573D" w:rsidR="006F5B52">
        <w:rPr>
          <w:szCs w:val="22"/>
        </w:rPr>
        <w:t xml:space="preserve"> </w:t>
      </w:r>
      <w:r w:rsidRPr="00BF573D">
        <w:rPr>
          <w:szCs w:val="22"/>
        </w:rPr>
        <w:t xml:space="preserve">quarter of </w:t>
      </w:r>
      <w:r w:rsidRPr="00BF573D" w:rsidR="00842AEB">
        <w:rPr>
          <w:szCs w:val="22"/>
        </w:rPr>
        <w:t>20</w:t>
      </w:r>
      <w:r w:rsidR="00046C35">
        <w:rPr>
          <w:szCs w:val="22"/>
        </w:rPr>
        <w:t>2</w:t>
      </w:r>
      <w:r w:rsidR="00391AF5">
        <w:rPr>
          <w:szCs w:val="22"/>
        </w:rPr>
        <w:t>1</w:t>
      </w:r>
      <w:r w:rsidR="00842AEB">
        <w:rPr>
          <w:szCs w:val="22"/>
        </w:rPr>
        <w:t xml:space="preserve"> </w:t>
      </w:r>
      <w:r w:rsidRPr="00A128DC">
        <w:rPr>
          <w:szCs w:val="22"/>
        </w:rPr>
        <w:t>is as follows:</w:t>
      </w:r>
    </w:p>
    <w:p w:rsidR="00C80814" w:rsidRPr="00A128DC" w:rsidP="00C80814" w14:paraId="1A9CF03E" w14:textId="77777777">
      <w:pPr>
        <w:ind w:firstLine="720"/>
        <w:rPr>
          <w:szCs w:val="22"/>
        </w:rPr>
      </w:pPr>
    </w:p>
    <w:p w:rsidR="00C80814" w:rsidRPr="00A128DC" w:rsidP="00C80814" w14:paraId="11B92D8E" w14:textId="77777777">
      <w:pPr>
        <w:ind w:firstLine="720"/>
        <w:rPr>
          <w:szCs w:val="22"/>
        </w:rPr>
      </w:pPr>
      <w:r w:rsidRPr="00A128DC">
        <w:rPr>
          <w:szCs w:val="22"/>
        </w:rPr>
        <w:t>Adjusted Quarterly Contribution Base for Universal Service Support Mechanism</w:t>
      </w:r>
    </w:p>
    <w:p w:rsidR="00C80814" w:rsidRPr="00A128DC" w:rsidP="00C80814" w14:paraId="08154874" w14:textId="77777777">
      <w:pPr>
        <w:ind w:firstLine="720"/>
        <w:rPr>
          <w:szCs w:val="22"/>
        </w:rPr>
      </w:pPr>
    </w:p>
    <w:p w:rsidR="00C80814" w:rsidRPr="00A128DC" w:rsidP="00C2619C" w14:paraId="33892F88" w14:textId="77777777">
      <w:pPr>
        <w:ind w:firstLine="720"/>
        <w:rPr>
          <w:szCs w:val="22"/>
        </w:rPr>
      </w:pPr>
      <w:r w:rsidRPr="00DE7F07">
        <w:rPr>
          <w:szCs w:val="22"/>
        </w:rPr>
        <w:t>(</w:t>
      </w:r>
      <w:r w:rsidR="00B44857">
        <w:rPr>
          <w:szCs w:val="22"/>
        </w:rPr>
        <w:t>F</w:t>
      </w:r>
      <w:r w:rsidR="00391AF5">
        <w:rPr>
          <w:szCs w:val="22"/>
        </w:rPr>
        <w:t>irst</w:t>
      </w:r>
      <w:r w:rsidRPr="00BF573D" w:rsidR="00842AEB">
        <w:rPr>
          <w:szCs w:val="22"/>
        </w:rPr>
        <w:t xml:space="preserve"> </w:t>
      </w:r>
      <w:r w:rsidRPr="00BF573D">
        <w:rPr>
          <w:szCs w:val="22"/>
        </w:rPr>
        <w:t xml:space="preserve">Quarter </w:t>
      </w:r>
      <w:r w:rsidRPr="00BF573D" w:rsidR="00842AEB">
        <w:rPr>
          <w:szCs w:val="22"/>
        </w:rPr>
        <w:t>20</w:t>
      </w:r>
      <w:r w:rsidR="00046C35">
        <w:rPr>
          <w:szCs w:val="22"/>
        </w:rPr>
        <w:t>2</w:t>
      </w:r>
      <w:r w:rsidR="00391AF5">
        <w:rPr>
          <w:szCs w:val="22"/>
        </w:rPr>
        <w:t>1</w:t>
      </w:r>
      <w:r w:rsidRPr="00A128DC" w:rsidR="00842AEB">
        <w:rPr>
          <w:szCs w:val="22"/>
        </w:rPr>
        <w:t xml:space="preserve"> </w:t>
      </w:r>
      <w:r w:rsidRPr="00A128DC">
        <w:rPr>
          <w:szCs w:val="22"/>
        </w:rPr>
        <w:t>Revenues - Projected Revenue Requirement</w:t>
      </w:r>
      <w:r w:rsidRPr="00DE7F07">
        <w:rPr>
          <w:szCs w:val="22"/>
        </w:rPr>
        <w:t>)</w:t>
      </w:r>
      <w:r w:rsidRPr="00DE7F07">
        <w:rPr>
          <w:szCs w:val="22"/>
        </w:rPr>
        <w:t xml:space="preserve"> </w:t>
      </w:r>
      <w:r w:rsidRPr="00DE7F07">
        <w:rPr>
          <w:szCs w:val="22"/>
        </w:rPr>
        <w:t>* (100%</w:t>
      </w:r>
      <w:r w:rsidR="00DE7F07">
        <w:rPr>
          <w:szCs w:val="22"/>
        </w:rPr>
        <w:t xml:space="preserve"> </w:t>
      </w:r>
      <w:r w:rsidRPr="00DE7F07">
        <w:rPr>
          <w:szCs w:val="22"/>
        </w:rPr>
        <w:t>-</w:t>
      </w:r>
      <w:r w:rsidR="00DE7F07">
        <w:rPr>
          <w:szCs w:val="22"/>
        </w:rPr>
        <w:t xml:space="preserve"> </w:t>
      </w:r>
      <w:r w:rsidRPr="00DE7F07">
        <w:rPr>
          <w:szCs w:val="22"/>
        </w:rPr>
        <w:t>1%</w:t>
      </w:r>
      <w:r w:rsidRPr="00DE7F07">
        <w:rPr>
          <w:szCs w:val="22"/>
        </w:rPr>
        <w:t>)</w:t>
      </w:r>
    </w:p>
    <w:p w:rsidR="00445B7E" w:rsidP="00445B7E" w14:paraId="30F14063" w14:textId="77777777">
      <w:pPr>
        <w:ind w:left="1440" w:firstLine="720"/>
        <w:rPr>
          <w:szCs w:val="22"/>
        </w:rPr>
      </w:pPr>
    </w:p>
    <w:p w:rsidR="00C80814" w:rsidRPr="00A128DC" w:rsidP="00EA1199" w14:paraId="323FD07C" w14:textId="77777777">
      <w:pPr>
        <w:ind w:left="720" w:firstLine="720"/>
        <w:rPr>
          <w:szCs w:val="22"/>
        </w:rPr>
      </w:pPr>
      <w:r>
        <w:rPr>
          <w:szCs w:val="22"/>
        </w:rPr>
        <w:t>=</w:t>
      </w:r>
      <w:r w:rsidRPr="00A128DC">
        <w:rPr>
          <w:szCs w:val="22"/>
        </w:rPr>
        <w:t>(</w:t>
      </w:r>
      <w:r w:rsidRPr="00A128DC">
        <w:rPr>
          <w:szCs w:val="22"/>
        </w:rPr>
        <w:t>$</w:t>
      </w:r>
      <w:r w:rsidRPr="0033574A" w:rsidR="002C72A5">
        <w:rPr>
          <w:szCs w:val="22"/>
        </w:rPr>
        <w:t>1</w:t>
      </w:r>
      <w:r w:rsidR="000C2161">
        <w:rPr>
          <w:szCs w:val="22"/>
        </w:rPr>
        <w:t>0</w:t>
      </w:r>
      <w:r w:rsidRPr="0033574A" w:rsidR="002C72A5">
        <w:rPr>
          <w:szCs w:val="22"/>
        </w:rPr>
        <w:t>.</w:t>
      </w:r>
      <w:r w:rsidR="0062267B">
        <w:rPr>
          <w:szCs w:val="22"/>
        </w:rPr>
        <w:t>068713</w:t>
      </w:r>
      <w:r w:rsidR="009E5A6B">
        <w:rPr>
          <w:szCs w:val="22"/>
        </w:rPr>
        <w:t xml:space="preserve"> </w:t>
      </w:r>
      <w:r w:rsidRPr="00A128DC">
        <w:rPr>
          <w:szCs w:val="22"/>
        </w:rPr>
        <w:t>billion – $</w:t>
      </w:r>
      <w:r w:rsidR="00C2619C">
        <w:rPr>
          <w:szCs w:val="22"/>
        </w:rPr>
        <w:t>2</w:t>
      </w:r>
      <w:r w:rsidRPr="0033574A" w:rsidR="006F5B52">
        <w:rPr>
          <w:szCs w:val="22"/>
        </w:rPr>
        <w:t>.</w:t>
      </w:r>
      <w:r w:rsidR="00B44857">
        <w:rPr>
          <w:szCs w:val="22"/>
        </w:rPr>
        <w:t>4</w:t>
      </w:r>
      <w:r w:rsidR="0062267B">
        <w:rPr>
          <w:szCs w:val="22"/>
        </w:rPr>
        <w:t>0</w:t>
      </w:r>
      <w:r w:rsidR="00B44857">
        <w:rPr>
          <w:szCs w:val="22"/>
        </w:rPr>
        <w:t>79</w:t>
      </w:r>
      <w:r w:rsidR="0062267B">
        <w:rPr>
          <w:szCs w:val="22"/>
        </w:rPr>
        <w:t>90</w:t>
      </w:r>
      <w:r w:rsidR="009E5A6B">
        <w:rPr>
          <w:szCs w:val="22"/>
        </w:rPr>
        <w:t xml:space="preserve"> b</w:t>
      </w:r>
      <w:r w:rsidRPr="00A128DC">
        <w:rPr>
          <w:szCs w:val="22"/>
        </w:rPr>
        <w:t>illion) * 0.99</w:t>
      </w:r>
    </w:p>
    <w:p w:rsidR="00C80814" w:rsidRPr="00A128DC" w:rsidP="00C80814" w14:paraId="552DF991" w14:textId="77777777">
      <w:pPr>
        <w:ind w:left="720" w:firstLine="720"/>
        <w:rPr>
          <w:szCs w:val="22"/>
        </w:rPr>
      </w:pPr>
    </w:p>
    <w:p w:rsidR="00C80814" w:rsidRPr="00A128DC" w:rsidP="00445B7E" w14:paraId="5FCC0551" w14:textId="77777777">
      <w:pPr>
        <w:ind w:left="2880"/>
        <w:rPr>
          <w:szCs w:val="22"/>
        </w:rPr>
      </w:pPr>
      <w:r>
        <w:rPr>
          <w:szCs w:val="22"/>
        </w:rPr>
        <w:t>=</w:t>
      </w:r>
      <w:r w:rsidRPr="00A128DC">
        <w:rPr>
          <w:szCs w:val="22"/>
        </w:rPr>
        <w:t>$</w:t>
      </w:r>
      <w:r w:rsidR="0062267B">
        <w:rPr>
          <w:szCs w:val="22"/>
        </w:rPr>
        <w:t>7</w:t>
      </w:r>
      <w:r w:rsidR="002D2DD3">
        <w:rPr>
          <w:szCs w:val="22"/>
        </w:rPr>
        <w:t>.</w:t>
      </w:r>
      <w:r w:rsidR="0062267B">
        <w:rPr>
          <w:szCs w:val="22"/>
        </w:rPr>
        <w:t>584116</w:t>
      </w:r>
      <w:r w:rsidR="008A6117">
        <w:rPr>
          <w:color w:val="FF0000"/>
          <w:szCs w:val="22"/>
        </w:rPr>
        <w:t xml:space="preserve"> </w:t>
      </w:r>
      <w:r w:rsidRPr="00A128DC">
        <w:rPr>
          <w:szCs w:val="22"/>
        </w:rPr>
        <w:t>billion.</w:t>
      </w:r>
    </w:p>
    <w:p w:rsidR="00C80814" w:rsidRPr="00A128DC" w:rsidP="00C80814" w14:paraId="30F4E5DE" w14:textId="77777777">
      <w:pPr>
        <w:ind w:left="2160"/>
        <w:rPr>
          <w:szCs w:val="22"/>
        </w:rPr>
      </w:pPr>
    </w:p>
    <w:p w:rsidR="00C80814" w:rsidRPr="00A128DC" w:rsidP="00B44AF3" w14:paraId="3E234FA3" w14:textId="77777777">
      <w:pPr>
        <w:keepNext/>
        <w:widowControl w:val="0"/>
        <w:rPr>
          <w:szCs w:val="22"/>
        </w:rPr>
      </w:pPr>
      <w:r w:rsidRPr="00A128DC">
        <w:rPr>
          <w:b/>
          <w:szCs w:val="22"/>
          <w:u w:val="single"/>
        </w:rPr>
        <w:t>Unadjusted Contribution Factor</w:t>
      </w:r>
    </w:p>
    <w:p w:rsidR="00C80814" w:rsidRPr="00A128DC" w:rsidP="00B44AF3" w14:paraId="6BB2FFD2" w14:textId="77777777">
      <w:pPr>
        <w:keepNext/>
        <w:widowControl w:val="0"/>
        <w:rPr>
          <w:szCs w:val="22"/>
        </w:rPr>
      </w:pPr>
    </w:p>
    <w:p w:rsidR="00C80814" w:rsidRPr="00A128DC" w:rsidP="00B44AF3" w14:paraId="4D0D12CD" w14:textId="77777777">
      <w:pPr>
        <w:ind w:firstLine="720"/>
        <w:rPr>
          <w:szCs w:val="22"/>
        </w:rPr>
      </w:pPr>
      <w:r w:rsidRPr="00A128DC">
        <w:rPr>
          <w:szCs w:val="22"/>
        </w:rPr>
        <w:t xml:space="preserve">Using the above-described adjusted contribution base and the total program collection </w:t>
      </w:r>
      <w:r w:rsidR="00FF0056">
        <w:rPr>
          <w:szCs w:val="22"/>
        </w:rPr>
        <w:t xml:space="preserve">(revenue </w:t>
      </w:r>
      <w:r w:rsidRPr="00A128DC">
        <w:rPr>
          <w:szCs w:val="22"/>
        </w:rPr>
        <w:t>requirement</w:t>
      </w:r>
      <w:r w:rsidR="00FF0056">
        <w:rPr>
          <w:szCs w:val="22"/>
        </w:rPr>
        <w:t>)</w:t>
      </w:r>
      <w:r w:rsidRPr="00A128DC">
        <w:rPr>
          <w:szCs w:val="22"/>
        </w:rPr>
        <w:t xml:space="preserve"> from the table above, the proposed unadjusted contribution factor for </w:t>
      </w:r>
      <w:r w:rsidRPr="00BF573D">
        <w:rPr>
          <w:szCs w:val="22"/>
        </w:rPr>
        <w:t xml:space="preserve">the </w:t>
      </w:r>
      <w:r w:rsidR="00B44857">
        <w:rPr>
          <w:szCs w:val="22"/>
        </w:rPr>
        <w:t>f</w:t>
      </w:r>
      <w:r w:rsidR="0062267B">
        <w:rPr>
          <w:szCs w:val="22"/>
        </w:rPr>
        <w:t>irst</w:t>
      </w:r>
      <w:r w:rsidR="00D37EE5">
        <w:rPr>
          <w:szCs w:val="22"/>
        </w:rPr>
        <w:t xml:space="preserve"> </w:t>
      </w:r>
      <w:r w:rsidR="0078491C">
        <w:rPr>
          <w:szCs w:val="22"/>
        </w:rPr>
        <w:t>quart</w:t>
      </w:r>
      <w:r w:rsidRPr="00BF573D">
        <w:rPr>
          <w:szCs w:val="22"/>
        </w:rPr>
        <w:t xml:space="preserve">er of </w:t>
      </w:r>
      <w:r w:rsidRPr="00BF573D" w:rsidR="00D37EE5">
        <w:rPr>
          <w:szCs w:val="22"/>
        </w:rPr>
        <w:t>20</w:t>
      </w:r>
      <w:r w:rsidR="002D2DD3">
        <w:rPr>
          <w:szCs w:val="22"/>
        </w:rPr>
        <w:t>2</w:t>
      </w:r>
      <w:r w:rsidR="0062267B">
        <w:rPr>
          <w:szCs w:val="22"/>
        </w:rPr>
        <w:t>1</w:t>
      </w:r>
      <w:r w:rsidR="002D2DD3">
        <w:rPr>
          <w:szCs w:val="22"/>
        </w:rPr>
        <w:t xml:space="preserve"> </w:t>
      </w:r>
      <w:r w:rsidRPr="00A128DC">
        <w:rPr>
          <w:szCs w:val="22"/>
        </w:rPr>
        <w:t xml:space="preserve">is as follows: </w:t>
      </w:r>
    </w:p>
    <w:p w:rsidR="00C80814" w:rsidRPr="00A128DC" w:rsidP="00C80814" w14:paraId="09971187" w14:textId="77777777">
      <w:pPr>
        <w:rPr>
          <w:szCs w:val="22"/>
        </w:rPr>
      </w:pPr>
    </w:p>
    <w:p w:rsidR="00C80814" w:rsidRPr="00A128DC" w:rsidP="00C80814" w14:paraId="03880D5C" w14:textId="77777777">
      <w:pPr>
        <w:keepNext/>
        <w:ind w:left="720"/>
        <w:rPr>
          <w:szCs w:val="22"/>
        </w:rPr>
      </w:pPr>
      <w:r w:rsidRPr="00A128DC">
        <w:rPr>
          <w:szCs w:val="22"/>
        </w:rPr>
        <w:t>Contribution Factor for Universal Service Support Mechanisms</w:t>
      </w:r>
    </w:p>
    <w:p w:rsidR="00C80814" w:rsidRPr="00A128DC" w:rsidP="00B44AF3" w14:paraId="1575476F" w14:textId="77777777">
      <w:pPr>
        <w:keepNext/>
        <w:rPr>
          <w:szCs w:val="22"/>
        </w:rPr>
      </w:pPr>
    </w:p>
    <w:p w:rsidR="00C80814" w:rsidRPr="00A128DC" w:rsidP="00C2619C" w14:paraId="4F422BF7" w14:textId="77777777">
      <w:pPr>
        <w:keepNext/>
        <w:ind w:left="720" w:firstLine="720"/>
        <w:rPr>
          <w:szCs w:val="22"/>
        </w:rPr>
      </w:pPr>
      <w:r w:rsidRPr="00A128DC">
        <w:rPr>
          <w:szCs w:val="22"/>
        </w:rPr>
        <w:t>Total Program Collection / Adjusted Quarterly Contribution Base</w:t>
      </w:r>
    </w:p>
    <w:p w:rsidR="00C80814" w:rsidRPr="00A128DC" w:rsidP="00C80814" w14:paraId="389D76E0" w14:textId="77777777">
      <w:pPr>
        <w:keepNext/>
        <w:ind w:left="1440" w:firstLine="720"/>
        <w:rPr>
          <w:szCs w:val="22"/>
        </w:rPr>
      </w:pPr>
    </w:p>
    <w:p w:rsidR="00C80814" w:rsidRPr="00CD6E19" w:rsidP="00A128DC" w14:paraId="0BE6488B" w14:textId="77777777">
      <w:pPr>
        <w:keepNext/>
        <w:ind w:left="1440"/>
        <w:rPr>
          <w:szCs w:val="22"/>
        </w:rPr>
      </w:pPr>
      <w:r w:rsidRPr="00A128DC">
        <w:rPr>
          <w:szCs w:val="22"/>
        </w:rPr>
        <w:tab/>
      </w:r>
      <w:r w:rsidR="00B44857">
        <w:rPr>
          <w:szCs w:val="22"/>
        </w:rPr>
        <w:t>=</w:t>
      </w:r>
      <w:r w:rsidRPr="00A128DC">
        <w:rPr>
          <w:szCs w:val="22"/>
        </w:rPr>
        <w:t>$</w:t>
      </w:r>
      <w:r w:rsidR="00C2619C">
        <w:rPr>
          <w:szCs w:val="22"/>
        </w:rPr>
        <w:t>2</w:t>
      </w:r>
      <w:r w:rsidR="002D2DD3">
        <w:rPr>
          <w:szCs w:val="22"/>
        </w:rPr>
        <w:t>.</w:t>
      </w:r>
      <w:r w:rsidR="00B44857">
        <w:rPr>
          <w:szCs w:val="22"/>
        </w:rPr>
        <w:t>4</w:t>
      </w:r>
      <w:r w:rsidR="0062267B">
        <w:rPr>
          <w:szCs w:val="22"/>
        </w:rPr>
        <w:t>0</w:t>
      </w:r>
      <w:r w:rsidR="00B44857">
        <w:rPr>
          <w:szCs w:val="22"/>
        </w:rPr>
        <w:t>79</w:t>
      </w:r>
      <w:r w:rsidR="0062267B">
        <w:rPr>
          <w:szCs w:val="22"/>
        </w:rPr>
        <w:t>90</w:t>
      </w:r>
      <w:r w:rsidR="002C1478">
        <w:rPr>
          <w:szCs w:val="22"/>
        </w:rPr>
        <w:t xml:space="preserve"> </w:t>
      </w:r>
      <w:r w:rsidRPr="00CD6E19">
        <w:rPr>
          <w:szCs w:val="22"/>
        </w:rPr>
        <w:t>billion / $</w:t>
      </w:r>
      <w:r w:rsidR="0062267B">
        <w:rPr>
          <w:szCs w:val="22"/>
        </w:rPr>
        <w:t>7</w:t>
      </w:r>
      <w:r w:rsidR="002D2DD3">
        <w:rPr>
          <w:szCs w:val="22"/>
        </w:rPr>
        <w:t>.</w:t>
      </w:r>
      <w:r w:rsidR="0062267B">
        <w:rPr>
          <w:szCs w:val="22"/>
        </w:rPr>
        <w:t>584116</w:t>
      </w:r>
      <w:r w:rsidR="009E5A6B">
        <w:rPr>
          <w:szCs w:val="22"/>
        </w:rPr>
        <w:t xml:space="preserve"> b</w:t>
      </w:r>
      <w:r w:rsidRPr="00CD6E19">
        <w:rPr>
          <w:szCs w:val="22"/>
        </w:rPr>
        <w:t>illion</w:t>
      </w:r>
    </w:p>
    <w:p w:rsidR="00C80814" w:rsidRPr="00CD6E19" w:rsidP="00C80814" w14:paraId="1C79B5D2" w14:textId="77777777">
      <w:pPr>
        <w:keepNext/>
        <w:ind w:left="1440" w:firstLine="720"/>
        <w:rPr>
          <w:szCs w:val="22"/>
        </w:rPr>
      </w:pPr>
    </w:p>
    <w:p w:rsidR="009A7E94" w:rsidRPr="0097662D" w:rsidP="009A7E94" w14:paraId="0440EB0C" w14:textId="77777777">
      <w:pPr>
        <w:keepNext/>
        <w:ind w:left="1440"/>
        <w:rPr>
          <w:color w:val="FF0000"/>
          <w:szCs w:val="22"/>
        </w:rPr>
      </w:pPr>
      <w:r w:rsidRPr="00CD6E19">
        <w:rPr>
          <w:szCs w:val="22"/>
        </w:rPr>
        <w:tab/>
      </w:r>
      <w:r w:rsidRPr="00CD6E19">
        <w:rPr>
          <w:szCs w:val="22"/>
        </w:rPr>
        <w:tab/>
      </w:r>
      <w:r w:rsidR="00B44857">
        <w:rPr>
          <w:szCs w:val="22"/>
        </w:rPr>
        <w:t>=</w:t>
      </w:r>
      <w:r w:rsidR="000F5AF3">
        <w:rPr>
          <w:szCs w:val="22"/>
        </w:rPr>
        <w:t>0.</w:t>
      </w:r>
      <w:r w:rsidR="0062267B">
        <w:rPr>
          <w:szCs w:val="22"/>
        </w:rPr>
        <w:t>317504</w:t>
      </w:r>
    </w:p>
    <w:p w:rsidR="003240CF" w:rsidRPr="00CD6E19" w:rsidP="00C80814" w14:paraId="4985CFD9" w14:textId="77777777">
      <w:pPr>
        <w:keepNext/>
        <w:ind w:left="1440"/>
        <w:rPr>
          <w:szCs w:val="22"/>
        </w:rPr>
      </w:pPr>
    </w:p>
    <w:p w:rsidR="00C80814" w:rsidRPr="00A128DC" w:rsidP="00AB148C" w14:paraId="2D83A348" w14:textId="77777777">
      <w:pPr>
        <w:keepNext/>
        <w:rPr>
          <w:b/>
          <w:szCs w:val="22"/>
          <w:u w:val="single"/>
        </w:rPr>
      </w:pPr>
      <w:r w:rsidRPr="00A128DC">
        <w:rPr>
          <w:b/>
          <w:szCs w:val="22"/>
          <w:u w:val="single"/>
        </w:rPr>
        <w:t>Unadjusted Circularity Factor</w:t>
      </w:r>
    </w:p>
    <w:p w:rsidR="00C80814" w:rsidRPr="00A128DC" w:rsidP="00C80814" w14:paraId="2E1BC6C4" w14:textId="77777777">
      <w:pPr>
        <w:rPr>
          <w:b/>
          <w:szCs w:val="22"/>
          <w:u w:val="single"/>
        </w:rPr>
      </w:pPr>
    </w:p>
    <w:p w:rsidR="00C80814" w:rsidRPr="00A128DC" w:rsidP="00C80814" w14:paraId="7AA51D39" w14:textId="77777777">
      <w:pPr>
        <w:ind w:firstLine="720"/>
        <w:rPr>
          <w:szCs w:val="22"/>
        </w:rPr>
      </w:pPr>
      <w:r w:rsidRPr="00A128DC">
        <w:rPr>
          <w:szCs w:val="22"/>
        </w:rPr>
        <w:t xml:space="preserve">USAC will reduce each provider’s contribution obligation by a circularity discount approximating the provider’s contributions in the upcoming quarter.  Accordingly, the proposed unadjusted circularity factor for </w:t>
      </w:r>
      <w:r w:rsidRPr="00BF573D">
        <w:rPr>
          <w:szCs w:val="22"/>
        </w:rPr>
        <w:t xml:space="preserve">the </w:t>
      </w:r>
      <w:r w:rsidR="00B44857">
        <w:rPr>
          <w:szCs w:val="22"/>
        </w:rPr>
        <w:t>f</w:t>
      </w:r>
      <w:r w:rsidR="0062267B">
        <w:rPr>
          <w:szCs w:val="22"/>
        </w:rPr>
        <w:t>irst</w:t>
      </w:r>
      <w:r w:rsidR="00021620">
        <w:rPr>
          <w:szCs w:val="22"/>
        </w:rPr>
        <w:t xml:space="preserve"> </w:t>
      </w:r>
      <w:r w:rsidRPr="00BF573D" w:rsidR="00912F56">
        <w:rPr>
          <w:szCs w:val="22"/>
        </w:rPr>
        <w:t>q</w:t>
      </w:r>
      <w:r w:rsidRPr="00BF573D">
        <w:rPr>
          <w:szCs w:val="22"/>
        </w:rPr>
        <w:t xml:space="preserve">uarter of </w:t>
      </w:r>
      <w:r w:rsidRPr="00BF573D" w:rsidR="00D37EE5">
        <w:rPr>
          <w:szCs w:val="22"/>
        </w:rPr>
        <w:t>20</w:t>
      </w:r>
      <w:r w:rsidR="002D2DD3">
        <w:rPr>
          <w:szCs w:val="22"/>
        </w:rPr>
        <w:t>2</w:t>
      </w:r>
      <w:r w:rsidR="0062267B">
        <w:rPr>
          <w:szCs w:val="22"/>
        </w:rPr>
        <w:t>1</w:t>
      </w:r>
      <w:r w:rsidR="00D37EE5">
        <w:rPr>
          <w:szCs w:val="22"/>
        </w:rPr>
        <w:t xml:space="preserve"> </w:t>
      </w:r>
      <w:r w:rsidRPr="00A128DC">
        <w:rPr>
          <w:szCs w:val="22"/>
        </w:rPr>
        <w:t xml:space="preserve">is as follows:   </w:t>
      </w:r>
    </w:p>
    <w:p w:rsidR="00C80814" w:rsidRPr="00A128DC" w:rsidP="00C80814" w14:paraId="2B5F139C" w14:textId="77777777">
      <w:pPr>
        <w:ind w:firstLine="720"/>
        <w:rPr>
          <w:szCs w:val="22"/>
        </w:rPr>
      </w:pPr>
    </w:p>
    <w:p w:rsidR="00C80814" w:rsidRPr="00A128DC" w:rsidP="00C80814" w14:paraId="798023E8" w14:textId="77777777">
      <w:pPr>
        <w:ind w:firstLine="720"/>
        <w:rPr>
          <w:szCs w:val="22"/>
        </w:rPr>
      </w:pPr>
      <w:r w:rsidRPr="00A128DC">
        <w:rPr>
          <w:szCs w:val="22"/>
        </w:rPr>
        <w:t>Unadjusted Circularity Factor for Universal Service Support Mechanisms</w:t>
      </w:r>
    </w:p>
    <w:p w:rsidR="00C80814" w:rsidRPr="00A128DC" w:rsidP="00C80814" w14:paraId="43EE6C20" w14:textId="77777777">
      <w:pPr>
        <w:ind w:firstLine="720"/>
        <w:rPr>
          <w:szCs w:val="22"/>
        </w:rPr>
      </w:pPr>
    </w:p>
    <w:p w:rsidR="00C80814" w:rsidP="00B44857" w14:paraId="2CB6D062" w14:textId="77777777">
      <w:pPr>
        <w:ind w:firstLine="720"/>
        <w:rPr>
          <w:szCs w:val="22"/>
        </w:rPr>
      </w:pPr>
      <w:r w:rsidRPr="00A128DC">
        <w:rPr>
          <w:szCs w:val="22"/>
        </w:rPr>
        <w:t>1-((</w:t>
      </w:r>
      <w:r w:rsidR="00B44857">
        <w:rPr>
          <w:szCs w:val="22"/>
        </w:rPr>
        <w:t>F</w:t>
      </w:r>
      <w:r w:rsidR="0062267B">
        <w:rPr>
          <w:szCs w:val="22"/>
        </w:rPr>
        <w:t>irst</w:t>
      </w:r>
      <w:r w:rsidRPr="00BF573D">
        <w:rPr>
          <w:szCs w:val="22"/>
        </w:rPr>
        <w:t xml:space="preserve"> Quarter </w:t>
      </w:r>
      <w:r w:rsidRPr="00BF573D" w:rsidR="00D37EE5">
        <w:rPr>
          <w:szCs w:val="22"/>
        </w:rPr>
        <w:t>20</w:t>
      </w:r>
      <w:r w:rsidR="002D2DD3">
        <w:rPr>
          <w:szCs w:val="22"/>
        </w:rPr>
        <w:t>2</w:t>
      </w:r>
      <w:r w:rsidR="0062267B">
        <w:rPr>
          <w:szCs w:val="22"/>
        </w:rPr>
        <w:t>1</w:t>
      </w:r>
      <w:r w:rsidRPr="00A128DC" w:rsidR="00D37EE5">
        <w:rPr>
          <w:szCs w:val="22"/>
        </w:rPr>
        <w:t xml:space="preserve"> </w:t>
      </w:r>
      <w:r w:rsidRPr="00A128DC">
        <w:rPr>
          <w:szCs w:val="22"/>
        </w:rPr>
        <w:t>Revenues-Total Program Collection)/</w:t>
      </w:r>
      <w:r w:rsidR="00B44857">
        <w:rPr>
          <w:szCs w:val="22"/>
        </w:rPr>
        <w:t>F</w:t>
      </w:r>
      <w:r w:rsidR="0062267B">
        <w:rPr>
          <w:szCs w:val="22"/>
        </w:rPr>
        <w:t>irst</w:t>
      </w:r>
      <w:r w:rsidR="00D37EE5">
        <w:rPr>
          <w:szCs w:val="22"/>
        </w:rPr>
        <w:t xml:space="preserve"> </w:t>
      </w:r>
      <w:r w:rsidRPr="00BF573D">
        <w:rPr>
          <w:szCs w:val="22"/>
        </w:rPr>
        <w:t>Quarter 20</w:t>
      </w:r>
      <w:r w:rsidR="002D2DD3">
        <w:rPr>
          <w:szCs w:val="22"/>
        </w:rPr>
        <w:t>2</w:t>
      </w:r>
      <w:r w:rsidR="0062267B">
        <w:rPr>
          <w:szCs w:val="22"/>
        </w:rPr>
        <w:t>1</w:t>
      </w:r>
      <w:r w:rsidRPr="00BF573D">
        <w:rPr>
          <w:szCs w:val="22"/>
        </w:rPr>
        <w:t xml:space="preserve"> </w:t>
      </w:r>
      <w:r w:rsidRPr="00A128DC">
        <w:rPr>
          <w:szCs w:val="22"/>
        </w:rPr>
        <w:t>Revenues)</w:t>
      </w:r>
    </w:p>
    <w:p w:rsidR="00B44AF3" w:rsidRPr="00A128DC" w:rsidP="00B44857" w14:paraId="7C650163" w14:textId="77777777">
      <w:pPr>
        <w:ind w:firstLine="720"/>
        <w:rPr>
          <w:szCs w:val="22"/>
        </w:rPr>
      </w:pPr>
    </w:p>
    <w:p w:rsidR="00C80814" w:rsidRPr="00CD6E19" w:rsidP="00F17216" w14:paraId="49F31F3C" w14:textId="77777777">
      <w:pPr>
        <w:ind w:firstLine="720"/>
        <w:rPr>
          <w:szCs w:val="22"/>
        </w:rPr>
      </w:pPr>
      <w:r>
        <w:rPr>
          <w:szCs w:val="22"/>
        </w:rPr>
        <w:t>=</w:t>
      </w:r>
      <w:r w:rsidRPr="00A128DC">
        <w:rPr>
          <w:szCs w:val="22"/>
        </w:rPr>
        <w:t>1 – (($</w:t>
      </w:r>
      <w:r w:rsidRPr="0033574A" w:rsidR="002C72A5">
        <w:rPr>
          <w:szCs w:val="22"/>
        </w:rPr>
        <w:t>1</w:t>
      </w:r>
      <w:r w:rsidR="000C2161">
        <w:rPr>
          <w:szCs w:val="22"/>
        </w:rPr>
        <w:t>0</w:t>
      </w:r>
      <w:r w:rsidRPr="0033574A" w:rsidR="0033574A">
        <w:rPr>
          <w:szCs w:val="22"/>
        </w:rPr>
        <w:t>.</w:t>
      </w:r>
      <w:r w:rsidR="0062267B">
        <w:rPr>
          <w:szCs w:val="22"/>
        </w:rPr>
        <w:t>068713</w:t>
      </w:r>
      <w:r w:rsidR="00D37EE5">
        <w:rPr>
          <w:szCs w:val="22"/>
        </w:rPr>
        <w:t xml:space="preserve"> </w:t>
      </w:r>
      <w:r w:rsidRPr="00CD6E19" w:rsidR="0033276D">
        <w:rPr>
          <w:szCs w:val="22"/>
        </w:rPr>
        <w:t xml:space="preserve">billion </w:t>
      </w:r>
      <w:r w:rsidRPr="00CD6E19">
        <w:rPr>
          <w:szCs w:val="22"/>
        </w:rPr>
        <w:t>- $</w:t>
      </w:r>
      <w:r w:rsidR="00C2619C">
        <w:rPr>
          <w:szCs w:val="22"/>
        </w:rPr>
        <w:t>2</w:t>
      </w:r>
      <w:r w:rsidR="002D2DD3">
        <w:rPr>
          <w:szCs w:val="22"/>
        </w:rPr>
        <w:t>.</w:t>
      </w:r>
      <w:r>
        <w:rPr>
          <w:szCs w:val="22"/>
        </w:rPr>
        <w:t>4</w:t>
      </w:r>
      <w:r w:rsidR="0062267B">
        <w:rPr>
          <w:szCs w:val="22"/>
        </w:rPr>
        <w:t>0</w:t>
      </w:r>
      <w:r>
        <w:rPr>
          <w:szCs w:val="22"/>
        </w:rPr>
        <w:t>79</w:t>
      </w:r>
      <w:r w:rsidR="0062267B">
        <w:rPr>
          <w:szCs w:val="22"/>
        </w:rPr>
        <w:t>9</w:t>
      </w:r>
      <w:r w:rsidR="00C2619C">
        <w:rPr>
          <w:szCs w:val="22"/>
        </w:rPr>
        <w:t>0</w:t>
      </w:r>
      <w:r w:rsidR="009A7E94">
        <w:rPr>
          <w:szCs w:val="22"/>
        </w:rPr>
        <w:t xml:space="preserve"> </w:t>
      </w:r>
      <w:r w:rsidRPr="00CD6E19" w:rsidR="0033276D">
        <w:rPr>
          <w:szCs w:val="22"/>
        </w:rPr>
        <w:t>billion</w:t>
      </w:r>
      <w:r w:rsidRPr="00CD6E19">
        <w:rPr>
          <w:szCs w:val="22"/>
        </w:rPr>
        <w:t>) / $</w:t>
      </w:r>
      <w:r w:rsidRPr="0033574A" w:rsidR="00BE34F3">
        <w:rPr>
          <w:szCs w:val="22"/>
        </w:rPr>
        <w:t>1</w:t>
      </w:r>
      <w:r w:rsidR="000C2161">
        <w:rPr>
          <w:szCs w:val="22"/>
        </w:rPr>
        <w:t>0</w:t>
      </w:r>
      <w:r w:rsidRPr="0033574A" w:rsidR="00BE34F3">
        <w:rPr>
          <w:szCs w:val="22"/>
        </w:rPr>
        <w:t>.</w:t>
      </w:r>
      <w:r w:rsidR="0062267B">
        <w:rPr>
          <w:szCs w:val="22"/>
        </w:rPr>
        <w:t>068713</w:t>
      </w:r>
      <w:r w:rsidR="009A7E94">
        <w:rPr>
          <w:szCs w:val="22"/>
        </w:rPr>
        <w:t xml:space="preserve"> </w:t>
      </w:r>
      <w:r w:rsidRPr="00CD6E19">
        <w:rPr>
          <w:szCs w:val="22"/>
        </w:rPr>
        <w:t>billion)</w:t>
      </w:r>
    </w:p>
    <w:p w:rsidR="00C80814" w:rsidRPr="00CD6E19" w:rsidP="00C80814" w14:paraId="0F022CC6" w14:textId="77777777">
      <w:pPr>
        <w:rPr>
          <w:szCs w:val="22"/>
        </w:rPr>
      </w:pPr>
    </w:p>
    <w:p w:rsidR="007345FD" w:rsidP="00C80814" w14:paraId="617C5197" w14:textId="77777777">
      <w:pPr>
        <w:rPr>
          <w:szCs w:val="22"/>
        </w:rPr>
      </w:pPr>
      <w:r w:rsidRPr="00CD6E19">
        <w:rPr>
          <w:b/>
          <w:szCs w:val="22"/>
        </w:rPr>
        <w:tab/>
      </w:r>
      <w:r w:rsidRPr="00CD6E19">
        <w:rPr>
          <w:b/>
          <w:szCs w:val="22"/>
        </w:rPr>
        <w:tab/>
      </w:r>
      <w:r w:rsidRPr="00CD6E19">
        <w:rPr>
          <w:b/>
          <w:szCs w:val="22"/>
        </w:rPr>
        <w:tab/>
      </w:r>
      <w:r w:rsidRPr="00CD6E19">
        <w:rPr>
          <w:b/>
          <w:szCs w:val="22"/>
        </w:rPr>
        <w:tab/>
      </w:r>
      <w:r w:rsidR="00B44857">
        <w:rPr>
          <w:b/>
          <w:szCs w:val="22"/>
        </w:rPr>
        <w:t>=</w:t>
      </w:r>
      <w:r w:rsidRPr="00D00031" w:rsidR="00AA275E">
        <w:rPr>
          <w:szCs w:val="22"/>
        </w:rPr>
        <w:t>0.</w:t>
      </w:r>
      <w:r w:rsidR="00C2619C">
        <w:rPr>
          <w:szCs w:val="22"/>
        </w:rPr>
        <w:t>2</w:t>
      </w:r>
      <w:r w:rsidR="00927F0B">
        <w:rPr>
          <w:szCs w:val="22"/>
        </w:rPr>
        <w:t>39156</w:t>
      </w:r>
    </w:p>
    <w:p w:rsidR="007345FD" w:rsidP="00C80814" w14:paraId="7952E764" w14:textId="77777777">
      <w:pPr>
        <w:rPr>
          <w:b/>
          <w:szCs w:val="22"/>
          <w:u w:val="single"/>
        </w:rPr>
      </w:pPr>
    </w:p>
    <w:p w:rsidR="00C80814" w:rsidRPr="00A128DC" w:rsidP="00C80814" w14:paraId="7C83E9DA" w14:textId="77777777">
      <w:pPr>
        <w:rPr>
          <w:b/>
          <w:szCs w:val="22"/>
          <w:u w:val="single"/>
        </w:rPr>
      </w:pPr>
      <w:r w:rsidRPr="00A128DC">
        <w:rPr>
          <w:b/>
          <w:szCs w:val="22"/>
          <w:u w:val="single"/>
        </w:rPr>
        <w:t>Proposed Contribution Factor</w:t>
      </w:r>
    </w:p>
    <w:p w:rsidR="00C80814" w:rsidRPr="00A128DC" w:rsidP="00C80814" w14:paraId="6BAF3A37" w14:textId="77777777">
      <w:pPr>
        <w:ind w:left="1440"/>
        <w:rPr>
          <w:b/>
          <w:szCs w:val="22"/>
          <w:u w:val="single"/>
        </w:rPr>
      </w:pPr>
    </w:p>
    <w:p w:rsidR="00CE7A94" w:rsidP="003E33E5" w14:paraId="3C595115" w14:textId="77777777">
      <w:pPr>
        <w:ind w:firstLine="720"/>
        <w:rPr>
          <w:szCs w:val="22"/>
        </w:rPr>
      </w:pPr>
      <w:r>
        <w:rPr>
          <w:szCs w:val="22"/>
        </w:rPr>
        <w:t>The Commission has directed OMD to a</w:t>
      </w:r>
      <w:r w:rsidRPr="00A128DC" w:rsidR="00C80814">
        <w:rPr>
          <w:szCs w:val="22"/>
        </w:rPr>
        <w:t xml:space="preserve">nnounce the contribution factor as a percentage rounded </w:t>
      </w:r>
      <w:r w:rsidR="00144D8B">
        <w:rPr>
          <w:szCs w:val="22"/>
        </w:rPr>
        <w:t xml:space="preserve">up </w:t>
      </w:r>
      <w:r w:rsidRPr="00A128DC" w:rsidR="00C80814">
        <w:rPr>
          <w:szCs w:val="22"/>
        </w:rPr>
        <w:t>to the nearest tenth of one percent.</w:t>
      </w:r>
      <w:r>
        <w:rPr>
          <w:rStyle w:val="FootnoteReference"/>
          <w:szCs w:val="22"/>
        </w:rPr>
        <w:footnoteReference w:id="9"/>
      </w:r>
      <w:r w:rsidRPr="00A128DC" w:rsidR="00C80814">
        <w:rPr>
          <w:szCs w:val="22"/>
        </w:rPr>
        <w:t xml:space="preserve">  Accordingly, the proposed contribution factor for the</w:t>
      </w:r>
      <w:r w:rsidR="002C1478">
        <w:rPr>
          <w:szCs w:val="22"/>
        </w:rPr>
        <w:t xml:space="preserve"> </w:t>
      </w:r>
      <w:r w:rsidR="00B44857">
        <w:rPr>
          <w:szCs w:val="22"/>
        </w:rPr>
        <w:t>f</w:t>
      </w:r>
      <w:r w:rsidR="00927F0B">
        <w:rPr>
          <w:szCs w:val="22"/>
        </w:rPr>
        <w:t>irst</w:t>
      </w:r>
      <w:r w:rsidRPr="00BF573D" w:rsidR="000A20F8">
        <w:rPr>
          <w:szCs w:val="22"/>
        </w:rPr>
        <w:t xml:space="preserve"> </w:t>
      </w:r>
      <w:r w:rsidRPr="00BF573D" w:rsidR="00C80814">
        <w:rPr>
          <w:szCs w:val="22"/>
        </w:rPr>
        <w:t>quarter of 20</w:t>
      </w:r>
      <w:r w:rsidR="002D2DD3">
        <w:rPr>
          <w:szCs w:val="22"/>
        </w:rPr>
        <w:t>2</w:t>
      </w:r>
      <w:r w:rsidR="00927F0B">
        <w:rPr>
          <w:szCs w:val="22"/>
        </w:rPr>
        <w:t xml:space="preserve">1 </w:t>
      </w:r>
      <w:r w:rsidRPr="00A128DC" w:rsidR="00C80814">
        <w:rPr>
          <w:szCs w:val="22"/>
        </w:rPr>
        <w:t>is as follows:</w:t>
      </w:r>
    </w:p>
    <w:p w:rsidR="00CE7A94" w:rsidRPr="0033574A" w:rsidP="00CE7A94" w14:paraId="49886B45" w14:textId="77777777">
      <w:pPr>
        <w:rPr>
          <w:szCs w:val="22"/>
        </w:rPr>
      </w:pPr>
      <w:r w:rsidRPr="00A128DC">
        <w:rPr>
          <w:szCs w:val="22"/>
        </w:rPr>
        <w:tab/>
      </w:r>
      <w:r w:rsidRPr="00A128DC">
        <w:rPr>
          <w:szCs w:val="22"/>
        </w:rPr>
        <w:tab/>
      </w:r>
      <w:r w:rsidRPr="00A128DC">
        <w:rPr>
          <w:szCs w:val="22"/>
        </w:rPr>
        <w:tab/>
      </w:r>
      <w:r w:rsidRPr="00A128DC">
        <w:rPr>
          <w:szCs w:val="22"/>
        </w:rPr>
        <w:tab/>
      </w:r>
      <w:r w:rsidRPr="0033574A">
        <w:rPr>
          <w:szCs w:val="22"/>
        </w:rPr>
        <w:t xml:space="preserve">    </w:t>
      </w:r>
      <w:r w:rsidR="00927F0B">
        <w:rPr>
          <w:szCs w:val="22"/>
        </w:rPr>
        <w:t>31.8</w:t>
      </w:r>
      <w:r w:rsidRPr="00DE7F07" w:rsidR="00494CD5">
        <w:rPr>
          <w:szCs w:val="22"/>
        </w:rPr>
        <w:t>%</w:t>
      </w:r>
    </w:p>
    <w:p w:rsidR="00CE7A94" w:rsidP="007345FD" w14:paraId="11880B57" w14:textId="77777777">
      <w:pPr>
        <w:rPr>
          <w:b/>
          <w:szCs w:val="22"/>
          <w:u w:val="single"/>
        </w:rPr>
      </w:pPr>
    </w:p>
    <w:p w:rsidR="00C80814" w:rsidRPr="00CE7A94" w:rsidP="00B44AF3" w14:paraId="2B27B0D8" w14:textId="77777777">
      <w:pPr>
        <w:keepNext/>
        <w:widowControl w:val="0"/>
        <w:rPr>
          <w:szCs w:val="22"/>
        </w:rPr>
      </w:pPr>
      <w:r w:rsidRPr="00A128DC">
        <w:rPr>
          <w:b/>
          <w:szCs w:val="22"/>
          <w:u w:val="single"/>
        </w:rPr>
        <w:t xml:space="preserve">Proposed Circularity </w:t>
      </w:r>
      <w:r w:rsidR="00D00031">
        <w:rPr>
          <w:b/>
          <w:szCs w:val="22"/>
          <w:u w:val="single"/>
        </w:rPr>
        <w:t xml:space="preserve">Discount </w:t>
      </w:r>
      <w:r w:rsidRPr="00A128DC">
        <w:rPr>
          <w:b/>
          <w:szCs w:val="22"/>
          <w:u w:val="single"/>
        </w:rPr>
        <w:t>Factor</w:t>
      </w:r>
    </w:p>
    <w:p w:rsidR="00C80814" w:rsidRPr="00A128DC" w:rsidP="00B44AF3" w14:paraId="2CB816B3" w14:textId="77777777">
      <w:pPr>
        <w:keepNext/>
        <w:widowControl w:val="0"/>
        <w:rPr>
          <w:szCs w:val="22"/>
        </w:rPr>
      </w:pPr>
    </w:p>
    <w:p w:rsidR="00C80814" w:rsidRPr="00A128DC" w:rsidP="00B44AF3" w14:paraId="2D4BAEC4" w14:textId="77777777">
      <w:pPr>
        <w:keepNext/>
        <w:widowControl w:val="0"/>
        <w:ind w:firstLine="720"/>
        <w:rPr>
          <w:szCs w:val="22"/>
        </w:rPr>
      </w:pPr>
      <w:r w:rsidRPr="00A128DC">
        <w:rPr>
          <w:szCs w:val="22"/>
        </w:rPr>
        <w:t xml:space="preserve">The Commission also has directed </w:t>
      </w:r>
      <w:r w:rsidR="00444AC2">
        <w:rPr>
          <w:szCs w:val="22"/>
        </w:rPr>
        <w:t>OMD</w:t>
      </w:r>
      <w:r w:rsidRPr="00A128DC">
        <w:rPr>
          <w:szCs w:val="22"/>
        </w:rPr>
        <w:t xml:space="preserve"> to account for contribution factor rounding when calculating the circularity discount factor.</w:t>
      </w:r>
      <w:r>
        <w:rPr>
          <w:rStyle w:val="FootnoteReference"/>
          <w:szCs w:val="22"/>
        </w:rPr>
        <w:footnoteReference w:id="10"/>
      </w:r>
      <w:r w:rsidRPr="00A128DC">
        <w:rPr>
          <w:szCs w:val="22"/>
        </w:rPr>
        <w:t xml:space="preserve">  Accordingly, the proposed circularity factor for </w:t>
      </w:r>
      <w:r w:rsidRPr="00BF573D">
        <w:rPr>
          <w:szCs w:val="22"/>
        </w:rPr>
        <w:t xml:space="preserve">the </w:t>
      </w:r>
      <w:r w:rsidR="00637446">
        <w:rPr>
          <w:szCs w:val="22"/>
        </w:rPr>
        <w:t>f</w:t>
      </w:r>
      <w:r w:rsidR="00927F0B">
        <w:rPr>
          <w:szCs w:val="22"/>
        </w:rPr>
        <w:t>irst</w:t>
      </w:r>
      <w:r w:rsidR="002C1478">
        <w:rPr>
          <w:szCs w:val="22"/>
        </w:rPr>
        <w:t xml:space="preserve"> </w:t>
      </w:r>
      <w:r w:rsidR="00F44C61">
        <w:rPr>
          <w:szCs w:val="22"/>
        </w:rPr>
        <w:t>quarter</w:t>
      </w:r>
      <w:r w:rsidRPr="00BF573D">
        <w:rPr>
          <w:szCs w:val="22"/>
        </w:rPr>
        <w:t xml:space="preserve"> of </w:t>
      </w:r>
      <w:r w:rsidRPr="00BF573D" w:rsidR="00D37EE5">
        <w:rPr>
          <w:szCs w:val="22"/>
        </w:rPr>
        <w:t>20</w:t>
      </w:r>
      <w:r w:rsidR="002D2DD3">
        <w:rPr>
          <w:szCs w:val="22"/>
        </w:rPr>
        <w:t>2</w:t>
      </w:r>
      <w:r w:rsidR="00927F0B">
        <w:rPr>
          <w:szCs w:val="22"/>
        </w:rPr>
        <w:t>1</w:t>
      </w:r>
      <w:r w:rsidR="00D37EE5">
        <w:rPr>
          <w:szCs w:val="22"/>
        </w:rPr>
        <w:t xml:space="preserve"> </w:t>
      </w:r>
      <w:r w:rsidRPr="00A128DC">
        <w:rPr>
          <w:szCs w:val="22"/>
        </w:rPr>
        <w:t>is as follows:</w:t>
      </w:r>
      <w:r w:rsidRPr="00A128DC">
        <w:rPr>
          <w:rStyle w:val="FootnoteReference"/>
          <w:szCs w:val="22"/>
        </w:rPr>
        <w:t xml:space="preserve"> </w:t>
      </w:r>
    </w:p>
    <w:p w:rsidR="00C80814" w:rsidRPr="00BF573D" w:rsidP="00823722" w14:paraId="4B7C5198" w14:textId="77777777">
      <w:pPr>
        <w:rPr>
          <w:szCs w:val="22"/>
        </w:rPr>
      </w:pPr>
    </w:p>
    <w:p w:rsidR="00C80814" w:rsidRPr="00A128DC" w:rsidP="00823722" w14:paraId="7B531D7D" w14:textId="77777777">
      <w:pPr>
        <w:ind w:firstLine="720"/>
        <w:rPr>
          <w:szCs w:val="22"/>
        </w:rPr>
      </w:pPr>
      <w:r w:rsidRPr="00BF573D">
        <w:rPr>
          <w:szCs w:val="22"/>
        </w:rPr>
        <w:tab/>
      </w:r>
      <w:r w:rsidRPr="00BF573D">
        <w:rPr>
          <w:szCs w:val="22"/>
        </w:rPr>
        <w:tab/>
      </w:r>
      <w:r w:rsidRPr="00BF573D">
        <w:rPr>
          <w:szCs w:val="22"/>
        </w:rPr>
        <w:tab/>
      </w:r>
      <w:r w:rsidRPr="0033574A" w:rsidR="00D87491">
        <w:rPr>
          <w:szCs w:val="22"/>
        </w:rPr>
        <w:t>0.</w:t>
      </w:r>
      <w:r w:rsidR="00C2619C">
        <w:rPr>
          <w:szCs w:val="22"/>
        </w:rPr>
        <w:t>2</w:t>
      </w:r>
      <w:r w:rsidR="00927F0B">
        <w:rPr>
          <w:szCs w:val="22"/>
        </w:rPr>
        <w:t>40341</w:t>
      </w:r>
      <w:r>
        <w:rPr>
          <w:rStyle w:val="FootnoteReference"/>
          <w:szCs w:val="22"/>
        </w:rPr>
        <w:footnoteReference w:id="11"/>
      </w:r>
      <w:r w:rsidRPr="00A128DC">
        <w:rPr>
          <w:szCs w:val="22"/>
        </w:rPr>
        <w:t xml:space="preserve"> </w:t>
      </w:r>
    </w:p>
    <w:p w:rsidR="000D1ABA" w:rsidRPr="00A128DC" w:rsidP="00823722" w14:paraId="3E9F4C7B" w14:textId="77777777">
      <w:pPr>
        <w:rPr>
          <w:szCs w:val="22"/>
          <w:u w:val="single"/>
        </w:rPr>
      </w:pPr>
    </w:p>
    <w:p w:rsidR="00C80814" w:rsidRPr="00A128DC" w:rsidP="00823722" w14:paraId="0045DF22" w14:textId="77777777">
      <w:pPr>
        <w:rPr>
          <w:b/>
          <w:szCs w:val="22"/>
          <w:u w:val="single"/>
        </w:rPr>
      </w:pPr>
      <w:r w:rsidRPr="00A128DC">
        <w:rPr>
          <w:b/>
          <w:szCs w:val="22"/>
          <w:u w:val="single"/>
        </w:rPr>
        <w:t>Conclusion</w:t>
      </w:r>
    </w:p>
    <w:p w:rsidR="00C80814" w:rsidRPr="00A128DC" w:rsidP="00823722" w14:paraId="138DC3AB" w14:textId="77777777">
      <w:pPr>
        <w:tabs>
          <w:tab w:val="left" w:pos="0"/>
          <w:tab w:val="left" w:pos="720"/>
          <w:tab w:val="left" w:pos="1440"/>
        </w:tabs>
        <w:spacing w:line="226" w:lineRule="auto"/>
        <w:rPr>
          <w:szCs w:val="22"/>
        </w:rPr>
      </w:pPr>
    </w:p>
    <w:p w:rsidR="00C80814" w:rsidRPr="00A128DC" w:rsidP="00823722" w14:paraId="40981FF5" w14:textId="77777777">
      <w:pPr>
        <w:tabs>
          <w:tab w:val="left" w:pos="0"/>
          <w:tab w:val="left" w:pos="720"/>
          <w:tab w:val="left" w:pos="1440"/>
        </w:tabs>
        <w:spacing w:line="226" w:lineRule="auto"/>
        <w:rPr>
          <w:szCs w:val="22"/>
        </w:rPr>
      </w:pPr>
      <w:r w:rsidRPr="00A128DC">
        <w:rPr>
          <w:szCs w:val="22"/>
        </w:rPr>
        <w:tab/>
        <w:t>If the Commission takes no action regarding the projections of demand and administrative expenses and the proposed contribution factor within the 14-day period following release of this Public Notice, they shall be deemed approved by the Commission.</w:t>
      </w:r>
      <w:r>
        <w:rPr>
          <w:rStyle w:val="FootnoteReference"/>
          <w:szCs w:val="22"/>
        </w:rPr>
        <w:footnoteReference w:id="12"/>
      </w:r>
      <w:r w:rsidRPr="00A128DC">
        <w:rPr>
          <w:szCs w:val="22"/>
        </w:rPr>
        <w:t xml:space="preserve">  USAC shall use the contribution factor to calculate universal service contributions for </w:t>
      </w:r>
      <w:r w:rsidRPr="00BF573D">
        <w:rPr>
          <w:szCs w:val="22"/>
        </w:rPr>
        <w:t xml:space="preserve">the </w:t>
      </w:r>
      <w:r w:rsidR="00637446">
        <w:rPr>
          <w:szCs w:val="22"/>
        </w:rPr>
        <w:t>f</w:t>
      </w:r>
      <w:r w:rsidR="00927F0B">
        <w:rPr>
          <w:szCs w:val="22"/>
        </w:rPr>
        <w:t>irst</w:t>
      </w:r>
      <w:r w:rsidR="002C1478">
        <w:rPr>
          <w:szCs w:val="22"/>
        </w:rPr>
        <w:t xml:space="preserve"> </w:t>
      </w:r>
      <w:r w:rsidRPr="00BF573D">
        <w:rPr>
          <w:szCs w:val="22"/>
        </w:rPr>
        <w:t xml:space="preserve">quarter of </w:t>
      </w:r>
      <w:r w:rsidRPr="00BF573D" w:rsidR="00D37EE5">
        <w:rPr>
          <w:szCs w:val="22"/>
        </w:rPr>
        <w:t>20</w:t>
      </w:r>
      <w:r w:rsidR="002D2DD3">
        <w:rPr>
          <w:szCs w:val="22"/>
        </w:rPr>
        <w:t>2</w:t>
      </w:r>
      <w:r w:rsidR="00927F0B">
        <w:rPr>
          <w:szCs w:val="22"/>
        </w:rPr>
        <w:t>1</w:t>
      </w:r>
      <w:r w:rsidRPr="00A128DC">
        <w:rPr>
          <w:szCs w:val="22"/>
        </w:rPr>
        <w:t>.  USAC will reduce each provider’s contribution obligation by a circularity discount approximating the provider’s contributions in the upcoming quarter.</w:t>
      </w:r>
      <w:r>
        <w:rPr>
          <w:rStyle w:val="FootnoteReference"/>
          <w:szCs w:val="22"/>
        </w:rPr>
        <w:footnoteReference w:id="13"/>
      </w:r>
      <w:r w:rsidRPr="00A128DC">
        <w:rPr>
          <w:szCs w:val="22"/>
        </w:rPr>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collecting overdue contributions.</w:t>
      </w:r>
      <w:r>
        <w:rPr>
          <w:rStyle w:val="FootnoteReference"/>
          <w:szCs w:val="22"/>
        </w:rPr>
        <w:footnoteReference w:id="14"/>
      </w:r>
    </w:p>
    <w:p w:rsidR="00C80814" w:rsidRPr="00A128DC" w:rsidP="00823722" w14:paraId="270EE1FD" w14:textId="77777777">
      <w:pPr>
        <w:tabs>
          <w:tab w:val="left" w:pos="0"/>
        </w:tabs>
        <w:spacing w:line="226" w:lineRule="auto"/>
        <w:rPr>
          <w:szCs w:val="22"/>
        </w:rPr>
      </w:pPr>
    </w:p>
    <w:p w:rsidR="00C80814" w:rsidP="00B44AF3" w14:paraId="010066C1" w14:textId="77777777">
      <w:pPr>
        <w:spacing w:line="226" w:lineRule="auto"/>
        <w:ind w:firstLine="720"/>
        <w:rPr>
          <w:szCs w:val="22"/>
        </w:rPr>
      </w:pPr>
      <w:r w:rsidRPr="00A128DC">
        <w:rPr>
          <w:szCs w:val="22"/>
        </w:rPr>
        <w:t>We also emphasize that carriers may not mark up federal universal service line-item amounts above the contribution factor.</w:t>
      </w:r>
      <w:r>
        <w:rPr>
          <w:szCs w:val="22"/>
          <w:vertAlign w:val="superscript"/>
        </w:rPr>
        <w:footnoteReference w:id="15"/>
      </w:r>
      <w:r w:rsidRPr="00A128DC">
        <w:rPr>
          <w:szCs w:val="22"/>
        </w:rPr>
        <w:t xml:space="preserve">  Thus, carriers may not, during the </w:t>
      </w:r>
      <w:r w:rsidR="00637446">
        <w:rPr>
          <w:szCs w:val="22"/>
        </w:rPr>
        <w:t>f</w:t>
      </w:r>
      <w:r w:rsidR="00927F0B">
        <w:rPr>
          <w:szCs w:val="22"/>
        </w:rPr>
        <w:t>irst</w:t>
      </w:r>
      <w:r w:rsidR="00442CE0">
        <w:rPr>
          <w:szCs w:val="22"/>
        </w:rPr>
        <w:t xml:space="preserve"> </w:t>
      </w:r>
      <w:r w:rsidRPr="00BF573D">
        <w:rPr>
          <w:szCs w:val="22"/>
        </w:rPr>
        <w:t xml:space="preserve">quarter of </w:t>
      </w:r>
      <w:r w:rsidRPr="00BF573D" w:rsidR="00381AA1">
        <w:rPr>
          <w:szCs w:val="22"/>
        </w:rPr>
        <w:t>20</w:t>
      </w:r>
      <w:r w:rsidR="00677A20">
        <w:rPr>
          <w:szCs w:val="22"/>
        </w:rPr>
        <w:t>2</w:t>
      </w:r>
      <w:r w:rsidR="00927F0B">
        <w:rPr>
          <w:szCs w:val="22"/>
        </w:rPr>
        <w:t>1</w:t>
      </w:r>
      <w:r w:rsidRPr="00A128DC">
        <w:rPr>
          <w:szCs w:val="22"/>
        </w:rPr>
        <w:t xml:space="preserve">, recover through a federal universal service line item an amount that </w:t>
      </w:r>
      <w:r w:rsidRPr="00BF573D">
        <w:rPr>
          <w:szCs w:val="22"/>
        </w:rPr>
        <w:t xml:space="preserve">exceeds </w:t>
      </w:r>
      <w:r w:rsidR="00927F0B">
        <w:rPr>
          <w:szCs w:val="22"/>
        </w:rPr>
        <w:t>3</w:t>
      </w:r>
      <w:r w:rsidR="007C2CE6">
        <w:rPr>
          <w:szCs w:val="22"/>
        </w:rPr>
        <w:t>1</w:t>
      </w:r>
      <w:r w:rsidR="00927F0B">
        <w:rPr>
          <w:szCs w:val="22"/>
        </w:rPr>
        <w:t>.8</w:t>
      </w:r>
      <w:r w:rsidRPr="00A50439">
        <w:rPr>
          <w:b/>
          <w:szCs w:val="22"/>
        </w:rPr>
        <w:t xml:space="preserve"> </w:t>
      </w:r>
      <w:r w:rsidRPr="00A50439">
        <w:rPr>
          <w:szCs w:val="22"/>
        </w:rPr>
        <w:t>percent</w:t>
      </w:r>
      <w:r w:rsidRPr="00A128DC">
        <w:rPr>
          <w:szCs w:val="22"/>
        </w:rPr>
        <w:t xml:space="preserve"> of the interstate telecommunications charges on a customer’s bill.</w:t>
      </w:r>
    </w:p>
    <w:p w:rsidR="00C93EBE" w:rsidP="00823722" w14:paraId="0772A44D" w14:textId="77777777">
      <w:pPr>
        <w:tabs>
          <w:tab w:val="left" w:pos="0"/>
        </w:tabs>
        <w:spacing w:line="226" w:lineRule="auto"/>
        <w:rPr>
          <w:szCs w:val="22"/>
        </w:rPr>
      </w:pPr>
    </w:p>
    <w:p w:rsidR="00C93EBE" w:rsidRPr="00A128DC" w:rsidP="00B44AF3" w14:paraId="5415DB90" w14:textId="77777777">
      <w:pPr>
        <w:ind w:firstLine="720"/>
        <w:rPr>
          <w:szCs w:val="22"/>
        </w:rPr>
      </w:pPr>
      <w:r>
        <w:rPr>
          <w:szCs w:val="22"/>
        </w:rPr>
        <w:t>In addition, under the limited international revenues exception (LIRE) in section 54.706(c) of the Commission’s rules, a contributor to the universal service fund whose projected collected interstate end</w:t>
      </w:r>
      <w:r w:rsidR="005F71F5">
        <w:rPr>
          <w:szCs w:val="22"/>
        </w:rPr>
        <w:t>-</w:t>
      </w:r>
      <w:r>
        <w:rPr>
          <w:szCs w:val="22"/>
        </w:rPr>
        <w:t xml:space="preserve">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6"/>
      </w:r>
      <w:r>
        <w:rPr>
          <w:szCs w:val="22"/>
        </w:rPr>
        <w:t xml:space="preserve">  The rule is intended to exclude from the contribution base the international end-user telecommunications revenues of any entity whose annual contribution, based on the provider’s interstate and international end-</w:t>
      </w:r>
      <w:r>
        <w:rPr>
          <w:szCs w:val="22"/>
        </w:rPr>
        <w:t>user telecommunications revenues, would exceed the amount of its interstate end-user revenues.</w:t>
      </w:r>
      <w:r>
        <w:rPr>
          <w:rStyle w:val="FootnoteReference"/>
          <w:szCs w:val="22"/>
        </w:rPr>
        <w:footnoteReference w:id="17"/>
      </w:r>
      <w:r>
        <w:rPr>
          <w:szCs w:val="22"/>
        </w:rP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18"/>
      </w:r>
    </w:p>
    <w:p w:rsidR="00C93EBE" w:rsidRPr="00A128DC" w:rsidP="00823722" w14:paraId="6595147D" w14:textId="77777777">
      <w:pPr>
        <w:tabs>
          <w:tab w:val="left" w:pos="0"/>
        </w:tabs>
        <w:spacing w:line="226" w:lineRule="auto"/>
        <w:rPr>
          <w:szCs w:val="22"/>
        </w:rPr>
      </w:pPr>
    </w:p>
    <w:p w:rsidR="00C80814" w:rsidP="00B44AF3" w14:paraId="233FFA98" w14:textId="1BF0D65E">
      <w:pPr>
        <w:spacing w:line="226" w:lineRule="auto"/>
        <w:ind w:firstLine="720"/>
        <w:rPr>
          <w:szCs w:val="22"/>
        </w:rPr>
      </w:pPr>
      <w:r w:rsidRPr="00A128DC">
        <w:rPr>
          <w:szCs w:val="22"/>
        </w:rPr>
        <w:t xml:space="preserve">For further information, contact </w:t>
      </w:r>
      <w:smartTag w:uri="urn:schemas-microsoft-com:office:smarttags" w:element="PersonName">
        <w:r w:rsidR="00444AC2">
          <w:rPr>
            <w:szCs w:val="22"/>
          </w:rPr>
          <w:t>Kim Yee</w:t>
        </w:r>
      </w:smartTag>
      <w:r w:rsidRPr="00A128DC">
        <w:rPr>
          <w:szCs w:val="22"/>
        </w:rPr>
        <w:t xml:space="preserve"> in </w:t>
      </w:r>
      <w:r w:rsidR="00DD255A">
        <w:rPr>
          <w:szCs w:val="22"/>
        </w:rPr>
        <w:t xml:space="preserve">Financial Operations, Office of Managing Director, </w:t>
      </w:r>
      <w:r w:rsidRPr="00A128DC">
        <w:rPr>
          <w:szCs w:val="22"/>
        </w:rPr>
        <w:t>at (202) 418-</w:t>
      </w:r>
      <w:r w:rsidR="00444AC2">
        <w:rPr>
          <w:szCs w:val="22"/>
        </w:rPr>
        <w:t>0805</w:t>
      </w:r>
      <w:r w:rsidRPr="00A128DC">
        <w:rPr>
          <w:szCs w:val="22"/>
        </w:rPr>
        <w:t>, TTY (</w:t>
      </w:r>
      <w:r w:rsidR="00A962F0">
        <w:rPr>
          <w:szCs w:val="22"/>
        </w:rPr>
        <w:t>888</w:t>
      </w:r>
      <w:r w:rsidRPr="00A128DC">
        <w:rPr>
          <w:szCs w:val="22"/>
        </w:rPr>
        <w:t xml:space="preserve">) </w:t>
      </w:r>
      <w:r w:rsidR="00A962F0">
        <w:rPr>
          <w:szCs w:val="22"/>
        </w:rPr>
        <w:t>835-5322</w:t>
      </w:r>
      <w:r w:rsidRPr="00A128DC">
        <w:rPr>
          <w:szCs w:val="22"/>
        </w:rPr>
        <w:t>.</w:t>
      </w:r>
      <w:bookmarkStart w:id="1" w:name="_GoBack"/>
      <w:bookmarkEnd w:id="1"/>
    </w:p>
    <w:p w:rsidR="006E7F54" w:rsidP="00B44AF3" w14:paraId="015CA779" w14:textId="5A917FD5">
      <w:pPr>
        <w:spacing w:line="226" w:lineRule="auto"/>
        <w:ind w:firstLine="720"/>
        <w:rPr>
          <w:szCs w:val="22"/>
        </w:rPr>
      </w:pPr>
    </w:p>
    <w:p w:rsidR="006E7F54" w:rsidRPr="00A128DC" w:rsidP="006E7F54" w14:paraId="1AE1F509" w14:textId="0AD01000">
      <w:pPr>
        <w:spacing w:line="226" w:lineRule="auto"/>
        <w:jc w:val="center"/>
        <w:rPr>
          <w:szCs w:val="22"/>
        </w:rPr>
      </w:pPr>
      <w:r>
        <w:rPr>
          <w:szCs w:val="22"/>
        </w:rPr>
        <w:t xml:space="preserve">- </w:t>
      </w:r>
      <w:r w:rsidRPr="006E7F54">
        <w:rPr>
          <w:b/>
          <w:bCs/>
          <w:szCs w:val="22"/>
        </w:rPr>
        <w:t>FCC</w:t>
      </w:r>
      <w:r>
        <w:rPr>
          <w:szCs w:val="22"/>
        </w:rPr>
        <w:t xml:space="preserve"> -</w:t>
      </w:r>
    </w:p>
    <w:sectPr w:rsidSect="00B44AF3">
      <w:headerReference w:type="default" r:id="rId8"/>
      <w:footerReference w:type="default" r:id="rId9"/>
      <w:type w:val="continuous"/>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59162D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511" w14:paraId="42DC57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14:paraId="7F549B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434">
      <w:rPr>
        <w:rStyle w:val="PageNumber"/>
        <w:noProof/>
      </w:rPr>
      <w:t>5</w:t>
    </w:r>
    <w:r>
      <w:rPr>
        <w:rStyle w:val="PageNumber"/>
      </w:rPr>
      <w:fldChar w:fldCharType="end"/>
    </w:r>
  </w:p>
  <w:p w:rsidR="00A82D5B" w:rsidP="00B44AF3" w14:paraId="6BE2BF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AF3" w:rsidP="00B44AF3" w14:paraId="5771917D"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2B5E" w14:paraId="687D645F" w14:textId="77777777">
      <w:r>
        <w:separator/>
      </w:r>
    </w:p>
  </w:footnote>
  <w:footnote w:type="continuationSeparator" w:id="1">
    <w:p w:rsidR="00C42B5E" w14:paraId="338DE415" w14:textId="77777777">
      <w:r>
        <w:continuationSeparator/>
      </w:r>
    </w:p>
  </w:footnote>
  <w:footnote w:id="2">
    <w:p w:rsidR="00B44511" w:rsidRPr="00207C5F" w:rsidP="00C80814" w14:paraId="0CBA121B"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w:t>
      </w:r>
    </w:p>
  </w:footnote>
  <w:footnote w:id="3">
    <w:p w:rsidR="00B44511" w:rsidRPr="00207C5F" w:rsidP="00C80814" w14:paraId="59555DE3" w14:textId="77777777">
      <w:pPr>
        <w:pStyle w:val="FootnoteText"/>
        <w:rPr>
          <w:sz w:val="20"/>
        </w:rPr>
      </w:pPr>
      <w:r w:rsidRPr="00207C5F">
        <w:rPr>
          <w:rStyle w:val="FootnoteReference"/>
          <w:sz w:val="20"/>
        </w:rPr>
        <w:footnoteRef/>
      </w:r>
      <w:r w:rsidRPr="00207C5F">
        <w:rPr>
          <w:sz w:val="20"/>
        </w:rPr>
        <w:t xml:space="preserve"> </w:t>
      </w:r>
      <w:r w:rsidRPr="00207C5F">
        <w:rPr>
          <w:i/>
          <w:sz w:val="20"/>
        </w:rPr>
        <w:t>See id.</w:t>
      </w:r>
    </w:p>
  </w:footnote>
  <w:footnote w:id="4">
    <w:p w:rsidR="00B44511" w:rsidRPr="00207C5F" w:rsidP="00C80814" w14:paraId="3AFFC3A1"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54.709(a)(2).</w:t>
      </w:r>
    </w:p>
  </w:footnote>
  <w:footnote w:id="5">
    <w:p w:rsidR="00B44511" w:rsidRPr="00207C5F" w:rsidP="00C80814" w14:paraId="0100BC20" w14:textId="77777777">
      <w:pPr>
        <w:pStyle w:val="FootnoteText"/>
        <w:rPr>
          <w:i/>
          <w:sz w:val="20"/>
        </w:rPr>
      </w:pPr>
      <w:r w:rsidRPr="00207C5F">
        <w:rPr>
          <w:rStyle w:val="FootnoteReference"/>
          <w:sz w:val="20"/>
        </w:rPr>
        <w:footnoteRef/>
      </w:r>
      <w:r w:rsidRPr="00207C5F">
        <w:rPr>
          <w:sz w:val="20"/>
        </w:rPr>
        <w:t xml:space="preserve"> </w:t>
      </w:r>
      <w:r w:rsidRPr="009943CA" w:rsidR="009943CA">
        <w:rPr>
          <w:i/>
          <w:sz w:val="20"/>
        </w:rPr>
        <w:t>See</w:t>
      </w:r>
      <w:r w:rsidR="009943CA">
        <w:rPr>
          <w:sz w:val="20"/>
        </w:rPr>
        <w:t xml:space="preserve"> </w:t>
      </w:r>
      <w:r w:rsidRPr="00207C5F">
        <w:rPr>
          <w:sz w:val="20"/>
        </w:rPr>
        <w:t>47 C.F.R. § 54.709(a)(3).</w:t>
      </w:r>
    </w:p>
  </w:footnote>
  <w:footnote w:id="6">
    <w:p w:rsidR="00B44511" w:rsidRPr="00207C5F" w:rsidP="001274F4" w14:paraId="143DD9CA" w14:textId="77777777">
      <w:pPr>
        <w:rPr>
          <w:i/>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Federal Universal Service Support Mechanisms Fund Size Projections for the</w:t>
      </w:r>
      <w:r w:rsidR="006D1E63">
        <w:rPr>
          <w:sz w:val="20"/>
        </w:rPr>
        <w:t xml:space="preserve"> </w:t>
      </w:r>
      <w:r w:rsidR="00391AF5">
        <w:rPr>
          <w:sz w:val="20"/>
        </w:rPr>
        <w:t>First</w:t>
      </w:r>
      <w:r w:rsidR="0092777F">
        <w:rPr>
          <w:sz w:val="20"/>
        </w:rPr>
        <w:t xml:space="preserve"> </w:t>
      </w:r>
      <w:r w:rsidR="005D4670">
        <w:rPr>
          <w:sz w:val="20"/>
        </w:rPr>
        <w:t>Quarter</w:t>
      </w:r>
      <w:r w:rsidRPr="00BF573D">
        <w:rPr>
          <w:sz w:val="20"/>
        </w:rPr>
        <w:t xml:space="preserve"> 20</w:t>
      </w:r>
      <w:r w:rsidR="00016E44">
        <w:rPr>
          <w:sz w:val="20"/>
        </w:rPr>
        <w:t>2</w:t>
      </w:r>
      <w:r w:rsidR="00391AF5">
        <w:rPr>
          <w:sz w:val="20"/>
        </w:rPr>
        <w:t>1</w:t>
      </w:r>
      <w:r w:rsidRPr="00207C5F">
        <w:rPr>
          <w:sz w:val="20"/>
        </w:rPr>
        <w:t>, available at &lt;</w:t>
      </w:r>
      <w:r w:rsidRPr="00207C5F" w:rsidR="00982D20">
        <w:rPr>
          <w:sz w:val="20"/>
        </w:rPr>
        <w:t>http</w:t>
      </w:r>
      <w:r w:rsidR="00982D20">
        <w:rPr>
          <w:sz w:val="20"/>
        </w:rPr>
        <w:t>s</w:t>
      </w:r>
      <w:r w:rsidRPr="00207C5F" w:rsidR="00982D20">
        <w:rPr>
          <w:sz w:val="20"/>
        </w:rPr>
        <w:t>://www.</w:t>
      </w:r>
      <w:r w:rsidR="00982D20">
        <w:rPr>
          <w:sz w:val="20"/>
        </w:rPr>
        <w:t>usac</w:t>
      </w:r>
      <w:r w:rsidRPr="00207C5F" w:rsidR="00982D20">
        <w:rPr>
          <w:sz w:val="20"/>
        </w:rPr>
        <w:t>.org/</w:t>
      </w:r>
      <w:r w:rsidR="00982D20">
        <w:rPr>
          <w:sz w:val="20"/>
        </w:rPr>
        <w:t>fcc-filings</w:t>
      </w:r>
      <w:r w:rsidR="008D4478">
        <w:rPr>
          <w:sz w:val="20"/>
        </w:rPr>
        <w:t xml:space="preserve">&gt; (filed </w:t>
      </w:r>
      <w:r w:rsidR="00391AF5">
        <w:rPr>
          <w:sz w:val="20"/>
        </w:rPr>
        <w:t>November 2</w:t>
      </w:r>
      <w:r w:rsidR="00274923">
        <w:rPr>
          <w:sz w:val="20"/>
        </w:rPr>
        <w:t>, 20</w:t>
      </w:r>
      <w:r w:rsidR="000D4E23">
        <w:rPr>
          <w:sz w:val="20"/>
        </w:rPr>
        <w:t>20</w:t>
      </w:r>
      <w:r w:rsidRPr="00207C5F">
        <w:rPr>
          <w:sz w:val="20"/>
        </w:rPr>
        <w:t>) (</w:t>
      </w:r>
      <w:r w:rsidR="00547CC3">
        <w:rPr>
          <w:i/>
          <w:sz w:val="20"/>
        </w:rPr>
        <w:t>USAC Filin</w:t>
      </w:r>
      <w:r w:rsidR="00606832">
        <w:rPr>
          <w:i/>
          <w:sz w:val="20"/>
        </w:rPr>
        <w:t>g</w:t>
      </w:r>
      <w:r w:rsidR="00547CC3">
        <w:rPr>
          <w:i/>
          <w:sz w:val="20"/>
        </w:rPr>
        <w:t xml:space="preserve"> fo</w:t>
      </w:r>
      <w:r w:rsidR="00606832">
        <w:rPr>
          <w:i/>
          <w:sz w:val="20"/>
        </w:rPr>
        <w:t xml:space="preserve">r </w:t>
      </w:r>
      <w:r w:rsidR="00391AF5">
        <w:rPr>
          <w:i/>
          <w:sz w:val="20"/>
        </w:rPr>
        <w:t>First</w:t>
      </w:r>
      <w:r w:rsidR="00016E44">
        <w:rPr>
          <w:i/>
          <w:sz w:val="20"/>
        </w:rPr>
        <w:t xml:space="preserve"> </w:t>
      </w:r>
      <w:r w:rsidRPr="00BF573D">
        <w:rPr>
          <w:i/>
          <w:sz w:val="20"/>
        </w:rPr>
        <w:t>Quarter 20</w:t>
      </w:r>
      <w:r w:rsidR="00016E44">
        <w:rPr>
          <w:i/>
          <w:sz w:val="20"/>
        </w:rPr>
        <w:t>2</w:t>
      </w:r>
      <w:r w:rsidR="00391AF5">
        <w:rPr>
          <w:i/>
          <w:sz w:val="20"/>
        </w:rPr>
        <w:t>1</w:t>
      </w:r>
      <w:r w:rsidRPr="00207C5F">
        <w:rPr>
          <w:i/>
          <w:sz w:val="20"/>
        </w:rPr>
        <w:t xml:space="preserve"> Projections</w:t>
      </w:r>
      <w:r w:rsidR="006D1E63">
        <w:rPr>
          <w:sz w:val="20"/>
        </w:rPr>
        <w:t xml:space="preserve">; </w:t>
      </w:r>
      <w:r w:rsidRPr="00207C5F">
        <w:rPr>
          <w:i/>
          <w:sz w:val="20"/>
        </w:rPr>
        <w:t>See also</w:t>
      </w:r>
      <w:r w:rsidRPr="00207C5F">
        <w:rPr>
          <w:sz w:val="20"/>
        </w:rPr>
        <w:t xml:space="preserve"> Federal Universal Service Support Mechanisms Quarterly Contribution Base for the</w:t>
      </w:r>
      <w:r w:rsidR="006D1E63">
        <w:rPr>
          <w:sz w:val="20"/>
        </w:rPr>
        <w:t xml:space="preserve"> </w:t>
      </w:r>
      <w:r w:rsidR="00391AF5">
        <w:rPr>
          <w:sz w:val="20"/>
        </w:rPr>
        <w:t>First</w:t>
      </w:r>
      <w:r w:rsidR="00660355">
        <w:rPr>
          <w:sz w:val="20"/>
        </w:rPr>
        <w:t xml:space="preserve"> </w:t>
      </w:r>
      <w:r w:rsidRPr="00BF573D">
        <w:rPr>
          <w:sz w:val="20"/>
        </w:rPr>
        <w:t>Quarter 20</w:t>
      </w:r>
      <w:r w:rsidR="00016E44">
        <w:rPr>
          <w:sz w:val="20"/>
        </w:rPr>
        <w:t>2</w:t>
      </w:r>
      <w:r w:rsidR="00391AF5">
        <w:rPr>
          <w:sz w:val="20"/>
        </w:rPr>
        <w:t>1</w:t>
      </w:r>
      <w:r w:rsidRPr="00207C5F">
        <w:rPr>
          <w:sz w:val="20"/>
        </w:rPr>
        <w:t>, available at &lt;http</w:t>
      </w:r>
      <w:r w:rsidR="00982D20">
        <w:rPr>
          <w:sz w:val="20"/>
        </w:rPr>
        <w:t>s</w:t>
      </w:r>
      <w:r w:rsidRPr="00207C5F">
        <w:rPr>
          <w:sz w:val="20"/>
        </w:rPr>
        <w:t>://www.</w:t>
      </w:r>
      <w:r w:rsidR="0075193F">
        <w:rPr>
          <w:sz w:val="20"/>
        </w:rPr>
        <w:t>usac</w:t>
      </w:r>
      <w:r w:rsidRPr="00207C5F">
        <w:rPr>
          <w:sz w:val="20"/>
        </w:rPr>
        <w:t>.org/</w:t>
      </w:r>
      <w:r w:rsidR="00982D20">
        <w:rPr>
          <w:sz w:val="20"/>
        </w:rPr>
        <w:t>fcc-filings&gt;</w:t>
      </w:r>
      <w:r w:rsidRPr="00CD6E19">
        <w:rPr>
          <w:sz w:val="20"/>
        </w:rPr>
        <w:t xml:space="preserve"> (filed </w:t>
      </w:r>
      <w:r w:rsidR="00391AF5">
        <w:rPr>
          <w:sz w:val="20"/>
        </w:rPr>
        <w:t>December</w:t>
      </w:r>
      <w:r w:rsidR="006F4494">
        <w:rPr>
          <w:sz w:val="20"/>
        </w:rPr>
        <w:t xml:space="preserve"> 1</w:t>
      </w:r>
      <w:r w:rsidR="00F735BB">
        <w:rPr>
          <w:sz w:val="20"/>
        </w:rPr>
        <w:t>,</w:t>
      </w:r>
      <w:r w:rsidRPr="00ED4FA0" w:rsidR="00B87981">
        <w:rPr>
          <w:sz w:val="20"/>
        </w:rPr>
        <w:t xml:space="preserve"> 20</w:t>
      </w:r>
      <w:r w:rsidR="000D4E23">
        <w:rPr>
          <w:sz w:val="20"/>
        </w:rPr>
        <w:t>20</w:t>
      </w:r>
      <w:r w:rsidRPr="00CD6E19" w:rsidR="00B87981">
        <w:rPr>
          <w:sz w:val="20"/>
        </w:rPr>
        <w:t>)</w:t>
      </w:r>
      <w:r w:rsidR="00B87981">
        <w:rPr>
          <w:sz w:val="20"/>
        </w:rPr>
        <w:t xml:space="preserve"> (</w:t>
      </w:r>
      <w:r w:rsidR="00D4272B">
        <w:rPr>
          <w:i/>
          <w:sz w:val="20"/>
        </w:rPr>
        <w:t xml:space="preserve">USAC Filing </w:t>
      </w:r>
      <w:r w:rsidRPr="00BF573D" w:rsidR="00D4272B">
        <w:rPr>
          <w:i/>
          <w:sz w:val="20"/>
        </w:rPr>
        <w:t xml:space="preserve">for </w:t>
      </w:r>
      <w:r w:rsidR="00DE059A">
        <w:rPr>
          <w:i/>
          <w:sz w:val="20"/>
        </w:rPr>
        <w:t>F</w:t>
      </w:r>
      <w:r w:rsidR="00391AF5">
        <w:rPr>
          <w:i/>
          <w:sz w:val="20"/>
        </w:rPr>
        <w:t>irst</w:t>
      </w:r>
      <w:r w:rsidRPr="00BF573D">
        <w:rPr>
          <w:i/>
          <w:sz w:val="20"/>
        </w:rPr>
        <w:t xml:space="preserve"> Quarter 20</w:t>
      </w:r>
      <w:r w:rsidR="00016E44">
        <w:rPr>
          <w:i/>
          <w:sz w:val="20"/>
        </w:rPr>
        <w:t>2</w:t>
      </w:r>
      <w:r w:rsidR="00391AF5">
        <w:rPr>
          <w:i/>
          <w:sz w:val="20"/>
        </w:rPr>
        <w:t>1</w:t>
      </w:r>
      <w:r w:rsidR="000D127F">
        <w:rPr>
          <w:i/>
          <w:sz w:val="20"/>
        </w:rPr>
        <w:t xml:space="preserve"> C</w:t>
      </w:r>
      <w:r w:rsidRPr="00207C5F">
        <w:rPr>
          <w:i/>
          <w:sz w:val="20"/>
        </w:rPr>
        <w:t>ontribution Base</w:t>
      </w:r>
      <w:r w:rsidRPr="00207C5F">
        <w:rPr>
          <w:sz w:val="20"/>
        </w:rPr>
        <w:t xml:space="preserve">). </w:t>
      </w:r>
    </w:p>
  </w:footnote>
  <w:footnote w:id="7">
    <w:p w:rsidR="00B710D4" w:rsidRPr="001274F4" w14:paraId="23D8DCC6" w14:textId="77777777">
      <w:pPr>
        <w:pStyle w:val="FootnoteText"/>
        <w:rPr>
          <w:color w:val="FF0000"/>
        </w:rPr>
      </w:pPr>
      <w:r>
        <w:rPr>
          <w:rStyle w:val="FootnoteReference"/>
        </w:rPr>
        <w:footnoteRef/>
      </w:r>
      <w:r>
        <w:t xml:space="preserve"> </w:t>
      </w:r>
      <w:r w:rsidRPr="00266615">
        <w:rPr>
          <w:sz w:val="20"/>
        </w:rPr>
        <w:t>Rural Health Care administrative costs of $</w:t>
      </w:r>
      <w:r w:rsidR="0062267B">
        <w:rPr>
          <w:sz w:val="20"/>
        </w:rPr>
        <w:t>6.25</w:t>
      </w:r>
      <w:r w:rsidRPr="00266615">
        <w:rPr>
          <w:sz w:val="20"/>
        </w:rPr>
        <w:t xml:space="preserve"> million </w:t>
      </w:r>
      <w:r>
        <w:rPr>
          <w:sz w:val="20"/>
        </w:rPr>
        <w:t>are</w:t>
      </w:r>
      <w:r w:rsidRPr="00266615">
        <w:rPr>
          <w:sz w:val="20"/>
        </w:rPr>
        <w:t xml:space="preserve"> funded within the </w:t>
      </w:r>
      <w:r>
        <w:rPr>
          <w:sz w:val="20"/>
        </w:rPr>
        <w:t xml:space="preserve">program cap.  </w:t>
      </w:r>
      <w:r w:rsidRPr="00266615">
        <w:rPr>
          <w:i/>
          <w:sz w:val="20"/>
        </w:rPr>
        <w:t>See</w:t>
      </w:r>
      <w:r>
        <w:rPr>
          <w:sz w:val="20"/>
        </w:rPr>
        <w:t xml:space="preserve"> </w:t>
      </w:r>
      <w:r w:rsidRPr="00207C5F">
        <w:rPr>
          <w:sz w:val="20"/>
        </w:rPr>
        <w:t>Federal Universal Service Support Mechanisms Fund Size Projections for the</w:t>
      </w:r>
      <w:r>
        <w:rPr>
          <w:sz w:val="20"/>
        </w:rPr>
        <w:t xml:space="preserve"> </w:t>
      </w:r>
      <w:r w:rsidR="00B44857">
        <w:rPr>
          <w:sz w:val="20"/>
        </w:rPr>
        <w:t>F</w:t>
      </w:r>
      <w:r w:rsidR="0062267B">
        <w:rPr>
          <w:sz w:val="20"/>
        </w:rPr>
        <w:t>irst</w:t>
      </w:r>
      <w:r>
        <w:rPr>
          <w:sz w:val="20"/>
        </w:rPr>
        <w:t xml:space="preserve"> Quarter</w:t>
      </w:r>
      <w:r w:rsidRPr="00BF573D">
        <w:rPr>
          <w:sz w:val="20"/>
        </w:rPr>
        <w:t xml:space="preserve"> 20</w:t>
      </w:r>
      <w:r>
        <w:rPr>
          <w:sz w:val="20"/>
        </w:rPr>
        <w:t>2</w:t>
      </w:r>
      <w:r w:rsidR="0062267B">
        <w:rPr>
          <w:sz w:val="20"/>
        </w:rPr>
        <w:t>1</w:t>
      </w:r>
      <w:r w:rsidRPr="00207C5F">
        <w:rPr>
          <w:sz w:val="20"/>
        </w:rPr>
        <w:t>, available at &lt;http://www.</w:t>
      </w:r>
      <w:r>
        <w:rPr>
          <w:sz w:val="20"/>
        </w:rPr>
        <w:t>usac</w:t>
      </w:r>
      <w:r w:rsidRPr="00207C5F">
        <w:rPr>
          <w:sz w:val="20"/>
        </w:rPr>
        <w:t>.o</w:t>
      </w:r>
      <w:r>
        <w:rPr>
          <w:sz w:val="20"/>
        </w:rPr>
        <w:t xml:space="preserve">rg/fcc-filings&gt; (filed </w:t>
      </w:r>
      <w:r w:rsidR="0062267B">
        <w:rPr>
          <w:sz w:val="20"/>
        </w:rPr>
        <w:t>November 2,</w:t>
      </w:r>
      <w:r>
        <w:rPr>
          <w:sz w:val="20"/>
        </w:rPr>
        <w:t xml:space="preserve"> 20</w:t>
      </w:r>
      <w:r w:rsidR="00FE512C">
        <w:rPr>
          <w:sz w:val="20"/>
        </w:rPr>
        <w:t>20</w:t>
      </w:r>
      <w:r w:rsidRPr="00207C5F">
        <w:rPr>
          <w:sz w:val="20"/>
        </w:rPr>
        <w:t>) (</w:t>
      </w:r>
      <w:r>
        <w:rPr>
          <w:i/>
          <w:sz w:val="20"/>
        </w:rPr>
        <w:t xml:space="preserve">USAC Filing for </w:t>
      </w:r>
      <w:r w:rsidR="00B44857">
        <w:rPr>
          <w:i/>
          <w:sz w:val="20"/>
        </w:rPr>
        <w:t>F</w:t>
      </w:r>
      <w:r w:rsidR="0062267B">
        <w:rPr>
          <w:i/>
          <w:sz w:val="20"/>
        </w:rPr>
        <w:t>irst</w:t>
      </w:r>
      <w:r>
        <w:rPr>
          <w:i/>
          <w:sz w:val="20"/>
        </w:rPr>
        <w:t xml:space="preserve"> </w:t>
      </w:r>
      <w:r w:rsidRPr="00BF573D">
        <w:rPr>
          <w:i/>
          <w:sz w:val="20"/>
        </w:rPr>
        <w:t>Quarter 20</w:t>
      </w:r>
      <w:r>
        <w:rPr>
          <w:i/>
          <w:sz w:val="20"/>
        </w:rPr>
        <w:t>2</w:t>
      </w:r>
      <w:r w:rsidR="0062267B">
        <w:rPr>
          <w:i/>
          <w:sz w:val="20"/>
        </w:rPr>
        <w:t>1</w:t>
      </w:r>
      <w:r w:rsidRPr="00207C5F">
        <w:rPr>
          <w:i/>
          <w:sz w:val="20"/>
        </w:rPr>
        <w:t xml:space="preserve"> Projections</w:t>
      </w:r>
      <w:r>
        <w:rPr>
          <w:i/>
          <w:sz w:val="20"/>
        </w:rPr>
        <w:t>)</w:t>
      </w:r>
      <w:r>
        <w:rPr>
          <w:color w:val="FF0000"/>
          <w:sz w:val="20"/>
        </w:rPr>
        <w:t>.</w:t>
      </w:r>
    </w:p>
  </w:footnote>
  <w:footnote w:id="8">
    <w:p w:rsidR="00B44511" w:rsidRPr="00B55B23" w:rsidP="00E558B8" w14:paraId="519A545C" w14:textId="77777777">
      <w:pPr>
        <w:pStyle w:val="FootnoteText"/>
        <w:rPr>
          <w:b/>
          <w:sz w:val="20"/>
        </w:rPr>
      </w:pPr>
      <w:r w:rsidRPr="00207C5F">
        <w:rPr>
          <w:rStyle w:val="FootnoteReference"/>
          <w:sz w:val="20"/>
        </w:rPr>
        <w:footnoteRef/>
      </w:r>
      <w:r w:rsidRPr="00207C5F">
        <w:rPr>
          <w:i/>
          <w:sz w:val="20"/>
        </w:rPr>
        <w:t xml:space="preserve"> USAC Filing for</w:t>
      </w:r>
      <w:r w:rsidR="00F23A5C">
        <w:rPr>
          <w:i/>
          <w:sz w:val="20"/>
        </w:rPr>
        <w:t xml:space="preserve"> </w:t>
      </w:r>
      <w:r w:rsidR="00B44857">
        <w:rPr>
          <w:i/>
          <w:sz w:val="20"/>
        </w:rPr>
        <w:t>F</w:t>
      </w:r>
      <w:r w:rsidR="0062267B">
        <w:rPr>
          <w:i/>
          <w:sz w:val="20"/>
        </w:rPr>
        <w:t>irst</w:t>
      </w:r>
      <w:r w:rsidR="006F5B52">
        <w:rPr>
          <w:i/>
          <w:sz w:val="20"/>
        </w:rPr>
        <w:t xml:space="preserve"> </w:t>
      </w:r>
      <w:r w:rsidR="009A0125">
        <w:rPr>
          <w:i/>
          <w:sz w:val="20"/>
        </w:rPr>
        <w:t>Quarter</w:t>
      </w:r>
      <w:r w:rsidRPr="00BF573D">
        <w:rPr>
          <w:i/>
          <w:sz w:val="20"/>
        </w:rPr>
        <w:t xml:space="preserve"> 20</w:t>
      </w:r>
      <w:r w:rsidR="002D2DD3">
        <w:rPr>
          <w:i/>
          <w:sz w:val="20"/>
        </w:rPr>
        <w:t>2</w:t>
      </w:r>
      <w:r w:rsidR="0062267B">
        <w:rPr>
          <w:i/>
          <w:sz w:val="20"/>
        </w:rPr>
        <w:t>1</w:t>
      </w:r>
      <w:r w:rsidRPr="00207C5F">
        <w:rPr>
          <w:i/>
          <w:sz w:val="20"/>
        </w:rPr>
        <w:t xml:space="preserve"> Contribution Base</w:t>
      </w:r>
      <w:r w:rsidRPr="00EF1E44" w:rsidR="00CD6E19">
        <w:rPr>
          <w:i/>
          <w:sz w:val="20"/>
        </w:rPr>
        <w:t xml:space="preserve"> </w:t>
      </w:r>
      <w:r w:rsidRPr="00D00031" w:rsidR="002666FF">
        <w:rPr>
          <w:sz w:val="20"/>
        </w:rPr>
        <w:t xml:space="preserve">at </w:t>
      </w:r>
      <w:r w:rsidRPr="00426DCC" w:rsidR="00C85C0C">
        <w:rPr>
          <w:sz w:val="20"/>
        </w:rPr>
        <w:t>4</w:t>
      </w:r>
      <w:r w:rsidRPr="00C85C0C" w:rsidR="00C85C0C">
        <w:rPr>
          <w:sz w:val="20"/>
        </w:rPr>
        <w:t>.</w:t>
      </w:r>
    </w:p>
  </w:footnote>
  <w:footnote w:id="9">
    <w:p w:rsidR="00B44511" w:rsidRPr="00207C5F" w:rsidP="00C80814" w14:paraId="28A32700"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Federal-State Joint Board on Universal Service, 1998 Biennial Regulatory Review – Streamlined Contributor Reporting Requirements Associated with Administration of </w:t>
      </w:r>
      <w:smartTag w:uri="urn:schemas-microsoft-com:office:smarttags" w:element="PersonName">
        <w:r w:rsidRPr="00207C5F">
          <w:rPr>
            <w:i/>
            <w:sz w:val="20"/>
          </w:rPr>
          <w:t>Telecommunications</w:t>
        </w:r>
      </w:smartTag>
      <w:r w:rsidRPr="00207C5F">
        <w:rPr>
          <w:i/>
          <w:sz w:val="20"/>
        </w:rPr>
        <w:t xml:space="preserve"> Relay Service, North American Numbering Plan, Local Number Portability, and Universal Service Support Mechanisms, </w:t>
      </w:r>
      <w:smartTag w:uri="urn:schemas-microsoft-com:office:smarttags" w:element="PersonName">
        <w:r w:rsidRPr="00207C5F">
          <w:rPr>
            <w:i/>
            <w:sz w:val="20"/>
          </w:rPr>
          <w:t>Telecommunications</w:t>
        </w:r>
      </w:smartTag>
      <w:r w:rsidRPr="00207C5F">
        <w:rPr>
          <w:i/>
          <w:sz w:val="20"/>
        </w:rPr>
        <w:t xml:space="preserve"> Services for Individuals with Hearing and Speech Disabilities, and the Americans with Disabilities Act of 1990, Administration of the North American Numbering Plan and North American Numbering Plan Cost Recovery Contribution Factor and Fund Size, Number Resource Optimization, Telephone Number Portability</w:t>
      </w:r>
      <w:r w:rsidRPr="00207C5F">
        <w:rPr>
          <w:rStyle w:val="Normal1"/>
          <w:i/>
          <w:sz w:val="20"/>
        </w:rPr>
        <w:t>, Truth-in-Billing and Billing Format</w:t>
      </w:r>
      <w:r w:rsidRPr="00207C5F">
        <w:rPr>
          <w:rStyle w:val="Normal1"/>
          <w:sz w:val="20"/>
        </w:rPr>
        <w:t xml:space="preserve">, CC Docket Nos. 96-45, 98-171, 90-571, 92-237, 99-200, 95-116, 98-170, Order and </w:t>
      </w:r>
      <w:r w:rsidR="005B4F77">
        <w:rPr>
          <w:rStyle w:val="Normal1"/>
          <w:sz w:val="20"/>
        </w:rPr>
        <w:t>Second</w:t>
      </w:r>
      <w:r w:rsidRPr="00207C5F">
        <w:rPr>
          <w:rStyle w:val="Normal1"/>
          <w:sz w:val="20"/>
        </w:rPr>
        <w:t xml:space="preserve"> Order on Reconsideration, 18 FCC Rcd 4818, 4826, para. 22 (2003) (</w:t>
      </w:r>
      <w:r w:rsidRPr="00207C5F">
        <w:rPr>
          <w:rStyle w:val="Normal1"/>
          <w:i/>
          <w:sz w:val="20"/>
        </w:rPr>
        <w:t>Second Order on Reconsideration)</w:t>
      </w:r>
      <w:r w:rsidRPr="00207C5F">
        <w:rPr>
          <w:rStyle w:val="Normal1"/>
          <w:sz w:val="20"/>
        </w:rPr>
        <w:t xml:space="preserve">.  </w:t>
      </w:r>
    </w:p>
  </w:footnote>
  <w:footnote w:id="10">
    <w:p w:rsidR="00B44511" w:rsidRPr="00207C5F" w:rsidP="00C80814" w14:paraId="161BF76E" w14:textId="77777777">
      <w:pPr>
        <w:pStyle w:val="FootnoteText"/>
        <w:rPr>
          <w:sz w:val="20"/>
        </w:rPr>
      </w:pPr>
      <w:r w:rsidRPr="00207C5F">
        <w:rPr>
          <w:rStyle w:val="FootnoteReference"/>
          <w:sz w:val="20"/>
        </w:rPr>
        <w:footnoteRef/>
      </w:r>
      <w:r w:rsidRPr="00207C5F">
        <w:rPr>
          <w:sz w:val="20"/>
        </w:rPr>
        <w:t xml:space="preserve"> </w:t>
      </w:r>
      <w:smartTag w:uri="urn:schemas-microsoft-com:office:smarttags" w:element="place">
        <w:smartTag w:uri="urn:schemas-microsoft-com:office:smarttags" w:element="State">
          <w:r w:rsidRPr="00207C5F">
            <w:rPr>
              <w:i/>
              <w:sz w:val="20"/>
            </w:rPr>
            <w:t>Id</w:t>
          </w:r>
          <w:r w:rsidRPr="00207C5F">
            <w:rPr>
              <w:sz w:val="20"/>
            </w:rPr>
            <w:t>.</w:t>
          </w:r>
        </w:smartTag>
      </w:smartTag>
    </w:p>
  </w:footnote>
  <w:footnote w:id="11">
    <w:p w:rsidR="00B44511" w:rsidRPr="00207C5F" w:rsidP="00C80814" w14:paraId="49EFF4ED" w14:textId="77777777">
      <w:pPr>
        <w:pStyle w:val="FootnoteText"/>
        <w:rPr>
          <w:sz w:val="20"/>
        </w:rPr>
      </w:pPr>
      <w:r w:rsidRPr="00207C5F">
        <w:rPr>
          <w:rStyle w:val="FootnoteReference"/>
          <w:sz w:val="20"/>
        </w:rPr>
        <w:footnoteRef/>
      </w:r>
      <w:r w:rsidRPr="00207C5F">
        <w:rPr>
          <w:sz w:val="20"/>
        </w:rPr>
        <w:t xml:space="preserve"> The proposed circularity discount factor = 1 + [(unadjusted circularity discount factor – 1) * (unadjusted contribution factor / </w:t>
      </w:r>
      <w:r w:rsidR="00885462">
        <w:rPr>
          <w:sz w:val="20"/>
        </w:rPr>
        <w:t>proposed contribution factor)].</w:t>
      </w:r>
      <w:r w:rsidR="00803B17">
        <w:rPr>
          <w:sz w:val="20"/>
        </w:rPr>
        <w:t xml:space="preserve">  </w:t>
      </w:r>
      <w:r w:rsidRPr="00207C5F" w:rsidR="00803B17">
        <w:rPr>
          <w:sz w:val="20"/>
        </w:rPr>
        <w:t>The proposed circularity discount factor is calculated in a spreadsheet program, which means that internal calculations are made with more than 15 decimal places.</w:t>
      </w:r>
    </w:p>
  </w:footnote>
  <w:footnote w:id="12">
    <w:p w:rsidR="00B44511" w:rsidRPr="00207C5F" w:rsidP="00C80814" w14:paraId="15940A42" w14:textId="77777777">
      <w:pPr>
        <w:pStyle w:val="FootnoteText"/>
        <w:tabs>
          <w:tab w:val="left" w:pos="0"/>
        </w:tabs>
        <w:suppressAutoHyphens/>
        <w:ind w:right="-72"/>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54.709(a)(3).</w:t>
      </w:r>
    </w:p>
  </w:footnote>
  <w:footnote w:id="13">
    <w:p w:rsidR="00B44511" w:rsidRPr="00207C5F" w:rsidP="00C80814" w14:paraId="6B5A3780" w14:textId="77777777">
      <w:pPr>
        <w:pStyle w:val="FootnoteText"/>
        <w:rPr>
          <w:sz w:val="20"/>
        </w:rPr>
      </w:pPr>
      <w:r w:rsidRPr="00207C5F">
        <w:rPr>
          <w:rStyle w:val="FootnoteReference"/>
          <w:sz w:val="20"/>
        </w:rPr>
        <w:footnoteRef/>
      </w:r>
      <w:r w:rsidRPr="00207C5F">
        <w:rPr>
          <w:sz w:val="20"/>
        </w:rPr>
        <w:t xml:space="preserve"> USAC will calculate each individual contributor’s contribution in the following manner: (proposed contribution factor * contributor’s projected collected revenues) – (proposed circularity discount factor * proposed contribution factor * contributor’s </w:t>
      </w:r>
      <w:r w:rsidR="00B55B91">
        <w:rPr>
          <w:sz w:val="20"/>
        </w:rPr>
        <w:t>projected</w:t>
      </w:r>
      <w:r w:rsidRPr="00207C5F">
        <w:rPr>
          <w:sz w:val="20"/>
        </w:rPr>
        <w:t xml:space="preserve"> collected revenues).</w:t>
      </w:r>
    </w:p>
  </w:footnote>
  <w:footnote w:id="14">
    <w:p w:rsidR="00B44511" w:rsidRPr="00207C5F" w:rsidP="00C80814" w14:paraId="7F102C2C" w14:textId="77777777">
      <w:pPr>
        <w:pStyle w:val="FootnoteText"/>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54.713.</w:t>
      </w:r>
    </w:p>
  </w:footnote>
  <w:footnote w:id="15">
    <w:p w:rsidR="00B44511" w:rsidRPr="00207C5F" w:rsidP="00C80814" w14:paraId="2A7B8BCC" w14:textId="77777777">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54.712.</w:t>
      </w:r>
    </w:p>
  </w:footnote>
  <w:footnote w:id="16">
    <w:p w:rsidR="00C93EBE" w:rsidRPr="005C14D5" w:rsidP="00C93EBE" w14:paraId="60AED5AB" w14:textId="77777777">
      <w:pPr>
        <w:pStyle w:val="FootnoteText"/>
        <w:rPr>
          <w:sz w:val="20"/>
        </w:rPr>
      </w:pPr>
      <w:r w:rsidRPr="005C14D5">
        <w:rPr>
          <w:rStyle w:val="FootnoteReference"/>
          <w:sz w:val="20"/>
        </w:rPr>
        <w:footnoteRef/>
      </w:r>
      <w:r w:rsidRPr="005C14D5">
        <w:rPr>
          <w:sz w:val="20"/>
        </w:rPr>
        <w:t xml:space="preserve"> </w:t>
      </w:r>
      <w:r w:rsidRPr="00246C51" w:rsidR="00246C51">
        <w:rPr>
          <w:i/>
          <w:sz w:val="20"/>
        </w:rPr>
        <w:t>See</w:t>
      </w:r>
      <w:r w:rsidR="00246C51">
        <w:rPr>
          <w:sz w:val="20"/>
        </w:rPr>
        <w:t xml:space="preserve"> </w:t>
      </w:r>
      <w:r w:rsidRPr="005C14D5">
        <w:rPr>
          <w:sz w:val="20"/>
        </w:rPr>
        <w:t>47 C.F.R. §</w:t>
      </w:r>
      <w:r>
        <w:rPr>
          <w:sz w:val="20"/>
        </w:rPr>
        <w:t xml:space="preserve"> </w:t>
      </w:r>
      <w:r w:rsidRPr="005C14D5">
        <w:rPr>
          <w:sz w:val="20"/>
        </w:rPr>
        <w:t>54.70</w:t>
      </w:r>
      <w:r>
        <w:rPr>
          <w:sz w:val="20"/>
        </w:rPr>
        <w:t>6</w:t>
      </w:r>
      <w:r w:rsidRPr="005C14D5">
        <w:rPr>
          <w:sz w:val="20"/>
        </w:rPr>
        <w:t>.</w:t>
      </w:r>
    </w:p>
  </w:footnote>
  <w:footnote w:id="17">
    <w:p w:rsidR="00C93EBE" w:rsidRPr="005C14D5" w:rsidP="00C93EBE" w14:paraId="2E47E2AE" w14:textId="77777777">
      <w:pPr>
        <w:pStyle w:val="FootnoteText"/>
        <w:rPr>
          <w:sz w:val="20"/>
        </w:rPr>
      </w:pPr>
      <w:r w:rsidRPr="005C14D5">
        <w:rPr>
          <w:rStyle w:val="FootnoteReference"/>
          <w:sz w:val="20"/>
        </w:rPr>
        <w:footnoteRef/>
      </w:r>
      <w:r w:rsidRPr="005C14D5">
        <w:rPr>
          <w:sz w:val="20"/>
        </w:rPr>
        <w:t xml:space="preserve"> </w:t>
      </w:r>
      <w:r w:rsidRPr="005C14D5">
        <w:rPr>
          <w:i/>
          <w:sz w:val="20"/>
        </w:rPr>
        <w:t>See Federal-State Joint Board on Universal Service</w:t>
      </w:r>
      <w:r w:rsidRPr="005C14D5">
        <w:rPr>
          <w:sz w:val="20"/>
        </w:rPr>
        <w:t>, Sixteenth Order on Reconsideration, CC Docket No. 96-45, Eighth Report and Order, CC Docket No. 96-45, Sixth Report and Order, Docket No. 96-262, 15 FCC Rcd 1679, 1687-1692, paras. 17-29 (1999) (</w:t>
      </w:r>
      <w:r w:rsidRPr="005C14D5">
        <w:rPr>
          <w:i/>
          <w:sz w:val="20"/>
        </w:rPr>
        <w:t>Fifth Circuit Remand Order</w:t>
      </w:r>
      <w:r w:rsidRPr="005C14D5">
        <w:rPr>
          <w:sz w:val="20"/>
        </w:rPr>
        <w:t>).</w:t>
      </w:r>
    </w:p>
  </w:footnote>
  <w:footnote w:id="18">
    <w:p w:rsidR="00C93EBE" w:rsidRPr="005C14D5" w:rsidP="00C93EBE" w14:paraId="16CFF3B9" w14:textId="77777777">
      <w:pPr>
        <w:pStyle w:val="FootnoteText"/>
        <w:rPr>
          <w:sz w:val="20"/>
        </w:rPr>
      </w:pPr>
      <w:r w:rsidRPr="005C14D5">
        <w:rPr>
          <w:rStyle w:val="FootnoteReference"/>
          <w:sz w:val="20"/>
        </w:rPr>
        <w:footnoteRef/>
      </w:r>
      <w:r w:rsidRPr="005C14D5">
        <w:rPr>
          <w:sz w:val="20"/>
        </w:rPr>
        <w:t xml:space="preserve"> Generally, the Commission’s rules may be waived for good cause shown.  47 C.F.R. § 1.3.  The Commission may exercise its discretion to waive a rule where the particular</w:t>
      </w:r>
      <w:r w:rsidR="00A2560D">
        <w:rPr>
          <w:sz w:val="20"/>
        </w:rPr>
        <w:t xml:space="preserve"> </w:t>
      </w:r>
      <w:r w:rsidRPr="005C14D5">
        <w:rPr>
          <w:sz w:val="20"/>
        </w:rPr>
        <w:t>facts</w:t>
      </w:r>
      <w:r w:rsidR="00654F2F">
        <w:rPr>
          <w:sz w:val="20"/>
        </w:rPr>
        <w:t xml:space="preserve"> </w:t>
      </w:r>
      <w:r w:rsidRPr="005C14D5">
        <w:rPr>
          <w:sz w:val="20"/>
        </w:rPr>
        <w:t xml:space="preserve">make strict compliance inconsistent with the public interest.  </w:t>
      </w:r>
      <w:r w:rsidRPr="005C14D5">
        <w:rPr>
          <w:i/>
          <w:sz w:val="20"/>
        </w:rPr>
        <w:t>Northeast Cellular Telephone Co. v. FCC</w:t>
      </w:r>
      <w:r w:rsidRPr="005C14D5">
        <w:rPr>
          <w:sz w:val="20"/>
        </w:rPr>
        <w:t>, 897 F.2d 1164, 1166 (D.C. Cir. 1990) (</w:t>
      </w:r>
      <w:r w:rsidRPr="005C14D5">
        <w:rPr>
          <w:i/>
          <w:sz w:val="20"/>
        </w:rPr>
        <w:t>Northeast Cellular</w:t>
      </w:r>
      <w:r w:rsidRPr="005C14D5">
        <w:rPr>
          <w:sz w:val="20"/>
        </w:rPr>
        <w:t xml:space="preserve">).  In addition, the Commission may </w:t>
      </w:r>
      <w:r w:rsidRPr="005C14D5">
        <w:rPr>
          <w:sz w:val="20"/>
        </w:rPr>
        <w:t>take into account</w:t>
      </w:r>
      <w:r w:rsidRPr="005C14D5">
        <w:rPr>
          <w:sz w:val="20"/>
        </w:rPr>
        <w:t xml:space="preserve"> considerations of hardship, equity, or more effective implementation of overall policy on an individual basis. </w:t>
      </w:r>
      <w:r w:rsidRPr="005C14D5">
        <w:rPr>
          <w:i/>
          <w:sz w:val="20"/>
        </w:rPr>
        <w:t xml:space="preserve"> WAIT Radio v. FCC</w:t>
      </w:r>
      <w:r w:rsidRPr="005C14D5">
        <w:rPr>
          <w:sz w:val="20"/>
        </w:rPr>
        <w:t xml:space="preserve">, 418 F.2d 1153, 1159 (D.C. Cir. 1969); </w:t>
      </w:r>
      <w:r w:rsidRPr="005C14D5">
        <w:rPr>
          <w:i/>
          <w:sz w:val="20"/>
        </w:rPr>
        <w:t>Northeast Cellular</w:t>
      </w:r>
      <w:r w:rsidRPr="005C14D5">
        <w:rPr>
          <w:sz w:val="20"/>
        </w:rPr>
        <w:t xml:space="preserve">, 897 F.2d at 1166.  Waiver of the Commission’s rules is therefore appropriate only if special circumstances warrant a deviation from the general rule, and such deviation will serve the public interest.  </w:t>
      </w:r>
      <w:r w:rsidRPr="005C14D5">
        <w:rPr>
          <w:i/>
          <w:sz w:val="20"/>
        </w:rPr>
        <w:t>Northeast Cellular</w:t>
      </w:r>
      <w:r w:rsidRPr="005C14D5">
        <w:rPr>
          <w:sz w:val="20"/>
        </w:rPr>
        <w:t>, 897 F.2d at 1166; 47 C.F.R. § 54.802(a).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B44AF3" w14:paraId="064576FA" w14:textId="7777777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width:244.8pt;height:50.4pt;margin-top:57.6pt;margin-left:-6.1pt;position:absolute;z-index:251658240" o:allowincell="f" stroked="f">
          <v:textbox>
            <w:txbxContent>
              <w:p w:rsidR="00B44511" w14:paraId="351AF74A" w14:textId="77777777">
                <w:pPr>
                  <w:rPr>
                    <w:rFonts w:ascii="Arial" w:hAnsi="Arial"/>
                    <w:b/>
                  </w:rPr>
                </w:pPr>
                <w:r>
                  <w:rPr>
                    <w:rFonts w:ascii="Arial" w:hAnsi="Arial"/>
                    <w:b/>
                  </w:rPr>
                  <w:t>Federal Communications Commission</w:t>
                </w:r>
              </w:p>
              <w:p w:rsidR="00B44511" w14:paraId="668DB28A" w14:textId="77777777">
                <w:pPr>
                  <w:rPr>
                    <w:rFonts w:ascii="Arial" w:hAnsi="Arial"/>
                    <w:b/>
                  </w:rPr>
                </w:pPr>
                <w:r>
                  <w:rPr>
                    <w:rFonts w:ascii="Arial" w:hAnsi="Arial"/>
                    <w:b/>
                  </w:rPr>
                  <w:t xml:space="preserve">45 </w:t>
                </w:r>
                <w:r w:rsidR="00B44AF3">
                  <w:rPr>
                    <w:rFonts w:ascii="Arial" w:hAnsi="Arial"/>
                    <w:b/>
                  </w:rPr>
                  <w:t>L</w:t>
                </w:r>
                <w:r>
                  <w:rPr>
                    <w:rFonts w:ascii="Arial" w:hAnsi="Arial"/>
                    <w:b/>
                  </w:rPr>
                  <w:t xml:space="preserve"> St., </w:t>
                </w:r>
                <w:r w:rsidR="00B44AF3">
                  <w:rPr>
                    <w:rFonts w:ascii="Arial" w:hAnsi="Arial"/>
                    <w:b/>
                  </w:rPr>
                  <w:t>N</w:t>
                </w:r>
                <w:r>
                  <w:rPr>
                    <w:rFonts w:ascii="Arial" w:hAnsi="Arial"/>
                    <w:b/>
                  </w:rPr>
                  <w:t>.</w:t>
                </w:r>
                <w:r w:rsidR="00B44AF3">
                  <w:rPr>
                    <w:rFonts w:ascii="Arial" w:hAnsi="Arial"/>
                    <w:b/>
                  </w:rPr>
                  <w:t>E</w:t>
                </w:r>
                <w:r>
                  <w:rPr>
                    <w:rFonts w:ascii="Arial" w:hAnsi="Arial"/>
                    <w:b/>
                  </w:rPr>
                  <w:t>.</w:t>
                </w:r>
              </w:p>
              <w:p w:rsidR="00B44511" w14:paraId="65073E1C"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47.85pt;position:absolute;z-index:251661312" o:allowincell="f">
          <v:imagedata r:id="rId1" o:title="fcc_logo"/>
          <w10:wrap type="topAndBottom"/>
        </v:shape>
      </w:pict>
    </w:r>
    <w:r>
      <w:rPr>
        <w:rFonts w:ascii="News Gothic MT" w:hAnsi="News Gothic MT"/>
        <w:b/>
        <w:kern w:val="28"/>
        <w:sz w:val="96"/>
      </w:rPr>
      <w:t>PUBLIC NOTICE</w:t>
    </w:r>
  </w:p>
  <w:p w:rsidR="00B44511" w:rsidP="00B44AF3" w14:paraId="31F2054D" w14:textId="77777777">
    <w:pPr>
      <w:pStyle w:val="Header"/>
      <w:tabs>
        <w:tab w:val="clear" w:pos="4320"/>
        <w:tab w:val="clear" w:pos="8640"/>
      </w:tabs>
      <w:spacing w:line="1120" w:lineRule="exact"/>
      <w:rPr>
        <w:rFonts w:ascii="Arial" w:hAnsi="Arial"/>
        <w:b/>
        <w:sz w:val="28"/>
      </w:rPr>
    </w:pPr>
    <w:r>
      <w:rPr>
        <w:rFonts w:ascii="Arial" w:hAnsi="Arial"/>
        <w:b/>
        <w:noProof/>
      </w:rPr>
      <w:pict>
        <v:line id="_x0000_s2051" style="position:absolute;z-index:251659264" from="0,54.95pt" to="468pt,55.15pt" o:allowincell="f"/>
      </w:pict>
    </w:r>
    <w:r>
      <w:rPr>
        <w:rFonts w:ascii="News Gothic MT" w:hAnsi="News Gothic MT"/>
        <w:b/>
        <w:noProof/>
        <w:sz w:val="24"/>
      </w:rPr>
      <w:pict>
        <v:shape id="_x0000_s2052" type="#_x0000_t202" style="width:207.95pt;height:43.2pt;margin-top:7.6pt;margin-left:268.45pt;position:absolute;z-index:251660288" o:allowincell="f" stroked="f">
          <v:textbox inset=",0,,0">
            <w:txbxContent>
              <w:p w:rsidR="00B44511" w14:paraId="66B5A0AA" w14:textId="77777777">
                <w:pPr>
                  <w:spacing w:before="40"/>
                  <w:jc w:val="right"/>
                  <w:rPr>
                    <w:rFonts w:ascii="Arial" w:hAnsi="Arial"/>
                    <w:b/>
                    <w:sz w:val="16"/>
                  </w:rPr>
                </w:pPr>
                <w:r>
                  <w:rPr>
                    <w:rFonts w:ascii="Arial" w:hAnsi="Arial"/>
                    <w:b/>
                    <w:sz w:val="16"/>
                  </w:rPr>
                  <w:t>News Media Information 202 / 418-0500</w:t>
                </w:r>
              </w:p>
              <w:p w:rsidR="00B44511" w14:paraId="60E17E4F" w14:textId="77777777">
                <w:pPr>
                  <w:jc w:val="right"/>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B44511" w14:paraId="45B793C3" w14:textId="77777777">
                <w:pPr>
                  <w:jc w:val="right"/>
                  <w:rPr>
                    <w:rFonts w:ascii="Arial" w:hAnsi="Arial"/>
                    <w:b/>
                    <w:sz w:val="16"/>
                  </w:rPr>
                </w:pPr>
                <w:r>
                  <w:rPr>
                    <w:rFonts w:ascii="Arial" w:hAnsi="Arial"/>
                    <w:b/>
                    <w:sz w:val="16"/>
                  </w:rPr>
                  <w:t>TTY: 1-888-835-5322</w:t>
                </w:r>
              </w:p>
              <w:p w:rsidR="00B44511" w14:paraId="2EAC6B5E" w14:textId="77777777">
                <w:pPr>
                  <w:jc w:val="right"/>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AF3" w:rsidP="00B44AF3" w14:paraId="0EA201FD" w14:textId="77777777">
    <w:pPr>
      <w:pStyle w:val="Header"/>
      <w:tabs>
        <w:tab w:val="clear" w:pos="4320"/>
        <w:tab w:val="center" w:pos="468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11"/>
    <w:rsid w:val="000059E2"/>
    <w:rsid w:val="00010BAB"/>
    <w:rsid w:val="00010D08"/>
    <w:rsid w:val="000120DD"/>
    <w:rsid w:val="00016E44"/>
    <w:rsid w:val="00021620"/>
    <w:rsid w:val="0002302C"/>
    <w:rsid w:val="00024B56"/>
    <w:rsid w:val="00026193"/>
    <w:rsid w:val="000338C9"/>
    <w:rsid w:val="00037E3A"/>
    <w:rsid w:val="00043CFC"/>
    <w:rsid w:val="000452D5"/>
    <w:rsid w:val="000464D3"/>
    <w:rsid w:val="00046C35"/>
    <w:rsid w:val="00050764"/>
    <w:rsid w:val="00050DC5"/>
    <w:rsid w:val="00051BD4"/>
    <w:rsid w:val="00053C9B"/>
    <w:rsid w:val="00055B71"/>
    <w:rsid w:val="000604E8"/>
    <w:rsid w:val="00062340"/>
    <w:rsid w:val="00063285"/>
    <w:rsid w:val="00067FFD"/>
    <w:rsid w:val="00070D90"/>
    <w:rsid w:val="00076DCB"/>
    <w:rsid w:val="00076F30"/>
    <w:rsid w:val="00085374"/>
    <w:rsid w:val="00086A18"/>
    <w:rsid w:val="0009130B"/>
    <w:rsid w:val="00097BA5"/>
    <w:rsid w:val="000A20F8"/>
    <w:rsid w:val="000A439D"/>
    <w:rsid w:val="000A55EA"/>
    <w:rsid w:val="000B046D"/>
    <w:rsid w:val="000B1197"/>
    <w:rsid w:val="000C2161"/>
    <w:rsid w:val="000C5273"/>
    <w:rsid w:val="000D127F"/>
    <w:rsid w:val="000D1491"/>
    <w:rsid w:val="000D1ABA"/>
    <w:rsid w:val="000D24A2"/>
    <w:rsid w:val="000D4E23"/>
    <w:rsid w:val="000F0AE7"/>
    <w:rsid w:val="000F5AF3"/>
    <w:rsid w:val="001025EB"/>
    <w:rsid w:val="001104D6"/>
    <w:rsid w:val="001152BD"/>
    <w:rsid w:val="00120252"/>
    <w:rsid w:val="001217B1"/>
    <w:rsid w:val="00121B85"/>
    <w:rsid w:val="00123A00"/>
    <w:rsid w:val="001242B6"/>
    <w:rsid w:val="001243D2"/>
    <w:rsid w:val="001243ED"/>
    <w:rsid w:val="00125068"/>
    <w:rsid w:val="001274F4"/>
    <w:rsid w:val="00127E6D"/>
    <w:rsid w:val="001347F4"/>
    <w:rsid w:val="001375F1"/>
    <w:rsid w:val="001448CD"/>
    <w:rsid w:val="00144D8B"/>
    <w:rsid w:val="001454F9"/>
    <w:rsid w:val="001563B1"/>
    <w:rsid w:val="001573D6"/>
    <w:rsid w:val="001618BC"/>
    <w:rsid w:val="0016231A"/>
    <w:rsid w:val="00163F05"/>
    <w:rsid w:val="00170D03"/>
    <w:rsid w:val="00172855"/>
    <w:rsid w:val="00175E36"/>
    <w:rsid w:val="00176BA6"/>
    <w:rsid w:val="00182EB9"/>
    <w:rsid w:val="00183A79"/>
    <w:rsid w:val="00193E48"/>
    <w:rsid w:val="001A52C2"/>
    <w:rsid w:val="001A7DED"/>
    <w:rsid w:val="001B0108"/>
    <w:rsid w:val="001B560D"/>
    <w:rsid w:val="001B621F"/>
    <w:rsid w:val="001D5EEC"/>
    <w:rsid w:val="001E0801"/>
    <w:rsid w:val="001F5BEC"/>
    <w:rsid w:val="001F68E9"/>
    <w:rsid w:val="001F71DA"/>
    <w:rsid w:val="0020031A"/>
    <w:rsid w:val="00202976"/>
    <w:rsid w:val="00207125"/>
    <w:rsid w:val="00207C5F"/>
    <w:rsid w:val="00214568"/>
    <w:rsid w:val="00217298"/>
    <w:rsid w:val="00217B38"/>
    <w:rsid w:val="00220095"/>
    <w:rsid w:val="002214FF"/>
    <w:rsid w:val="00226075"/>
    <w:rsid w:val="00226208"/>
    <w:rsid w:val="002333D0"/>
    <w:rsid w:val="0024498D"/>
    <w:rsid w:val="00246C51"/>
    <w:rsid w:val="00247899"/>
    <w:rsid w:val="00250DBD"/>
    <w:rsid w:val="00254D7F"/>
    <w:rsid w:val="0026303C"/>
    <w:rsid w:val="00264449"/>
    <w:rsid w:val="00265E19"/>
    <w:rsid w:val="00266615"/>
    <w:rsid w:val="002666FF"/>
    <w:rsid w:val="00266819"/>
    <w:rsid w:val="00267D4D"/>
    <w:rsid w:val="00274923"/>
    <w:rsid w:val="002759F2"/>
    <w:rsid w:val="00277FAE"/>
    <w:rsid w:val="0028235B"/>
    <w:rsid w:val="00282BDC"/>
    <w:rsid w:val="002866FF"/>
    <w:rsid w:val="00293B74"/>
    <w:rsid w:val="002A1DF7"/>
    <w:rsid w:val="002B0E74"/>
    <w:rsid w:val="002B2F04"/>
    <w:rsid w:val="002B38F8"/>
    <w:rsid w:val="002B4AD7"/>
    <w:rsid w:val="002C0AA2"/>
    <w:rsid w:val="002C1478"/>
    <w:rsid w:val="002C2717"/>
    <w:rsid w:val="002C72A5"/>
    <w:rsid w:val="002D2DD3"/>
    <w:rsid w:val="002D2E78"/>
    <w:rsid w:val="002D3461"/>
    <w:rsid w:val="002D7759"/>
    <w:rsid w:val="002E721B"/>
    <w:rsid w:val="002F1681"/>
    <w:rsid w:val="002F24EC"/>
    <w:rsid w:val="002F5F86"/>
    <w:rsid w:val="00310290"/>
    <w:rsid w:val="003130AC"/>
    <w:rsid w:val="0031521C"/>
    <w:rsid w:val="00322D60"/>
    <w:rsid w:val="003240CF"/>
    <w:rsid w:val="0033276D"/>
    <w:rsid w:val="0033574A"/>
    <w:rsid w:val="0033633E"/>
    <w:rsid w:val="003374D0"/>
    <w:rsid w:val="00340E4D"/>
    <w:rsid w:val="00347F30"/>
    <w:rsid w:val="00350136"/>
    <w:rsid w:val="003521B9"/>
    <w:rsid w:val="0035564F"/>
    <w:rsid w:val="003559AC"/>
    <w:rsid w:val="00355B71"/>
    <w:rsid w:val="00356427"/>
    <w:rsid w:val="003577A9"/>
    <w:rsid w:val="003657F3"/>
    <w:rsid w:val="00366F43"/>
    <w:rsid w:val="00370BB4"/>
    <w:rsid w:val="00372E89"/>
    <w:rsid w:val="003774FC"/>
    <w:rsid w:val="00381AA1"/>
    <w:rsid w:val="00381E40"/>
    <w:rsid w:val="00391AF5"/>
    <w:rsid w:val="00392F58"/>
    <w:rsid w:val="003936BF"/>
    <w:rsid w:val="0039448B"/>
    <w:rsid w:val="00397A13"/>
    <w:rsid w:val="003A603D"/>
    <w:rsid w:val="003A7035"/>
    <w:rsid w:val="003B06E1"/>
    <w:rsid w:val="003B0757"/>
    <w:rsid w:val="003B11ED"/>
    <w:rsid w:val="003B2A9B"/>
    <w:rsid w:val="003D0617"/>
    <w:rsid w:val="003D5733"/>
    <w:rsid w:val="003D71ED"/>
    <w:rsid w:val="003E0423"/>
    <w:rsid w:val="003E3046"/>
    <w:rsid w:val="003E33E5"/>
    <w:rsid w:val="003E6BBD"/>
    <w:rsid w:val="003E6ED1"/>
    <w:rsid w:val="003F60E8"/>
    <w:rsid w:val="0040257F"/>
    <w:rsid w:val="00404668"/>
    <w:rsid w:val="0040469D"/>
    <w:rsid w:val="00404963"/>
    <w:rsid w:val="00411E80"/>
    <w:rsid w:val="00412A8C"/>
    <w:rsid w:val="00413828"/>
    <w:rsid w:val="0041705D"/>
    <w:rsid w:val="0042273C"/>
    <w:rsid w:val="00425DEF"/>
    <w:rsid w:val="00426DCC"/>
    <w:rsid w:val="004317FD"/>
    <w:rsid w:val="00432C99"/>
    <w:rsid w:val="00435577"/>
    <w:rsid w:val="00437505"/>
    <w:rsid w:val="00441A45"/>
    <w:rsid w:val="00442CE0"/>
    <w:rsid w:val="00443335"/>
    <w:rsid w:val="00444AC2"/>
    <w:rsid w:val="00445B7E"/>
    <w:rsid w:val="00450434"/>
    <w:rsid w:val="0045537C"/>
    <w:rsid w:val="00457206"/>
    <w:rsid w:val="00470D4A"/>
    <w:rsid w:val="004751E9"/>
    <w:rsid w:val="004863B8"/>
    <w:rsid w:val="00494CD5"/>
    <w:rsid w:val="004A2BEE"/>
    <w:rsid w:val="004A2E6C"/>
    <w:rsid w:val="004A47EF"/>
    <w:rsid w:val="004A4C31"/>
    <w:rsid w:val="004A6625"/>
    <w:rsid w:val="004B4395"/>
    <w:rsid w:val="004B588D"/>
    <w:rsid w:val="004C0D2F"/>
    <w:rsid w:val="004C0FAF"/>
    <w:rsid w:val="004C1663"/>
    <w:rsid w:val="004D072F"/>
    <w:rsid w:val="004D20EC"/>
    <w:rsid w:val="004D616B"/>
    <w:rsid w:val="004D7857"/>
    <w:rsid w:val="004E0D51"/>
    <w:rsid w:val="004E2F16"/>
    <w:rsid w:val="004E4E1F"/>
    <w:rsid w:val="004F2FB5"/>
    <w:rsid w:val="004F45DA"/>
    <w:rsid w:val="0051376B"/>
    <w:rsid w:val="00515227"/>
    <w:rsid w:val="00515733"/>
    <w:rsid w:val="00515865"/>
    <w:rsid w:val="00517192"/>
    <w:rsid w:val="00524D0D"/>
    <w:rsid w:val="0053199B"/>
    <w:rsid w:val="0054088A"/>
    <w:rsid w:val="005457FD"/>
    <w:rsid w:val="005476FB"/>
    <w:rsid w:val="00547CC3"/>
    <w:rsid w:val="00552B93"/>
    <w:rsid w:val="00552FBD"/>
    <w:rsid w:val="00556566"/>
    <w:rsid w:val="005569F6"/>
    <w:rsid w:val="00556F5F"/>
    <w:rsid w:val="00557E48"/>
    <w:rsid w:val="005602B1"/>
    <w:rsid w:val="00571DCB"/>
    <w:rsid w:val="00574AF3"/>
    <w:rsid w:val="00575C9B"/>
    <w:rsid w:val="00577C5F"/>
    <w:rsid w:val="0058463E"/>
    <w:rsid w:val="00596D9B"/>
    <w:rsid w:val="005A0D52"/>
    <w:rsid w:val="005A2DB0"/>
    <w:rsid w:val="005A3114"/>
    <w:rsid w:val="005B16CE"/>
    <w:rsid w:val="005B268E"/>
    <w:rsid w:val="005B2884"/>
    <w:rsid w:val="005B28B9"/>
    <w:rsid w:val="005B49D2"/>
    <w:rsid w:val="005B4F77"/>
    <w:rsid w:val="005B64F7"/>
    <w:rsid w:val="005B7F30"/>
    <w:rsid w:val="005C0BD4"/>
    <w:rsid w:val="005C14D5"/>
    <w:rsid w:val="005C1D7B"/>
    <w:rsid w:val="005C47AD"/>
    <w:rsid w:val="005C485C"/>
    <w:rsid w:val="005C5540"/>
    <w:rsid w:val="005D4670"/>
    <w:rsid w:val="005D7240"/>
    <w:rsid w:val="005D7299"/>
    <w:rsid w:val="005E2466"/>
    <w:rsid w:val="005E32EE"/>
    <w:rsid w:val="005E40E8"/>
    <w:rsid w:val="005E55B9"/>
    <w:rsid w:val="005E57A3"/>
    <w:rsid w:val="005E7024"/>
    <w:rsid w:val="005F0D0A"/>
    <w:rsid w:val="005F281F"/>
    <w:rsid w:val="005F67FD"/>
    <w:rsid w:val="005F71F5"/>
    <w:rsid w:val="006017DC"/>
    <w:rsid w:val="00603F79"/>
    <w:rsid w:val="006041AD"/>
    <w:rsid w:val="00606832"/>
    <w:rsid w:val="006134B6"/>
    <w:rsid w:val="0062267B"/>
    <w:rsid w:val="00624949"/>
    <w:rsid w:val="00626AA0"/>
    <w:rsid w:val="00630E73"/>
    <w:rsid w:val="006355E5"/>
    <w:rsid w:val="00635623"/>
    <w:rsid w:val="006358A0"/>
    <w:rsid w:val="00637446"/>
    <w:rsid w:val="00643713"/>
    <w:rsid w:val="00650E6E"/>
    <w:rsid w:val="00653AF8"/>
    <w:rsid w:val="00654F2F"/>
    <w:rsid w:val="00660355"/>
    <w:rsid w:val="006615D9"/>
    <w:rsid w:val="006622FC"/>
    <w:rsid w:val="00663092"/>
    <w:rsid w:val="00670B29"/>
    <w:rsid w:val="00672186"/>
    <w:rsid w:val="00674038"/>
    <w:rsid w:val="006766C1"/>
    <w:rsid w:val="00677A20"/>
    <w:rsid w:val="00677F5B"/>
    <w:rsid w:val="0068585A"/>
    <w:rsid w:val="00687D6E"/>
    <w:rsid w:val="00694395"/>
    <w:rsid w:val="006957A0"/>
    <w:rsid w:val="00697832"/>
    <w:rsid w:val="006B0747"/>
    <w:rsid w:val="006B0888"/>
    <w:rsid w:val="006B2D54"/>
    <w:rsid w:val="006D15B8"/>
    <w:rsid w:val="006D1A5A"/>
    <w:rsid w:val="006D1E63"/>
    <w:rsid w:val="006E1259"/>
    <w:rsid w:val="006E2699"/>
    <w:rsid w:val="006E6DE3"/>
    <w:rsid w:val="006E7F54"/>
    <w:rsid w:val="006F4494"/>
    <w:rsid w:val="006F5B52"/>
    <w:rsid w:val="00703142"/>
    <w:rsid w:val="00704EAC"/>
    <w:rsid w:val="0070509E"/>
    <w:rsid w:val="00707336"/>
    <w:rsid w:val="007117C2"/>
    <w:rsid w:val="007122F2"/>
    <w:rsid w:val="0071264A"/>
    <w:rsid w:val="00716815"/>
    <w:rsid w:val="00724AF3"/>
    <w:rsid w:val="0073413E"/>
    <w:rsid w:val="007345FD"/>
    <w:rsid w:val="00734929"/>
    <w:rsid w:val="00736DAE"/>
    <w:rsid w:val="00742182"/>
    <w:rsid w:val="00745B1D"/>
    <w:rsid w:val="007464C7"/>
    <w:rsid w:val="0075193F"/>
    <w:rsid w:val="00753270"/>
    <w:rsid w:val="007549E5"/>
    <w:rsid w:val="00760586"/>
    <w:rsid w:val="007632E5"/>
    <w:rsid w:val="007644D8"/>
    <w:rsid w:val="00764C7D"/>
    <w:rsid w:val="00765C42"/>
    <w:rsid w:val="007669C0"/>
    <w:rsid w:val="0077598A"/>
    <w:rsid w:val="007765E2"/>
    <w:rsid w:val="00776DD2"/>
    <w:rsid w:val="00783E16"/>
    <w:rsid w:val="0078491C"/>
    <w:rsid w:val="007875E8"/>
    <w:rsid w:val="007A1CA0"/>
    <w:rsid w:val="007B1A84"/>
    <w:rsid w:val="007B2A6B"/>
    <w:rsid w:val="007B5D90"/>
    <w:rsid w:val="007B5F37"/>
    <w:rsid w:val="007B7314"/>
    <w:rsid w:val="007C2CE6"/>
    <w:rsid w:val="007D0B98"/>
    <w:rsid w:val="007D2C61"/>
    <w:rsid w:val="007E2D03"/>
    <w:rsid w:val="007E7035"/>
    <w:rsid w:val="007E7E9B"/>
    <w:rsid w:val="007F0560"/>
    <w:rsid w:val="007F15D1"/>
    <w:rsid w:val="007F54BB"/>
    <w:rsid w:val="007F79B6"/>
    <w:rsid w:val="0080020E"/>
    <w:rsid w:val="00801677"/>
    <w:rsid w:val="008019FD"/>
    <w:rsid w:val="00801CDD"/>
    <w:rsid w:val="0080246D"/>
    <w:rsid w:val="00802B54"/>
    <w:rsid w:val="00803B17"/>
    <w:rsid w:val="00805362"/>
    <w:rsid w:val="008054D0"/>
    <w:rsid w:val="0081018A"/>
    <w:rsid w:val="008123E4"/>
    <w:rsid w:val="008152FA"/>
    <w:rsid w:val="00816408"/>
    <w:rsid w:val="008202F5"/>
    <w:rsid w:val="00821449"/>
    <w:rsid w:val="00821A3B"/>
    <w:rsid w:val="00823714"/>
    <w:rsid w:val="00823722"/>
    <w:rsid w:val="00827DF0"/>
    <w:rsid w:val="00842AEB"/>
    <w:rsid w:val="00845F3E"/>
    <w:rsid w:val="00852323"/>
    <w:rsid w:val="00852FB5"/>
    <w:rsid w:val="00853396"/>
    <w:rsid w:val="00853596"/>
    <w:rsid w:val="008546AF"/>
    <w:rsid w:val="0085553D"/>
    <w:rsid w:val="00856684"/>
    <w:rsid w:val="00856FA7"/>
    <w:rsid w:val="0086157E"/>
    <w:rsid w:val="00861D6F"/>
    <w:rsid w:val="00863279"/>
    <w:rsid w:val="008636DF"/>
    <w:rsid w:val="0086780B"/>
    <w:rsid w:val="00876E0B"/>
    <w:rsid w:val="00885462"/>
    <w:rsid w:val="00885F41"/>
    <w:rsid w:val="00890B4E"/>
    <w:rsid w:val="00890E3C"/>
    <w:rsid w:val="008A6117"/>
    <w:rsid w:val="008A6440"/>
    <w:rsid w:val="008A679F"/>
    <w:rsid w:val="008A70A8"/>
    <w:rsid w:val="008B2C03"/>
    <w:rsid w:val="008C5EC4"/>
    <w:rsid w:val="008C70DA"/>
    <w:rsid w:val="008D0F47"/>
    <w:rsid w:val="008D2C4A"/>
    <w:rsid w:val="008D3540"/>
    <w:rsid w:val="008D4478"/>
    <w:rsid w:val="008D6933"/>
    <w:rsid w:val="008E00C3"/>
    <w:rsid w:val="008E0F56"/>
    <w:rsid w:val="008F0861"/>
    <w:rsid w:val="008F10E3"/>
    <w:rsid w:val="008F6684"/>
    <w:rsid w:val="008F6EDB"/>
    <w:rsid w:val="00904E11"/>
    <w:rsid w:val="00911108"/>
    <w:rsid w:val="00912E1D"/>
    <w:rsid w:val="00912F56"/>
    <w:rsid w:val="00917E33"/>
    <w:rsid w:val="00920900"/>
    <w:rsid w:val="009223B9"/>
    <w:rsid w:val="00923958"/>
    <w:rsid w:val="009266BA"/>
    <w:rsid w:val="0092777F"/>
    <w:rsid w:val="00927F0B"/>
    <w:rsid w:val="00931554"/>
    <w:rsid w:val="00932FF1"/>
    <w:rsid w:val="0093351E"/>
    <w:rsid w:val="00935D4A"/>
    <w:rsid w:val="00937B15"/>
    <w:rsid w:val="009408F9"/>
    <w:rsid w:val="00952801"/>
    <w:rsid w:val="00953A9C"/>
    <w:rsid w:val="009562B1"/>
    <w:rsid w:val="009567B6"/>
    <w:rsid w:val="00961937"/>
    <w:rsid w:val="00964013"/>
    <w:rsid w:val="00964396"/>
    <w:rsid w:val="00970C55"/>
    <w:rsid w:val="0097662D"/>
    <w:rsid w:val="00976DF7"/>
    <w:rsid w:val="00977793"/>
    <w:rsid w:val="00982AA3"/>
    <w:rsid w:val="00982D20"/>
    <w:rsid w:val="009876EC"/>
    <w:rsid w:val="00990136"/>
    <w:rsid w:val="00992A40"/>
    <w:rsid w:val="009943CA"/>
    <w:rsid w:val="009A0125"/>
    <w:rsid w:val="009A261A"/>
    <w:rsid w:val="009A35AC"/>
    <w:rsid w:val="009A43B9"/>
    <w:rsid w:val="009A4B28"/>
    <w:rsid w:val="009A6158"/>
    <w:rsid w:val="009A78B6"/>
    <w:rsid w:val="009A7E94"/>
    <w:rsid w:val="009C0F52"/>
    <w:rsid w:val="009C1EAF"/>
    <w:rsid w:val="009E5664"/>
    <w:rsid w:val="009E5A01"/>
    <w:rsid w:val="009E5A6B"/>
    <w:rsid w:val="00A03E90"/>
    <w:rsid w:val="00A043EA"/>
    <w:rsid w:val="00A10FFD"/>
    <w:rsid w:val="00A128DC"/>
    <w:rsid w:val="00A2387F"/>
    <w:rsid w:val="00A2560D"/>
    <w:rsid w:val="00A2561A"/>
    <w:rsid w:val="00A31D58"/>
    <w:rsid w:val="00A40519"/>
    <w:rsid w:val="00A4133F"/>
    <w:rsid w:val="00A413E0"/>
    <w:rsid w:val="00A47217"/>
    <w:rsid w:val="00A500E1"/>
    <w:rsid w:val="00A50439"/>
    <w:rsid w:val="00A576E3"/>
    <w:rsid w:val="00A615FD"/>
    <w:rsid w:val="00A625FA"/>
    <w:rsid w:val="00A63E32"/>
    <w:rsid w:val="00A64A98"/>
    <w:rsid w:val="00A664DE"/>
    <w:rsid w:val="00A66CA4"/>
    <w:rsid w:val="00A7347B"/>
    <w:rsid w:val="00A735EE"/>
    <w:rsid w:val="00A743C6"/>
    <w:rsid w:val="00A74F25"/>
    <w:rsid w:val="00A75361"/>
    <w:rsid w:val="00A82D5B"/>
    <w:rsid w:val="00A84640"/>
    <w:rsid w:val="00A84B59"/>
    <w:rsid w:val="00A8581A"/>
    <w:rsid w:val="00A931E1"/>
    <w:rsid w:val="00A962F0"/>
    <w:rsid w:val="00AA275E"/>
    <w:rsid w:val="00AA389A"/>
    <w:rsid w:val="00AA51AB"/>
    <w:rsid w:val="00AA5C62"/>
    <w:rsid w:val="00AB148C"/>
    <w:rsid w:val="00AB435D"/>
    <w:rsid w:val="00AB7C33"/>
    <w:rsid w:val="00AC092A"/>
    <w:rsid w:val="00AC15D4"/>
    <w:rsid w:val="00AC27B7"/>
    <w:rsid w:val="00AC61F7"/>
    <w:rsid w:val="00AC69EC"/>
    <w:rsid w:val="00AD587E"/>
    <w:rsid w:val="00AE0350"/>
    <w:rsid w:val="00AE4841"/>
    <w:rsid w:val="00AE6B69"/>
    <w:rsid w:val="00AE6C18"/>
    <w:rsid w:val="00AF4654"/>
    <w:rsid w:val="00B00E39"/>
    <w:rsid w:val="00B02C3E"/>
    <w:rsid w:val="00B0601F"/>
    <w:rsid w:val="00B13167"/>
    <w:rsid w:val="00B132D6"/>
    <w:rsid w:val="00B1392B"/>
    <w:rsid w:val="00B14B5A"/>
    <w:rsid w:val="00B3124B"/>
    <w:rsid w:val="00B320C8"/>
    <w:rsid w:val="00B3337E"/>
    <w:rsid w:val="00B37CE0"/>
    <w:rsid w:val="00B4303A"/>
    <w:rsid w:val="00B44511"/>
    <w:rsid w:val="00B44857"/>
    <w:rsid w:val="00B44AF3"/>
    <w:rsid w:val="00B4543E"/>
    <w:rsid w:val="00B55B23"/>
    <w:rsid w:val="00B55B91"/>
    <w:rsid w:val="00B626AB"/>
    <w:rsid w:val="00B710D4"/>
    <w:rsid w:val="00B8067C"/>
    <w:rsid w:val="00B84453"/>
    <w:rsid w:val="00B847FC"/>
    <w:rsid w:val="00B863BA"/>
    <w:rsid w:val="00B870F6"/>
    <w:rsid w:val="00B87981"/>
    <w:rsid w:val="00BA0B85"/>
    <w:rsid w:val="00BA19E4"/>
    <w:rsid w:val="00BA4465"/>
    <w:rsid w:val="00BB352C"/>
    <w:rsid w:val="00BB3921"/>
    <w:rsid w:val="00BB472E"/>
    <w:rsid w:val="00BB54F3"/>
    <w:rsid w:val="00BC1343"/>
    <w:rsid w:val="00BC6F43"/>
    <w:rsid w:val="00BC7EF4"/>
    <w:rsid w:val="00BD2426"/>
    <w:rsid w:val="00BE0618"/>
    <w:rsid w:val="00BE0BD8"/>
    <w:rsid w:val="00BE34F3"/>
    <w:rsid w:val="00BF119A"/>
    <w:rsid w:val="00BF573D"/>
    <w:rsid w:val="00BF5C23"/>
    <w:rsid w:val="00BF68CC"/>
    <w:rsid w:val="00C0073B"/>
    <w:rsid w:val="00C04D6D"/>
    <w:rsid w:val="00C06407"/>
    <w:rsid w:val="00C07BEF"/>
    <w:rsid w:val="00C1153A"/>
    <w:rsid w:val="00C12083"/>
    <w:rsid w:val="00C13A90"/>
    <w:rsid w:val="00C15ED6"/>
    <w:rsid w:val="00C21B34"/>
    <w:rsid w:val="00C248FB"/>
    <w:rsid w:val="00C2619C"/>
    <w:rsid w:val="00C2765F"/>
    <w:rsid w:val="00C419D5"/>
    <w:rsid w:val="00C42AD0"/>
    <w:rsid w:val="00C42B5E"/>
    <w:rsid w:val="00C43C84"/>
    <w:rsid w:val="00C507D3"/>
    <w:rsid w:val="00C54B28"/>
    <w:rsid w:val="00C6080C"/>
    <w:rsid w:val="00C622C9"/>
    <w:rsid w:val="00C66F0B"/>
    <w:rsid w:val="00C67A80"/>
    <w:rsid w:val="00C70DCE"/>
    <w:rsid w:val="00C717A4"/>
    <w:rsid w:val="00C74951"/>
    <w:rsid w:val="00C7738B"/>
    <w:rsid w:val="00C77709"/>
    <w:rsid w:val="00C80814"/>
    <w:rsid w:val="00C816F7"/>
    <w:rsid w:val="00C82CAA"/>
    <w:rsid w:val="00C83A43"/>
    <w:rsid w:val="00C85C0C"/>
    <w:rsid w:val="00C931F2"/>
    <w:rsid w:val="00C93B74"/>
    <w:rsid w:val="00C93EBE"/>
    <w:rsid w:val="00CA0B32"/>
    <w:rsid w:val="00CA177B"/>
    <w:rsid w:val="00CA1BBB"/>
    <w:rsid w:val="00CA38C0"/>
    <w:rsid w:val="00CA499C"/>
    <w:rsid w:val="00CA6220"/>
    <w:rsid w:val="00CA711A"/>
    <w:rsid w:val="00CC0D20"/>
    <w:rsid w:val="00CC315B"/>
    <w:rsid w:val="00CC75F9"/>
    <w:rsid w:val="00CD0B76"/>
    <w:rsid w:val="00CD3320"/>
    <w:rsid w:val="00CD3BF8"/>
    <w:rsid w:val="00CD40C3"/>
    <w:rsid w:val="00CD6138"/>
    <w:rsid w:val="00CD6E19"/>
    <w:rsid w:val="00CD7722"/>
    <w:rsid w:val="00CD7EDC"/>
    <w:rsid w:val="00CE1461"/>
    <w:rsid w:val="00CE564E"/>
    <w:rsid w:val="00CE7A94"/>
    <w:rsid w:val="00CE7CDC"/>
    <w:rsid w:val="00CE7CEC"/>
    <w:rsid w:val="00CE7FF5"/>
    <w:rsid w:val="00CF0669"/>
    <w:rsid w:val="00CF1409"/>
    <w:rsid w:val="00CF2CF5"/>
    <w:rsid w:val="00D00031"/>
    <w:rsid w:val="00D02BF3"/>
    <w:rsid w:val="00D044CD"/>
    <w:rsid w:val="00D058C5"/>
    <w:rsid w:val="00D1559D"/>
    <w:rsid w:val="00D24997"/>
    <w:rsid w:val="00D31BC6"/>
    <w:rsid w:val="00D35133"/>
    <w:rsid w:val="00D37D74"/>
    <w:rsid w:val="00D37EE5"/>
    <w:rsid w:val="00D4272B"/>
    <w:rsid w:val="00D439E1"/>
    <w:rsid w:val="00D45C4D"/>
    <w:rsid w:val="00D45E71"/>
    <w:rsid w:val="00D50D88"/>
    <w:rsid w:val="00D514E1"/>
    <w:rsid w:val="00D522DE"/>
    <w:rsid w:val="00D54449"/>
    <w:rsid w:val="00D573B5"/>
    <w:rsid w:val="00D61A93"/>
    <w:rsid w:val="00D656F0"/>
    <w:rsid w:val="00D65EB0"/>
    <w:rsid w:val="00D66400"/>
    <w:rsid w:val="00D87491"/>
    <w:rsid w:val="00D9549D"/>
    <w:rsid w:val="00DA098F"/>
    <w:rsid w:val="00DA2CCE"/>
    <w:rsid w:val="00DA5A0E"/>
    <w:rsid w:val="00DA6123"/>
    <w:rsid w:val="00DA79B7"/>
    <w:rsid w:val="00DB662A"/>
    <w:rsid w:val="00DB6DDC"/>
    <w:rsid w:val="00DC7233"/>
    <w:rsid w:val="00DC7E90"/>
    <w:rsid w:val="00DD0B9C"/>
    <w:rsid w:val="00DD255A"/>
    <w:rsid w:val="00DD6E39"/>
    <w:rsid w:val="00DE02F3"/>
    <w:rsid w:val="00DE059A"/>
    <w:rsid w:val="00DE0954"/>
    <w:rsid w:val="00DE15F9"/>
    <w:rsid w:val="00DE295D"/>
    <w:rsid w:val="00DE66A3"/>
    <w:rsid w:val="00DE7F07"/>
    <w:rsid w:val="00DF046A"/>
    <w:rsid w:val="00DF4744"/>
    <w:rsid w:val="00DF4A26"/>
    <w:rsid w:val="00E032CD"/>
    <w:rsid w:val="00E100E5"/>
    <w:rsid w:val="00E116E5"/>
    <w:rsid w:val="00E17B99"/>
    <w:rsid w:val="00E22763"/>
    <w:rsid w:val="00E24E11"/>
    <w:rsid w:val="00E25803"/>
    <w:rsid w:val="00E2603C"/>
    <w:rsid w:val="00E3070D"/>
    <w:rsid w:val="00E322FE"/>
    <w:rsid w:val="00E36ACE"/>
    <w:rsid w:val="00E371A3"/>
    <w:rsid w:val="00E413CB"/>
    <w:rsid w:val="00E4374E"/>
    <w:rsid w:val="00E43B3D"/>
    <w:rsid w:val="00E43EF4"/>
    <w:rsid w:val="00E47BD4"/>
    <w:rsid w:val="00E558B8"/>
    <w:rsid w:val="00E60751"/>
    <w:rsid w:val="00E771D8"/>
    <w:rsid w:val="00E77C2A"/>
    <w:rsid w:val="00E82BEA"/>
    <w:rsid w:val="00E83BF8"/>
    <w:rsid w:val="00E903F2"/>
    <w:rsid w:val="00E9401C"/>
    <w:rsid w:val="00EA1199"/>
    <w:rsid w:val="00EA2CEC"/>
    <w:rsid w:val="00EA32E3"/>
    <w:rsid w:val="00EA38F0"/>
    <w:rsid w:val="00ED28C1"/>
    <w:rsid w:val="00ED3CA9"/>
    <w:rsid w:val="00ED4FA0"/>
    <w:rsid w:val="00ED6AE5"/>
    <w:rsid w:val="00EE3F73"/>
    <w:rsid w:val="00EE4D47"/>
    <w:rsid w:val="00EE756D"/>
    <w:rsid w:val="00EF0FA8"/>
    <w:rsid w:val="00EF1E44"/>
    <w:rsid w:val="00EF6ED6"/>
    <w:rsid w:val="00F047E0"/>
    <w:rsid w:val="00F0672F"/>
    <w:rsid w:val="00F07B85"/>
    <w:rsid w:val="00F07C39"/>
    <w:rsid w:val="00F1032B"/>
    <w:rsid w:val="00F13707"/>
    <w:rsid w:val="00F13928"/>
    <w:rsid w:val="00F17216"/>
    <w:rsid w:val="00F23A5C"/>
    <w:rsid w:val="00F267A6"/>
    <w:rsid w:val="00F316AD"/>
    <w:rsid w:val="00F321FF"/>
    <w:rsid w:val="00F3427F"/>
    <w:rsid w:val="00F377D9"/>
    <w:rsid w:val="00F41C34"/>
    <w:rsid w:val="00F43FB7"/>
    <w:rsid w:val="00F44C61"/>
    <w:rsid w:val="00F5115D"/>
    <w:rsid w:val="00F529F8"/>
    <w:rsid w:val="00F55E4C"/>
    <w:rsid w:val="00F56DCF"/>
    <w:rsid w:val="00F62503"/>
    <w:rsid w:val="00F6647A"/>
    <w:rsid w:val="00F7094E"/>
    <w:rsid w:val="00F70DD6"/>
    <w:rsid w:val="00F72A2A"/>
    <w:rsid w:val="00F730ED"/>
    <w:rsid w:val="00F735BB"/>
    <w:rsid w:val="00F73808"/>
    <w:rsid w:val="00F76AAF"/>
    <w:rsid w:val="00F84E31"/>
    <w:rsid w:val="00FB050D"/>
    <w:rsid w:val="00FB31B0"/>
    <w:rsid w:val="00FB7F37"/>
    <w:rsid w:val="00FC63BD"/>
    <w:rsid w:val="00FD2922"/>
    <w:rsid w:val="00FD3542"/>
    <w:rsid w:val="00FE512C"/>
    <w:rsid w:val="00FE6D3B"/>
    <w:rsid w:val="00FF0056"/>
    <w:rsid w:val="00FF23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Normal1">
    <w:name w:val="Normal1"/>
    <w:rsid w:val="00C80814"/>
  </w:style>
  <w:style w:type="character" w:styleId="PageNumber">
    <w:name w:val="page number"/>
    <w:basedOn w:val="DefaultParagraphFont"/>
    <w:rsid w:val="008C70DA"/>
  </w:style>
  <w:style w:type="paragraph" w:styleId="BalloonText">
    <w:name w:val="Balloon Text"/>
    <w:basedOn w:val="Normal"/>
    <w:semiHidden/>
    <w:rsid w:val="00D61A93"/>
    <w:rPr>
      <w:rFonts w:ascii="Tahoma" w:hAnsi="Tahoma" w:cs="Tahoma"/>
      <w:sz w:val="16"/>
      <w:szCs w:val="16"/>
    </w:rPr>
  </w:style>
  <w:style w:type="character" w:customStyle="1" w:styleId="FootnoteTextChar">
    <w:name w:val="Footnote Text Char"/>
    <w:link w:val="FootnoteText"/>
    <w:uiPriority w:val="99"/>
    <w:semiHidden/>
    <w:rsid w:val="00BF68CC"/>
    <w:rPr>
      <w:sz w:val="22"/>
    </w:rPr>
  </w:style>
  <w:style w:type="character" w:customStyle="1" w:styleId="FooterChar">
    <w:name w:val="Footer Char"/>
    <w:link w:val="Footer"/>
    <w:uiPriority w:val="99"/>
    <w:rsid w:val="00B44AF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