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31230E" w:rsidP="0031230E" w14:paraId="74370313" w14:textId="77777777">
      <w:pPr>
        <w:jc w:val="center"/>
        <w:rPr>
          <w:b/>
        </w:rPr>
      </w:pPr>
      <w:r w:rsidRPr="0070224F">
        <w:rPr>
          <w:rFonts w:ascii="Times New Roman Bold" w:hAnsi="Times New Roman Bold"/>
          <w:b/>
          <w:kern w:val="0"/>
          <w:szCs w:val="22"/>
        </w:rPr>
        <w:t>Before</w:t>
      </w:r>
      <w:r>
        <w:rPr>
          <w:b/>
        </w:rPr>
        <w:t xml:space="preserve"> the</w:t>
      </w:r>
    </w:p>
    <w:p w:rsidR="0031230E" w:rsidP="0031230E" w14:paraId="7D7DD5A7" w14:textId="77777777">
      <w:pPr>
        <w:pStyle w:val="StyleBoldCentered"/>
      </w:pPr>
      <w:r>
        <w:t>F</w:t>
      </w:r>
      <w:r>
        <w:rPr>
          <w:caps w:val="0"/>
        </w:rPr>
        <w:t>ederal Communications Commission</w:t>
      </w:r>
    </w:p>
    <w:p w:rsidR="0031230E" w:rsidP="0031230E" w14:paraId="5F7A5B48" w14:textId="77777777">
      <w:pPr>
        <w:pStyle w:val="StyleBoldCentered"/>
      </w:pPr>
      <w:r>
        <w:rPr>
          <w:caps w:val="0"/>
        </w:rPr>
        <w:t>Washington, D.C. 20554</w:t>
      </w:r>
    </w:p>
    <w:p w:rsidR="0031230E" w:rsidP="0031230E" w14:paraId="740CBD7B" w14:textId="77777777"/>
    <w:p w:rsidR="0031230E" w:rsidP="0031230E" w14:paraId="27CE2034" w14:textId="77777777"/>
    <w:tbl>
      <w:tblPr>
        <w:tblW w:w="0" w:type="auto"/>
        <w:tblLayout w:type="fixed"/>
        <w:tblLook w:val="0000"/>
      </w:tblPr>
      <w:tblGrid>
        <w:gridCol w:w="4698"/>
        <w:gridCol w:w="630"/>
        <w:gridCol w:w="4248"/>
      </w:tblGrid>
      <w:tr w14:paraId="0CAE8035" w14:textId="77777777" w:rsidTr="00687C81">
        <w:tblPrEx>
          <w:tblW w:w="0" w:type="auto"/>
          <w:tblLayout w:type="fixed"/>
          <w:tblLook w:val="0000"/>
        </w:tblPrEx>
        <w:tc>
          <w:tcPr>
            <w:tcW w:w="4698" w:type="dxa"/>
          </w:tcPr>
          <w:p w:rsidR="0031230E" w:rsidP="00687C81" w14:paraId="29B642EF" w14:textId="77777777">
            <w:pPr>
              <w:tabs>
                <w:tab w:val="center" w:pos="4680"/>
              </w:tabs>
              <w:suppressAutoHyphens/>
              <w:rPr>
                <w:spacing w:val="-2"/>
              </w:rPr>
            </w:pPr>
            <w:r>
              <w:rPr>
                <w:spacing w:val="-2"/>
              </w:rPr>
              <w:t>In the Matter of</w:t>
            </w:r>
          </w:p>
          <w:p w:rsidR="0031230E" w:rsidP="00687C81" w14:paraId="50328EB5" w14:textId="77777777">
            <w:pPr>
              <w:tabs>
                <w:tab w:val="center" w:pos="4680"/>
              </w:tabs>
              <w:suppressAutoHyphens/>
              <w:rPr>
                <w:spacing w:val="-2"/>
              </w:rPr>
            </w:pPr>
          </w:p>
          <w:p w:rsidR="0031230E" w:rsidP="00687C81" w14:paraId="3E99A553" w14:textId="77777777">
            <w:pPr>
              <w:tabs>
                <w:tab w:val="center" w:pos="4680"/>
              </w:tabs>
              <w:suppressAutoHyphens/>
              <w:rPr>
                <w:spacing w:val="-2"/>
              </w:rPr>
            </w:pPr>
            <w:r>
              <w:rPr>
                <w:spacing w:val="-2"/>
              </w:rPr>
              <w:t>Amendment of Section 1.80 of the Commission’s Rules</w:t>
            </w:r>
          </w:p>
          <w:p w:rsidR="0031230E" w:rsidP="00687C81" w14:paraId="27682663" w14:textId="77777777">
            <w:pPr>
              <w:tabs>
                <w:tab w:val="center" w:pos="4680"/>
              </w:tabs>
              <w:suppressAutoHyphens/>
              <w:rPr>
                <w:spacing w:val="-2"/>
              </w:rPr>
            </w:pPr>
          </w:p>
          <w:p w:rsidR="0031230E" w:rsidP="00687C81" w14:paraId="61957782" w14:textId="77777777">
            <w:pPr>
              <w:tabs>
                <w:tab w:val="center" w:pos="4680"/>
              </w:tabs>
              <w:suppressAutoHyphens/>
              <w:rPr>
                <w:spacing w:val="-2"/>
              </w:rPr>
            </w:pPr>
            <w:r>
              <w:rPr>
                <w:spacing w:val="-2"/>
              </w:rPr>
              <w:t xml:space="preserve">Implementing Section </w:t>
            </w:r>
            <w:r w:rsidR="00192B8E">
              <w:rPr>
                <w:spacing w:val="-2"/>
              </w:rPr>
              <w:t>2</w:t>
            </w:r>
            <w:r>
              <w:rPr>
                <w:spacing w:val="-2"/>
              </w:rPr>
              <w:t xml:space="preserve"> of the </w:t>
            </w:r>
            <w:r w:rsidRPr="00192B8E" w:rsidR="00192B8E">
              <w:rPr>
                <w:spacing w:val="-2"/>
              </w:rPr>
              <w:t>Preventing Illegal Radio Abuse Through Enforcement Act</w:t>
            </w:r>
            <w:r>
              <w:rPr>
                <w:spacing w:val="-2"/>
              </w:rPr>
              <w:t xml:space="preserve"> </w:t>
            </w:r>
          </w:p>
          <w:p w:rsidR="0031230E" w:rsidRPr="007115F7" w:rsidP="00687C81" w14:paraId="3E16A45F" w14:textId="77777777">
            <w:pPr>
              <w:tabs>
                <w:tab w:val="center" w:pos="4680"/>
              </w:tabs>
              <w:suppressAutoHyphens/>
              <w:rPr>
                <w:spacing w:val="-2"/>
              </w:rPr>
            </w:pPr>
            <w:r>
              <w:rPr>
                <w:spacing w:val="-2"/>
              </w:rPr>
              <w:t>(</w:t>
            </w:r>
            <w:r w:rsidR="00192B8E">
              <w:rPr>
                <w:spacing w:val="-2"/>
              </w:rPr>
              <w:t>PIRATE</w:t>
            </w:r>
            <w:r>
              <w:rPr>
                <w:spacing w:val="-2"/>
              </w:rPr>
              <w:t xml:space="preserve"> Act) </w:t>
            </w:r>
          </w:p>
        </w:tc>
        <w:tc>
          <w:tcPr>
            <w:tcW w:w="630" w:type="dxa"/>
          </w:tcPr>
          <w:p w:rsidR="0031230E" w:rsidP="00687C81" w14:paraId="05ACAACE" w14:textId="77777777">
            <w:pPr>
              <w:tabs>
                <w:tab w:val="center" w:pos="4680"/>
              </w:tabs>
              <w:suppressAutoHyphens/>
              <w:rPr>
                <w:b/>
                <w:spacing w:val="-2"/>
              </w:rPr>
            </w:pPr>
            <w:r>
              <w:rPr>
                <w:b/>
                <w:spacing w:val="-2"/>
              </w:rPr>
              <w:t>)</w:t>
            </w:r>
          </w:p>
          <w:p w:rsidR="0031230E" w:rsidP="00687C81" w14:paraId="4C214F97" w14:textId="77777777">
            <w:pPr>
              <w:tabs>
                <w:tab w:val="center" w:pos="4680"/>
              </w:tabs>
              <w:suppressAutoHyphens/>
              <w:rPr>
                <w:b/>
                <w:spacing w:val="-2"/>
              </w:rPr>
            </w:pPr>
            <w:r>
              <w:rPr>
                <w:b/>
                <w:spacing w:val="-2"/>
              </w:rPr>
              <w:t>)</w:t>
            </w:r>
          </w:p>
          <w:p w:rsidR="0031230E" w:rsidP="00687C81" w14:paraId="34F73AE2" w14:textId="77777777">
            <w:pPr>
              <w:tabs>
                <w:tab w:val="center" w:pos="4680"/>
              </w:tabs>
              <w:suppressAutoHyphens/>
              <w:rPr>
                <w:b/>
                <w:spacing w:val="-2"/>
              </w:rPr>
            </w:pPr>
            <w:r>
              <w:rPr>
                <w:b/>
                <w:spacing w:val="-2"/>
              </w:rPr>
              <w:t>)</w:t>
            </w:r>
          </w:p>
          <w:p w:rsidR="0031230E" w:rsidP="00687C81" w14:paraId="0B9AC094" w14:textId="77777777">
            <w:pPr>
              <w:tabs>
                <w:tab w:val="center" w:pos="4680"/>
              </w:tabs>
              <w:suppressAutoHyphens/>
              <w:rPr>
                <w:b/>
                <w:spacing w:val="-2"/>
              </w:rPr>
            </w:pPr>
            <w:r>
              <w:rPr>
                <w:b/>
                <w:spacing w:val="-2"/>
              </w:rPr>
              <w:t>)</w:t>
            </w:r>
          </w:p>
          <w:p w:rsidR="0031230E" w:rsidP="00687C81" w14:paraId="4ADAA463" w14:textId="77777777">
            <w:pPr>
              <w:tabs>
                <w:tab w:val="center" w:pos="4680"/>
              </w:tabs>
              <w:suppressAutoHyphens/>
              <w:rPr>
                <w:b/>
                <w:spacing w:val="-2"/>
              </w:rPr>
            </w:pPr>
            <w:r>
              <w:rPr>
                <w:b/>
                <w:spacing w:val="-2"/>
              </w:rPr>
              <w:t>)</w:t>
            </w:r>
          </w:p>
          <w:p w:rsidR="0031230E" w:rsidP="00687C81" w14:paraId="40E153C4" w14:textId="77777777">
            <w:pPr>
              <w:tabs>
                <w:tab w:val="center" w:pos="4680"/>
              </w:tabs>
              <w:suppressAutoHyphens/>
              <w:rPr>
                <w:b/>
                <w:spacing w:val="-2"/>
              </w:rPr>
            </w:pPr>
            <w:r>
              <w:rPr>
                <w:b/>
                <w:spacing w:val="-2"/>
              </w:rPr>
              <w:t>)</w:t>
            </w:r>
          </w:p>
          <w:p w:rsidR="0031230E" w:rsidP="00687C81" w14:paraId="1F574BF7" w14:textId="77777777">
            <w:pPr>
              <w:tabs>
                <w:tab w:val="center" w:pos="4680"/>
              </w:tabs>
              <w:suppressAutoHyphens/>
              <w:rPr>
                <w:b/>
                <w:spacing w:val="-2"/>
              </w:rPr>
            </w:pPr>
            <w:r>
              <w:rPr>
                <w:b/>
                <w:spacing w:val="-2"/>
              </w:rPr>
              <w:t>)</w:t>
            </w:r>
          </w:p>
          <w:p w:rsidR="0031230E" w:rsidP="00687C81" w14:paraId="7309FA53" w14:textId="77777777">
            <w:pPr>
              <w:tabs>
                <w:tab w:val="center" w:pos="4680"/>
              </w:tabs>
              <w:suppressAutoHyphens/>
              <w:rPr>
                <w:b/>
                <w:spacing w:val="-2"/>
              </w:rPr>
            </w:pPr>
            <w:r>
              <w:rPr>
                <w:b/>
                <w:spacing w:val="-2"/>
              </w:rPr>
              <w:t>)</w:t>
            </w:r>
          </w:p>
          <w:p w:rsidR="0031230E" w:rsidP="00687C81" w14:paraId="60D539D0" w14:textId="77777777">
            <w:pPr>
              <w:tabs>
                <w:tab w:val="center" w:pos="4680"/>
              </w:tabs>
              <w:suppressAutoHyphens/>
              <w:rPr>
                <w:spacing w:val="-2"/>
              </w:rPr>
            </w:pPr>
            <w:r>
              <w:rPr>
                <w:b/>
                <w:spacing w:val="-2"/>
              </w:rPr>
              <w:t>)</w:t>
            </w:r>
          </w:p>
        </w:tc>
        <w:tc>
          <w:tcPr>
            <w:tcW w:w="4248" w:type="dxa"/>
          </w:tcPr>
          <w:p w:rsidR="0031230E" w:rsidP="00687C81" w14:paraId="6F17BD8C" w14:textId="77777777">
            <w:pPr>
              <w:tabs>
                <w:tab w:val="center" w:pos="4680"/>
              </w:tabs>
              <w:suppressAutoHyphens/>
              <w:rPr>
                <w:spacing w:val="-2"/>
              </w:rPr>
            </w:pPr>
          </w:p>
          <w:p w:rsidR="0031230E" w:rsidP="00687C81" w14:paraId="7CCF8DA8" w14:textId="77777777">
            <w:pPr>
              <w:pStyle w:val="TOAHeading"/>
              <w:tabs>
                <w:tab w:val="center" w:pos="4680"/>
                <w:tab w:val="clear" w:pos="9360"/>
              </w:tabs>
              <w:rPr>
                <w:spacing w:val="-2"/>
              </w:rPr>
            </w:pPr>
          </w:p>
          <w:p w:rsidR="0031230E" w:rsidP="007B67A9" w14:paraId="417A5227" w14:textId="77777777">
            <w:pPr>
              <w:tabs>
                <w:tab w:val="center" w:pos="4680"/>
              </w:tabs>
              <w:suppressAutoHyphens/>
              <w:rPr>
                <w:spacing w:val="-2"/>
              </w:rPr>
            </w:pPr>
          </w:p>
        </w:tc>
      </w:tr>
    </w:tbl>
    <w:p w:rsidR="0031230E" w:rsidP="0031230E" w14:paraId="1D792329" w14:textId="77777777"/>
    <w:p w:rsidR="0031230E" w:rsidP="0031230E" w14:paraId="4B468E52" w14:textId="77777777">
      <w:pPr>
        <w:pStyle w:val="StyleBoldCentered"/>
      </w:pPr>
      <w:r>
        <w:t>Order</w:t>
      </w:r>
    </w:p>
    <w:p w:rsidR="0031230E" w:rsidP="0031230E" w14:paraId="6CCEC2FE" w14:textId="77777777">
      <w:pPr>
        <w:tabs>
          <w:tab w:val="left" w:pos="-720"/>
        </w:tabs>
        <w:suppressAutoHyphens/>
        <w:spacing w:line="227" w:lineRule="auto"/>
        <w:rPr>
          <w:spacing w:val="-2"/>
        </w:rPr>
      </w:pPr>
    </w:p>
    <w:p w:rsidR="0031230E" w:rsidP="0031230E" w14:paraId="531B76FE" w14:textId="1D6ACB98">
      <w:pPr>
        <w:tabs>
          <w:tab w:val="left" w:pos="720"/>
          <w:tab w:val="right" w:pos="9360"/>
        </w:tabs>
        <w:suppressAutoHyphens/>
        <w:spacing w:line="227" w:lineRule="auto"/>
        <w:rPr>
          <w:spacing w:val="-2"/>
        </w:rPr>
      </w:pPr>
      <w:r>
        <w:rPr>
          <w:b/>
          <w:spacing w:val="-2"/>
        </w:rPr>
        <w:t xml:space="preserve">Adopted:  </w:t>
      </w:r>
      <w:r w:rsidR="002F761C">
        <w:rPr>
          <w:b/>
          <w:spacing w:val="-2"/>
        </w:rPr>
        <w:t xml:space="preserve">December </w:t>
      </w:r>
      <w:r w:rsidR="007F0010">
        <w:rPr>
          <w:b/>
          <w:spacing w:val="-2"/>
        </w:rPr>
        <w:t>17</w:t>
      </w:r>
      <w:r>
        <w:rPr>
          <w:b/>
          <w:spacing w:val="-2"/>
        </w:rPr>
        <w:t>, 2020</w:t>
      </w:r>
      <w:r>
        <w:rPr>
          <w:b/>
          <w:spacing w:val="-2"/>
        </w:rPr>
        <w:tab/>
        <w:t xml:space="preserve">Released:  </w:t>
      </w:r>
      <w:r w:rsidR="002F761C">
        <w:rPr>
          <w:b/>
          <w:spacing w:val="-2"/>
        </w:rPr>
        <w:t xml:space="preserve">December </w:t>
      </w:r>
      <w:r w:rsidR="007F0010">
        <w:rPr>
          <w:b/>
          <w:spacing w:val="-2"/>
        </w:rPr>
        <w:t>17</w:t>
      </w:r>
      <w:r>
        <w:rPr>
          <w:b/>
          <w:spacing w:val="-2"/>
        </w:rPr>
        <w:t>, 2020</w:t>
      </w:r>
    </w:p>
    <w:p w:rsidR="0031230E" w:rsidRPr="00563C7C" w:rsidP="0031230E" w14:paraId="5FB0DDB1" w14:textId="77777777">
      <w:pPr>
        <w:tabs>
          <w:tab w:val="left" w:pos="720"/>
          <w:tab w:val="right" w:pos="9360"/>
        </w:tabs>
        <w:suppressAutoHyphens/>
        <w:spacing w:line="227" w:lineRule="auto"/>
        <w:rPr>
          <w:spacing w:val="-2"/>
        </w:rPr>
      </w:pPr>
    </w:p>
    <w:p w:rsidR="0031230E" w:rsidP="0031230E" w14:paraId="1F35ACF7" w14:textId="20CDD01F">
      <w:r>
        <w:t>By the Chief, Enforcement Bureau</w:t>
      </w:r>
      <w:r w:rsidR="002F761C">
        <w:t>, and the Managing Director</w:t>
      </w:r>
      <w:r>
        <w:t>:</w:t>
      </w:r>
    </w:p>
    <w:p w:rsidR="0031230E" w:rsidP="0031230E" w14:paraId="69393527" w14:textId="77777777">
      <w:pPr>
        <w:rPr>
          <w:spacing w:val="-2"/>
        </w:rPr>
      </w:pPr>
    </w:p>
    <w:p w:rsidR="0031230E" w:rsidP="0031230E" w14:paraId="52B90690" w14:textId="77777777">
      <w:pPr>
        <w:pStyle w:val="Heading1"/>
      </w:pPr>
      <w:r>
        <w:t>introduction</w:t>
      </w:r>
    </w:p>
    <w:p w:rsidR="0031230E" w:rsidP="0031230E" w14:paraId="1F3DA3A6" w14:textId="5F7DB2B9">
      <w:pPr>
        <w:pStyle w:val="ParaNum"/>
      </w:pPr>
      <w:r>
        <w:t>T</w:t>
      </w:r>
      <w:r w:rsidR="000D478A">
        <w:t xml:space="preserve">he </w:t>
      </w:r>
      <w:r w:rsidRPr="000D18CD" w:rsidR="000D18CD">
        <w:t>Preventing Illegal Radio Abuse Through Enforcement Act</w:t>
      </w:r>
      <w:r w:rsidR="000D478A">
        <w:t xml:space="preserve"> (</w:t>
      </w:r>
      <w:r w:rsidR="000D18CD">
        <w:t>PIRATE</w:t>
      </w:r>
      <w:r w:rsidR="000D478A">
        <w:t xml:space="preserve"> Act)</w:t>
      </w:r>
      <w:r>
        <w:rPr>
          <w:rStyle w:val="FootnoteReference"/>
        </w:rPr>
        <w:footnoteReference w:id="3"/>
      </w:r>
      <w:r w:rsidR="000D478A">
        <w:t xml:space="preserve"> </w:t>
      </w:r>
      <w:r>
        <w:t xml:space="preserve">grants </w:t>
      </w:r>
      <w:r w:rsidR="000D18CD">
        <w:t xml:space="preserve">the Commission additional </w:t>
      </w:r>
      <w:r>
        <w:t xml:space="preserve">enforcement </w:t>
      </w:r>
      <w:r w:rsidR="000D18CD">
        <w:t>authority</w:t>
      </w:r>
      <w:r>
        <w:t>, including higher forfeiture penalties,</w:t>
      </w:r>
      <w:r w:rsidR="000D18CD">
        <w:t xml:space="preserve"> </w:t>
      </w:r>
      <w:r>
        <w:t xml:space="preserve">against pirate radio broadcasters and </w:t>
      </w:r>
      <w:r w:rsidR="00192B8E">
        <w:t>any person who permits the operation of pirate radio broadcasting</w:t>
      </w:r>
      <w:r w:rsidR="00417F91">
        <w:t>.</w:t>
      </w:r>
      <w:r>
        <w:rPr>
          <w:vertAlign w:val="superscript"/>
        </w:rPr>
        <w:footnoteReference w:id="4"/>
      </w:r>
      <w:r w:rsidRPr="00D1086C" w:rsidR="00417F91">
        <w:t xml:space="preserve"> </w:t>
      </w:r>
      <w:r w:rsidR="000D4733">
        <w:t xml:space="preserve"> </w:t>
      </w:r>
      <w:r w:rsidR="000D478A">
        <w:t xml:space="preserve">Section </w:t>
      </w:r>
      <w:r w:rsidR="008032F3">
        <w:t>2</w:t>
      </w:r>
      <w:r w:rsidR="000D478A">
        <w:t xml:space="preserve"> of the </w:t>
      </w:r>
      <w:r w:rsidR="00192B8E">
        <w:t>PIRATE Act</w:t>
      </w:r>
      <w:r w:rsidR="000D478A">
        <w:t xml:space="preserve"> </w:t>
      </w:r>
      <w:r w:rsidR="006E4FDF">
        <w:t>adds a new section to the Communications Act of 1934, as amended (the Communications Act), enumerated as section 511 and entitled “Enhanced Penalties for Pirate Radio Broadcasting; Enforcement Sweeps; Reporting.”</w:t>
      </w:r>
      <w:bookmarkStart w:id="2" w:name="_Hlk35549399"/>
      <w:r>
        <w:rPr>
          <w:rStyle w:val="FootnoteReference"/>
        </w:rPr>
        <w:footnoteReference w:id="5"/>
      </w:r>
      <w:r w:rsidR="000D478A">
        <w:t xml:space="preserve"> </w:t>
      </w:r>
      <w:bookmarkEnd w:id="2"/>
      <w:r w:rsidRPr="00260CA5" w:rsidR="00260CA5">
        <w:t xml:space="preserve"> </w:t>
      </w:r>
      <w:r>
        <w:t>T</w:t>
      </w:r>
      <w:r w:rsidR="00A74F3B">
        <w:t xml:space="preserve">his </w:t>
      </w:r>
      <w:r w:rsidRPr="009F7FF4" w:rsidR="00A74F3B">
        <w:rPr>
          <w:i/>
          <w:iCs/>
        </w:rPr>
        <w:t>Order</w:t>
      </w:r>
      <w:r w:rsidR="00A74F3B">
        <w:t xml:space="preserve"> amends section 1.80 of the Commission’s rules</w:t>
      </w:r>
      <w:r>
        <w:t xml:space="preserve"> to implement that provision</w:t>
      </w:r>
      <w:r w:rsidR="000D4733">
        <w:t>.</w:t>
      </w:r>
      <w:r>
        <w:rPr>
          <w:rStyle w:val="FootnoteReference"/>
        </w:rPr>
        <w:footnoteReference w:id="6"/>
      </w:r>
      <w:r w:rsidR="000E23C4">
        <w:t xml:space="preserve">  </w:t>
      </w:r>
      <w:r w:rsidRPr="00260CA5" w:rsidR="00260CA5">
        <w:t xml:space="preserve">We </w:t>
      </w:r>
      <w:r w:rsidR="008E73D1">
        <w:t>move directly to an order</w:t>
      </w:r>
      <w:r w:rsidR="00410DF2">
        <w:t xml:space="preserve"> here</w:t>
      </w:r>
      <w:r w:rsidR="00C77B10">
        <w:t xml:space="preserve"> </w:t>
      </w:r>
      <w:r w:rsidRPr="00260CA5" w:rsidR="00260CA5">
        <w:t xml:space="preserve">because implementation </w:t>
      </w:r>
      <w:r w:rsidR="00410DF2">
        <w:t xml:space="preserve">of </w:t>
      </w:r>
      <w:r w:rsidR="00740280">
        <w:t xml:space="preserve">new </w:t>
      </w:r>
      <w:r w:rsidR="002F4019">
        <w:t>s</w:t>
      </w:r>
      <w:r w:rsidR="00410DF2">
        <w:t xml:space="preserve">ection </w:t>
      </w:r>
      <w:r w:rsidR="00740280">
        <w:t>511</w:t>
      </w:r>
      <w:r w:rsidR="00410DF2">
        <w:t xml:space="preserve"> </w:t>
      </w:r>
      <w:r w:rsidRPr="00260CA5" w:rsidR="00260CA5">
        <w:t>entails no exercise of our administrative discretion and, therefore, notice and comment procedures are unnecessary under the “good cause” exception to the Administrative Procedure Act (APA).</w:t>
      </w:r>
      <w:r>
        <w:rPr>
          <w:vertAlign w:val="superscript"/>
        </w:rPr>
        <w:footnoteReference w:id="7"/>
      </w:r>
      <w:r w:rsidRPr="00260CA5" w:rsidR="00260CA5">
        <w:t xml:space="preserve">  </w:t>
      </w:r>
    </w:p>
    <w:p w:rsidR="00E6281B" w:rsidP="00584728" w14:paraId="665414A3" w14:textId="06AC8E80">
      <w:pPr>
        <w:pStyle w:val="Heading1"/>
      </w:pPr>
      <w:r>
        <w:t>background</w:t>
      </w:r>
    </w:p>
    <w:p w:rsidR="00147709" w:rsidP="005D6975" w14:paraId="59864BC1" w14:textId="084AED9E">
      <w:pPr>
        <w:pStyle w:val="ParaNum"/>
      </w:pPr>
      <w:r>
        <w:t>New s</w:t>
      </w:r>
      <w:r w:rsidR="007A26B8">
        <w:t xml:space="preserve">ection </w:t>
      </w:r>
      <w:r>
        <w:t xml:space="preserve">511 provides </w:t>
      </w:r>
      <w:r w:rsidRPr="00147709">
        <w:t xml:space="preserve">specific authority </w:t>
      </w:r>
      <w:r w:rsidR="005503A7">
        <w:t>for the Commission to combat</w:t>
      </w:r>
      <w:r w:rsidRPr="00147709">
        <w:t xml:space="preserve"> pirate radio broadcasting with </w:t>
      </w:r>
      <w:r w:rsidR="00286C4F">
        <w:t>enhanced</w:t>
      </w:r>
      <w:r w:rsidRPr="00147709">
        <w:t xml:space="preserve"> penalties.</w:t>
      </w:r>
      <w:r>
        <w:rPr>
          <w:vertAlign w:val="superscript"/>
        </w:rPr>
        <w:footnoteReference w:id="8"/>
      </w:r>
      <w:r w:rsidRPr="00147709">
        <w:t xml:space="preserve">  </w:t>
      </w:r>
      <w:r w:rsidRPr="00147709" w:rsidR="007A26B8">
        <w:t xml:space="preserve">Pirate radio broadcasting is defined as “the transmission of communications on spectrum frequencies between 535 and 1705 kilohertz, inclusive, or 87.7 and 108 megahertz, inclusive, without a license issued by the Commission, but does not include unlicensed </w:t>
      </w:r>
      <w:r w:rsidRPr="00147709" w:rsidR="007A26B8">
        <w:t>operations in compliance with part 15 of title 47, Code of Federal Regulations.”</w:t>
      </w:r>
      <w:r>
        <w:rPr>
          <w:vertAlign w:val="superscript"/>
        </w:rPr>
        <w:footnoteReference w:id="9"/>
      </w:r>
      <w:r w:rsidR="007A26B8">
        <w:t xml:space="preserve"> </w:t>
      </w:r>
      <w:r w:rsidR="00EC7CB3">
        <w:t xml:space="preserve"> </w:t>
      </w:r>
      <w:bookmarkStart w:id="3" w:name="_Hlk55221168"/>
      <w:r w:rsidR="007A26B8">
        <w:t>Sections 511(a) and (b)</w:t>
      </w:r>
      <w:r w:rsidRPr="00147709">
        <w:t xml:space="preserve"> permit forfeitures of up to $100,000 per day, up to a maximum fine of $2 million, </w:t>
      </w:r>
      <w:bookmarkStart w:id="4" w:name="_Hlk42241245"/>
      <w:r w:rsidRPr="00147709">
        <w:t>for any person who “willfully and knowingly does or causes or suffers to be done”</w:t>
      </w:r>
      <w:r>
        <w:rPr>
          <w:rStyle w:val="FootnoteReference"/>
        </w:rPr>
        <w:footnoteReference w:id="10"/>
      </w:r>
      <w:r w:rsidRPr="00147709">
        <w:t xml:space="preserve"> any pirate radio broadcasting.</w:t>
      </w:r>
      <w:bookmarkEnd w:id="4"/>
      <w:r>
        <w:rPr>
          <w:vertAlign w:val="superscript"/>
        </w:rPr>
        <w:footnoteReference w:id="11"/>
      </w:r>
      <w:r w:rsidRPr="00147709">
        <w:t xml:space="preserve">  </w:t>
      </w:r>
      <w:r w:rsidR="007A26B8">
        <w:t xml:space="preserve">These enhanced forfeiture amounts are “in </w:t>
      </w:r>
      <w:r w:rsidRPr="003863F6" w:rsidR="007A26B8">
        <w:rPr>
          <w:i/>
          <w:iCs/>
        </w:rPr>
        <w:t>addition</w:t>
      </w:r>
      <w:r w:rsidR="007A26B8">
        <w:t xml:space="preserve"> to any other penalties provided by law.”</w:t>
      </w:r>
      <w:r>
        <w:rPr>
          <w:rStyle w:val="FootnoteReference"/>
        </w:rPr>
        <w:footnoteReference w:id="12"/>
      </w:r>
      <w:r w:rsidR="007A26B8">
        <w:t xml:space="preserve"> </w:t>
      </w:r>
      <w:r w:rsidR="00295F92">
        <w:t xml:space="preserve"> </w:t>
      </w:r>
      <w:bookmarkEnd w:id="3"/>
      <w:r w:rsidR="005503A7">
        <w:t>S</w:t>
      </w:r>
      <w:r w:rsidR="00295F92">
        <w:t xml:space="preserve">ection 511(f) </w:t>
      </w:r>
      <w:r>
        <w:t>directs</w:t>
      </w:r>
      <w:r w:rsidRPr="00147709" w:rsidR="00295F92">
        <w:t xml:space="preserve"> the Commission </w:t>
      </w:r>
      <w:r>
        <w:t xml:space="preserve">to </w:t>
      </w:r>
      <w:r w:rsidRPr="00147709" w:rsidR="00295F92">
        <w:t xml:space="preserve">“revise its rules to </w:t>
      </w:r>
      <w:r w:rsidRPr="00286C4F" w:rsidR="00295F92">
        <w:t>require</w:t>
      </w:r>
      <w:r w:rsidRPr="00147709" w:rsidR="00295F92">
        <w:t xml:space="preserve"> that, absent good cause, in any case alleging a violation of subsection (a) or (b), the Commission shall proceed directly to issue a notice of apparent liability without first issuing a notice of unlicensed operation.”</w:t>
      </w:r>
      <w:r>
        <w:rPr>
          <w:vertAlign w:val="superscript"/>
        </w:rPr>
        <w:footnoteReference w:id="13"/>
      </w:r>
      <w:r w:rsidR="00295F92">
        <w:t xml:space="preserve">  </w:t>
      </w:r>
    </w:p>
    <w:p w:rsidR="0031230E" w:rsidP="0031230E" w14:paraId="11CD91EB" w14:textId="77777777">
      <w:pPr>
        <w:pStyle w:val="Heading1"/>
      </w:pPr>
      <w:r>
        <w:t>DIscussion</w:t>
      </w:r>
    </w:p>
    <w:p w:rsidR="0031230E" w:rsidP="0031230E" w14:paraId="1663A4BD" w14:textId="0E2C3C01">
      <w:pPr>
        <w:pStyle w:val="ParaNum"/>
        <w:widowControl/>
      </w:pPr>
      <w:r>
        <w:t xml:space="preserve">We amend </w:t>
      </w:r>
      <w:r w:rsidR="00382326">
        <w:t xml:space="preserve">section 1.80 </w:t>
      </w:r>
      <w:r w:rsidR="0020724B">
        <w:t xml:space="preserve">of </w:t>
      </w:r>
      <w:r>
        <w:t xml:space="preserve">our rules to implement </w:t>
      </w:r>
      <w:r w:rsidR="001C0B3D">
        <w:t>section 511</w:t>
      </w:r>
      <w:r>
        <w:t xml:space="preserve">.  </w:t>
      </w:r>
      <w:r w:rsidRPr="00245F5A" w:rsidR="00245F5A">
        <w:rPr>
          <w:i/>
          <w:iCs/>
        </w:rPr>
        <w:t>First</w:t>
      </w:r>
      <w:r w:rsidR="00245F5A">
        <w:t xml:space="preserve">, we </w:t>
      </w:r>
      <w:r w:rsidR="004E5994">
        <w:t>codify</w:t>
      </w:r>
      <w:r w:rsidR="00245F5A">
        <w:t xml:space="preserve"> penalties for violations of section 511(a) or (b).  Under the amended rule, the Commission has the authority to impose a penalty of up to </w:t>
      </w:r>
      <w:r w:rsidRPr="00147709" w:rsidR="00245F5A">
        <w:t>$100,000 per day, up to a maximum fine of $2 million,</w:t>
      </w:r>
      <w:r>
        <w:rPr>
          <w:rStyle w:val="FootnoteReference"/>
        </w:rPr>
        <w:footnoteReference w:id="14"/>
      </w:r>
      <w:r w:rsidRPr="00147709" w:rsidR="00245F5A">
        <w:t xml:space="preserve"> </w:t>
      </w:r>
      <w:r w:rsidR="00DE7F58">
        <w:t>against</w:t>
      </w:r>
      <w:r w:rsidRPr="00147709" w:rsidR="00245F5A">
        <w:t xml:space="preserve"> any person who willfully and knowingly does or causes or suffers to be done any pirate radio broadcasting</w:t>
      </w:r>
      <w:r w:rsidR="00245F5A">
        <w:t xml:space="preserve">, in addition to </w:t>
      </w:r>
      <w:r w:rsidR="00A5087F">
        <w:t>any</w:t>
      </w:r>
      <w:r w:rsidR="00245F5A">
        <w:t xml:space="preserve"> forfeiture penalty amount that may be proposed </w:t>
      </w:r>
      <w:r w:rsidR="008A7C0B">
        <w:t xml:space="preserve">under </w:t>
      </w:r>
      <w:r w:rsidR="00A5087F">
        <w:t xml:space="preserve">any other provision of </w:t>
      </w:r>
      <w:r w:rsidR="00245F5A">
        <w:t>the Communications Act.</w:t>
      </w:r>
      <w:r>
        <w:rPr>
          <w:rStyle w:val="FootnoteReference"/>
        </w:rPr>
        <w:footnoteReference w:id="15"/>
      </w:r>
    </w:p>
    <w:p w:rsidR="00536BA1" w:rsidP="003C1DD1" w14:paraId="09E5DD0E" w14:textId="4846BBFB">
      <w:pPr>
        <w:pStyle w:val="ParaNum"/>
        <w:widowControl/>
      </w:pPr>
      <w:r>
        <w:rPr>
          <w:i/>
          <w:iCs/>
        </w:rPr>
        <w:t>Second</w:t>
      </w:r>
      <w:r w:rsidR="00245F5A">
        <w:t>,</w:t>
      </w:r>
      <w:r w:rsidRPr="007C1AC4" w:rsidR="00245F5A">
        <w:t xml:space="preserve"> </w:t>
      </w:r>
      <w:r w:rsidR="00245F5A">
        <w:t>consistent with section 511(f), we amend section 1.80 to provide that, absent good cause, the Commissio</w:t>
      </w:r>
      <w:r w:rsidRPr="0026608F" w:rsidR="00245F5A">
        <w:t xml:space="preserve">n </w:t>
      </w:r>
      <w:r w:rsidR="004E5994">
        <w:t>shall</w:t>
      </w:r>
      <w:r w:rsidR="00A5087F">
        <w:t>,</w:t>
      </w:r>
      <w:r w:rsidRPr="0026608F" w:rsidR="004E5994">
        <w:t xml:space="preserve"> </w:t>
      </w:r>
      <w:r w:rsidRPr="0026608F" w:rsidR="00245F5A">
        <w:t>in the first instance</w:t>
      </w:r>
      <w:r w:rsidR="00A5087F">
        <w:t>,</w:t>
      </w:r>
      <w:r w:rsidRPr="0026608F" w:rsidR="00245F5A">
        <w:t xml:space="preserve"> </w:t>
      </w:r>
      <w:r w:rsidR="004E5994">
        <w:t>pro</w:t>
      </w:r>
      <w:r w:rsidRPr="0026608F" w:rsidR="004E5994">
        <w:t xml:space="preserve">pose </w:t>
      </w:r>
      <w:r w:rsidRPr="0026608F" w:rsidR="00245F5A">
        <w:t xml:space="preserve">a penalty against any person </w:t>
      </w:r>
      <w:r w:rsidR="00245F5A">
        <w:t>who</w:t>
      </w:r>
      <w:r w:rsidRPr="0026608F" w:rsidR="00245F5A">
        <w:t xml:space="preserve"> </w:t>
      </w:r>
      <w:r w:rsidR="00DC78B1">
        <w:t>“</w:t>
      </w:r>
      <w:r w:rsidRPr="0026608F" w:rsidR="00245F5A">
        <w:t>willfully and knowingly does or causes or suffers to be done any pirate radio broadcasting.</w:t>
      </w:r>
      <w:r w:rsidR="00DC78B1">
        <w:t>”</w:t>
      </w:r>
      <w:r>
        <w:rPr>
          <w:rStyle w:val="FootnoteReference"/>
        </w:rPr>
        <w:footnoteReference w:id="16"/>
      </w:r>
      <w:r w:rsidRPr="0026608F" w:rsidR="00245F5A">
        <w:t xml:space="preserve">  </w:t>
      </w:r>
      <w:r w:rsidR="00245F5A">
        <w:t xml:space="preserve">In other words, </w:t>
      </w:r>
      <w:r w:rsidR="00A5087F">
        <w:t xml:space="preserve">absent good cause to do otherwise, </w:t>
      </w:r>
      <w:r w:rsidR="00245F5A">
        <w:t>t</w:t>
      </w:r>
      <w:r w:rsidRPr="0026608F" w:rsidR="00245F5A">
        <w:t xml:space="preserve">he Commission </w:t>
      </w:r>
      <w:r w:rsidR="004E5994">
        <w:t xml:space="preserve">will not </w:t>
      </w:r>
      <w:r w:rsidRPr="0026608F" w:rsidR="00245F5A">
        <w:t xml:space="preserve">first issue a </w:t>
      </w:r>
      <w:r w:rsidR="009B115A">
        <w:t xml:space="preserve">notice of unlicensed operation </w:t>
      </w:r>
      <w:r w:rsidR="00245F5A">
        <w:t>to a person who</w:t>
      </w:r>
      <w:r w:rsidR="006D21FE">
        <w:t xml:space="preserve"> </w:t>
      </w:r>
      <w:r w:rsidR="004E5994">
        <w:t xml:space="preserve">engages in </w:t>
      </w:r>
      <w:r w:rsidR="001B5D61">
        <w:t>such conduct</w:t>
      </w:r>
      <w:r w:rsidRPr="0026608F" w:rsidR="00245F5A">
        <w:t>.</w:t>
      </w:r>
      <w:r>
        <w:rPr>
          <w:rStyle w:val="FootnoteReference"/>
        </w:rPr>
        <w:footnoteReference w:id="17"/>
      </w:r>
      <w:r w:rsidR="000D478A">
        <w:t xml:space="preserve">  </w:t>
      </w:r>
      <w:r w:rsidR="00855C03">
        <w:t>In applying</w:t>
      </w:r>
      <w:r w:rsidR="006D3A58">
        <w:t xml:space="preserve"> the good cause standard in section 511(f)</w:t>
      </w:r>
      <w:r w:rsidR="00855C03">
        <w:t>, we may consider</w:t>
      </w:r>
      <w:r w:rsidR="006D3A58">
        <w:t xml:space="preserve"> </w:t>
      </w:r>
      <w:r w:rsidRPr="006D21FE" w:rsidR="006D3A58">
        <w:t xml:space="preserve">Commission </w:t>
      </w:r>
      <w:r w:rsidR="006D3A58">
        <w:t>precedent concerning waiver</w:t>
      </w:r>
      <w:r w:rsidR="00AD4FB6">
        <w:t xml:space="preserve"> </w:t>
      </w:r>
      <w:r w:rsidR="006D3A58">
        <w:t xml:space="preserve">of </w:t>
      </w:r>
      <w:r w:rsidR="00892D93">
        <w:t>our</w:t>
      </w:r>
      <w:r w:rsidRPr="006D21FE" w:rsidR="00892D93">
        <w:t xml:space="preserve"> </w:t>
      </w:r>
      <w:r w:rsidRPr="006D21FE" w:rsidR="006D3A58">
        <w:t>regulations for good cause shown.</w:t>
      </w:r>
      <w:r>
        <w:rPr>
          <w:rStyle w:val="FootnoteReference"/>
        </w:rPr>
        <w:footnoteReference w:id="18"/>
      </w:r>
      <w:r w:rsidR="006D3A58">
        <w:t xml:space="preserve">  </w:t>
      </w:r>
      <w:r w:rsidRPr="006D21FE" w:rsidR="006D3A58">
        <w:t xml:space="preserve">In general, </w:t>
      </w:r>
      <w:r w:rsidR="006D3A58">
        <w:t xml:space="preserve">this standard requires </w:t>
      </w:r>
      <w:r w:rsidRPr="006D21FE" w:rsidR="006D3A58">
        <w:t>special circumstances warranting a deviation from the general rule</w:t>
      </w:r>
      <w:r w:rsidR="006D3A58">
        <w:t xml:space="preserve"> and </w:t>
      </w:r>
      <w:r w:rsidRPr="006D21FE" w:rsidR="006D3A58">
        <w:t>serv</w:t>
      </w:r>
      <w:r w:rsidR="006D3A58">
        <w:t>ing</w:t>
      </w:r>
      <w:r w:rsidRPr="006D21FE" w:rsidR="006D3A58">
        <w:t xml:space="preserve"> the public interest.</w:t>
      </w:r>
      <w:r>
        <w:rPr>
          <w:rStyle w:val="FootnoteReference"/>
        </w:rPr>
        <w:footnoteReference w:id="19"/>
      </w:r>
      <w:r w:rsidR="006D3A58">
        <w:t xml:space="preserve"> </w:t>
      </w:r>
    </w:p>
    <w:p w:rsidR="0031230E" w:rsidP="0031230E" w14:paraId="2D6C4954" w14:textId="18152F63">
      <w:pPr>
        <w:pStyle w:val="ParaNum"/>
      </w:pPr>
      <w:bookmarkStart w:id="6" w:name="_Ref42253766"/>
      <w:r w:rsidRPr="00FB1071">
        <w:t>Consistent with previous decisions, we amend our rules without providing for prior public notice and comment.</w:t>
      </w:r>
      <w:r>
        <w:rPr>
          <w:rStyle w:val="FootnoteReference"/>
        </w:rPr>
        <w:footnoteReference w:id="20"/>
      </w:r>
      <w:r w:rsidRPr="00FB1071">
        <w:t xml:space="preserve">  Our action here is ministerial because it simply effectuates </w:t>
      </w:r>
      <w:r w:rsidR="00267B75">
        <w:t xml:space="preserve">regulations </w:t>
      </w:r>
      <w:r w:rsidRPr="00FB1071">
        <w:t>established by legislation and requires no exercise of administrative discretion.</w:t>
      </w:r>
      <w:r>
        <w:rPr>
          <w:rStyle w:val="FootnoteReference"/>
        </w:rPr>
        <w:footnoteReference w:id="21"/>
      </w:r>
      <w:r w:rsidRPr="00FB1071">
        <w:t xml:space="preserve">  For this reason, we conclude that prior notice and comment would serve no useful purpose and </w:t>
      </w:r>
      <w:r w:rsidR="00F42460">
        <w:t>is</w:t>
      </w:r>
      <w:r w:rsidRPr="00FB1071" w:rsidR="00F42460">
        <w:t xml:space="preserve"> </w:t>
      </w:r>
      <w:r w:rsidRPr="00FB1071">
        <w:t xml:space="preserve">unnecessary.  We therefore find that this action comes within the “good cause” exception to the notice and comment requirements of the </w:t>
      </w:r>
      <w:r w:rsidRPr="00C20626">
        <w:t>A</w:t>
      </w:r>
      <w:r w:rsidR="00463ADE">
        <w:t>PA</w:t>
      </w:r>
      <w:r w:rsidRPr="00FB1071">
        <w:t>.</w:t>
      </w:r>
      <w:r>
        <w:rPr>
          <w:vertAlign w:val="superscript"/>
        </w:rPr>
        <w:footnoteReference w:id="22"/>
      </w:r>
      <w:bookmarkEnd w:id="6"/>
      <w:r w:rsidRPr="00FB1071">
        <w:t xml:space="preserve">   </w:t>
      </w:r>
    </w:p>
    <w:p w:rsidR="0031230E" w:rsidP="0031230E" w14:paraId="2E45D8CF" w14:textId="77777777">
      <w:pPr>
        <w:pStyle w:val="Heading1"/>
      </w:pPr>
      <w:r>
        <w:t>procedural matters</w:t>
      </w:r>
    </w:p>
    <w:p w:rsidR="00BB6211" w:rsidP="00BB6211" w14:paraId="489B4701" w14:textId="617E0A3D">
      <w:pPr>
        <w:pStyle w:val="ParaNum"/>
      </w:pPr>
      <w:r w:rsidRPr="00B3338C">
        <w:t>The Enforcement Bureau is responsible for, among other things, rulemaking proceedings regarding general enforcement policies and procedures.</w:t>
      </w:r>
      <w:r>
        <w:rPr>
          <w:vertAlign w:val="superscript"/>
        </w:rPr>
        <w:footnoteReference w:id="23"/>
      </w:r>
      <w:r w:rsidRPr="00B3338C">
        <w:t xml:space="preserve">  In </w:t>
      </w:r>
      <w:r w:rsidR="00E54587">
        <w:t>section 511(f) of the Communications Act</w:t>
      </w:r>
      <w:r w:rsidRPr="00B3338C">
        <w:t>, Congress mandated</w:t>
      </w:r>
      <w:r>
        <w:t xml:space="preserve"> the</w:t>
      </w:r>
      <w:r w:rsidRPr="00B3338C">
        <w:t xml:space="preserve"> </w:t>
      </w:r>
      <w:r>
        <w:t xml:space="preserve">Commission to </w:t>
      </w:r>
      <w:r w:rsidRPr="00B3338C">
        <w:t>prescribe implementing regulations.</w:t>
      </w:r>
      <w:r>
        <w:rPr>
          <w:vertAlign w:val="superscript"/>
        </w:rPr>
        <w:footnoteReference w:id="24"/>
      </w:r>
      <w:r w:rsidRPr="00B3338C">
        <w:t xml:space="preserve">  </w:t>
      </w:r>
      <w:r w:rsidR="004067F1">
        <w:t xml:space="preserve">Additionally, the enhanced penalties set forth in sections 511 (a) and (b) require codification in the Commission’s rules.  </w:t>
      </w:r>
      <w:r w:rsidRPr="00B3338C">
        <w:t xml:space="preserve">Therefore, action on delegated authority is properly taken in this </w:t>
      </w:r>
      <w:r w:rsidRPr="009F7FF4">
        <w:rPr>
          <w:i/>
          <w:iCs/>
        </w:rPr>
        <w:t>Order</w:t>
      </w:r>
      <w:r w:rsidRPr="00B3338C">
        <w:t xml:space="preserve"> amending </w:t>
      </w:r>
      <w:r w:rsidR="0070064A">
        <w:t>s</w:t>
      </w:r>
      <w:r>
        <w:t>ection 1.80 of our rules</w:t>
      </w:r>
      <w:r w:rsidRPr="00B3338C">
        <w:t xml:space="preserve">, which </w:t>
      </w:r>
      <w:r>
        <w:t>is</w:t>
      </w:r>
      <w:r w:rsidRPr="00B3338C">
        <w:t xml:space="preserve"> part of the Commission’s general enforcement policies and procedures.  </w:t>
      </w:r>
      <w:bookmarkStart w:id="7" w:name="_Hlk45116875"/>
      <w:r w:rsidRPr="00B3338C">
        <w:t>In addition, because a notice of proposed rulemaking is not required for these rule changes, no regulatory flexibility analysis is required.</w:t>
      </w:r>
      <w:r>
        <w:rPr>
          <w:rStyle w:val="FootnoteReference"/>
        </w:rPr>
        <w:footnoteReference w:id="25"/>
      </w:r>
    </w:p>
    <w:bookmarkEnd w:id="7"/>
    <w:p w:rsidR="0031230E" w:rsidP="0031230E" w14:paraId="07FFC7FC" w14:textId="77777777">
      <w:pPr>
        <w:pStyle w:val="ParaNum"/>
      </w:pPr>
      <w:r w:rsidRPr="0070064A">
        <w:rPr>
          <w:i/>
          <w:iCs/>
        </w:rPr>
        <w:t>Effective Date</w:t>
      </w:r>
      <w:r w:rsidRPr="0070064A">
        <w:t xml:space="preserve">. </w:t>
      </w:r>
      <w:r>
        <w:t xml:space="preserve"> </w:t>
      </w:r>
      <w:r w:rsidRPr="0070064A">
        <w:t>The rules adopted in th</w:t>
      </w:r>
      <w:r>
        <w:t>is</w:t>
      </w:r>
      <w:r w:rsidRPr="0070064A">
        <w:t xml:space="preserve"> </w:t>
      </w:r>
      <w:r w:rsidRPr="0070064A">
        <w:rPr>
          <w:i/>
          <w:iCs/>
        </w:rPr>
        <w:t xml:space="preserve">Order </w:t>
      </w:r>
      <w:r w:rsidRPr="0070064A">
        <w:t>shall be effective 30 days after publication in the Federal Register.</w:t>
      </w:r>
      <w:r w:rsidRPr="00B3338C">
        <w:t xml:space="preserve"> </w:t>
      </w:r>
    </w:p>
    <w:p w:rsidR="0031230E" w:rsidP="00122DEF" w14:paraId="7AA7C11F" w14:textId="77777777">
      <w:pPr>
        <w:pStyle w:val="ParaNum"/>
        <w:widowControl/>
      </w:pPr>
      <w:bookmarkStart w:id="8" w:name="_Hlk31009236"/>
      <w:r w:rsidRPr="00BB6211">
        <w:rPr>
          <w:i/>
          <w:iCs/>
        </w:rPr>
        <w:t>Paperwork Reduction Act of 1995 Analysis.</w:t>
      </w:r>
      <w:r>
        <w:t xml:space="preserve">  </w:t>
      </w:r>
      <w:r w:rsidRPr="00D63C94">
        <w:t>We have analyzed the actions taken herein with respect to the Paperwork Reduction Act of 1995 (PRA),</w:t>
      </w:r>
      <w:r>
        <w:rPr>
          <w:vertAlign w:val="superscript"/>
        </w:rPr>
        <w:footnoteReference w:id="26"/>
      </w:r>
      <w:r w:rsidRPr="00D63C94">
        <w:t xml:space="preserve"> and we find them to impose no new or modified information collection(s) subject to the</w:t>
      </w:r>
      <w:r>
        <w:t xml:space="preserve"> </w:t>
      </w:r>
      <w:r w:rsidRPr="00D63C94">
        <w:t>PRA.  In addition, pursuant to the Small Business Paperwork Relief Act of 2002,</w:t>
      </w:r>
      <w:r>
        <w:rPr>
          <w:vertAlign w:val="superscript"/>
        </w:rPr>
        <w:footnoteReference w:id="27"/>
      </w:r>
      <w:r w:rsidRPr="00D63C94">
        <w:t xml:space="preserve"> our actions do not impose any new or modified “information collection burden for small business concerns with fewer than 25 employees.”</w:t>
      </w:r>
      <w:r>
        <w:rPr>
          <w:vertAlign w:val="superscript"/>
        </w:rPr>
        <w:footnoteReference w:id="28"/>
      </w:r>
    </w:p>
    <w:p w:rsidR="00BB6211" w:rsidP="007F0010" w14:paraId="10A8B368" w14:textId="77777777">
      <w:pPr>
        <w:pStyle w:val="ParaNum"/>
        <w:widowControl/>
      </w:pPr>
      <w:r w:rsidRPr="00CC1649">
        <w:rPr>
          <w:i/>
          <w:iCs/>
        </w:rPr>
        <w:t xml:space="preserve">Congressional Review Act. </w:t>
      </w:r>
      <w:r w:rsidRPr="00BB6211">
        <w:t xml:space="preserve"> </w:t>
      </w:r>
      <w:r w:rsidRPr="00CC1649">
        <w:t xml:space="preserve">The </w:t>
      </w:r>
      <w:r w:rsidRPr="007B67A9">
        <w:t>Commission</w:t>
      </w:r>
      <w:r w:rsidRPr="00CC1649">
        <w:t xml:space="preserve"> has determined, and the Administrator of the Office of Information and Regulatory Affairs, Office of Management and Budget, concurs that this rule is </w:t>
      </w:r>
      <w:r w:rsidRPr="003D49EA" w:rsidR="002072AD">
        <w:t>“</w:t>
      </w:r>
      <w:r w:rsidRPr="003D49EA">
        <w:t>non-major</w:t>
      </w:r>
      <w:r w:rsidRPr="003D49EA" w:rsidR="003D49EA">
        <w:t>”</w:t>
      </w:r>
      <w:r w:rsidRPr="00CC1649">
        <w:t xml:space="preserve"> under the Congressional Review Act, 5 U.S.C. § 804(2).</w:t>
      </w:r>
      <w:r>
        <w:t xml:space="preserve">  </w:t>
      </w:r>
      <w:r w:rsidR="0031230E">
        <w:t xml:space="preserve">The Commission will send a copy of this </w:t>
      </w:r>
      <w:r w:rsidRPr="009F7FF4" w:rsidR="0031230E">
        <w:rPr>
          <w:i/>
          <w:iCs/>
        </w:rPr>
        <w:t>Order</w:t>
      </w:r>
      <w:r w:rsidR="0031230E">
        <w:t xml:space="preserve"> in a report to be sent to Congress and the Government Accountability Office, </w:t>
      </w:r>
      <w:bookmarkStart w:id="9" w:name="_GoBack"/>
      <w:bookmarkEnd w:id="9"/>
      <w:r w:rsidR="0031230E">
        <w:t>pursuant to</w:t>
      </w:r>
      <w:r w:rsidR="00326F5A">
        <w:t xml:space="preserve"> </w:t>
      </w:r>
      <w:r w:rsidR="007A0256">
        <w:t xml:space="preserve">5 U.S.C. </w:t>
      </w:r>
      <w:r w:rsidR="007A0256">
        <w:rPr>
          <w:rFonts w:cstheme="minorHAnsi"/>
        </w:rPr>
        <w:t>§</w:t>
      </w:r>
      <w:r w:rsidR="007A0256">
        <w:t xml:space="preserve"> 801(a)(1)(A)</w:t>
      </w:r>
      <w:r w:rsidR="0031230E">
        <w:t xml:space="preserve">. </w:t>
      </w:r>
    </w:p>
    <w:p w:rsidR="00BB6211" w:rsidP="00BB6211" w14:paraId="32F75B0C" w14:textId="77777777">
      <w:pPr>
        <w:pStyle w:val="ParaNum"/>
      </w:pPr>
      <w:r>
        <w:rPr>
          <w:i/>
          <w:iCs/>
        </w:rPr>
        <w:t xml:space="preserve">People with Disabilities. </w:t>
      </w:r>
      <w:r>
        <w:t xml:space="preserve">To request material in accessible formats for people with disabilities (braille, large print, electronic files, audio format), send an e-mail to </w:t>
      </w:r>
      <w:hyperlink r:id="rId5" w:history="1">
        <w:r w:rsidRPr="00326F5A">
          <w:rPr>
            <w:rStyle w:val="Hyperlink"/>
          </w:rPr>
          <w:t>fcc504@fcc.gov</w:t>
        </w:r>
      </w:hyperlink>
      <w:r>
        <w:rPr>
          <w:color w:val="0000FF"/>
        </w:rPr>
        <w:t xml:space="preserve"> </w:t>
      </w:r>
      <w:r>
        <w:t>or call the Consumer &amp; Governmental Affairs Bureau at 202-418-0530 (voice), 202-418-0432 (</w:t>
      </w:r>
      <w:r>
        <w:t>tty</w:t>
      </w:r>
      <w:r>
        <w:t xml:space="preserve">). </w:t>
      </w:r>
    </w:p>
    <w:p w:rsidR="0031230E" w:rsidP="00260CA5" w14:paraId="566CB306" w14:textId="3C92E2F1">
      <w:pPr>
        <w:pStyle w:val="ParaNum"/>
      </w:pPr>
      <w:r w:rsidRPr="00CC1649">
        <w:rPr>
          <w:i/>
          <w:iCs/>
        </w:rPr>
        <w:t xml:space="preserve">Further Information.  </w:t>
      </w:r>
      <w:r>
        <w:t xml:space="preserve">For further information, contact </w:t>
      </w:r>
      <w:r w:rsidR="00FB6793">
        <w:t>Shannon Lipp</w:t>
      </w:r>
      <w:r>
        <w:t xml:space="preserve">, </w:t>
      </w:r>
      <w:r w:rsidR="00FB6793">
        <w:t>Legal Advisor</w:t>
      </w:r>
      <w:r>
        <w:t xml:space="preserve">, </w:t>
      </w:r>
      <w:r w:rsidR="00B30C0F">
        <w:t xml:space="preserve">Office of the </w:t>
      </w:r>
      <w:r w:rsidR="00FB6793">
        <w:t>Bureau Chief</w:t>
      </w:r>
      <w:r>
        <w:t>, Enforcement Bureau, at (202) 418-</w:t>
      </w:r>
      <w:r w:rsidR="00FB6793">
        <w:t>8192</w:t>
      </w:r>
      <w:r>
        <w:t xml:space="preserve"> or </w:t>
      </w:r>
      <w:hyperlink r:id="rId6" w:history="1">
        <w:r w:rsidRPr="00FB6793" w:rsidR="00FB6793">
          <w:rPr>
            <w:rStyle w:val="Hyperlink"/>
          </w:rPr>
          <w:t>shannon.lipp@fcc.gov</w:t>
        </w:r>
      </w:hyperlink>
      <w:r>
        <w:t>.</w:t>
      </w:r>
    </w:p>
    <w:bookmarkEnd w:id="8"/>
    <w:p w:rsidR="0031230E" w:rsidP="0031230E" w14:paraId="231CDAF4" w14:textId="77777777">
      <w:pPr>
        <w:pStyle w:val="Heading1"/>
      </w:pPr>
      <w:r>
        <w:t>Ordering clauses</w:t>
      </w:r>
    </w:p>
    <w:p w:rsidR="0031230E" w:rsidP="0031230E" w14:paraId="25087A17" w14:textId="0F1DE754">
      <w:pPr>
        <w:pStyle w:val="ParaNum"/>
        <w:widowControl/>
      </w:pPr>
      <w:r>
        <w:t xml:space="preserve">Accordingly, </w:t>
      </w:r>
      <w:r w:rsidRPr="00766840">
        <w:rPr>
          <w:b/>
          <w:bCs/>
        </w:rPr>
        <w:t>IT IS ORDERED</w:t>
      </w:r>
      <w:r>
        <w:t>, pursuant to sections 4(</w:t>
      </w:r>
      <w:r>
        <w:t>i</w:t>
      </w:r>
      <w:r>
        <w:t>)</w:t>
      </w:r>
      <w:r w:rsidR="00F3454D">
        <w:t xml:space="preserve">, </w:t>
      </w:r>
      <w:r>
        <w:t>4(j)</w:t>
      </w:r>
      <w:r w:rsidR="00F3454D">
        <w:t xml:space="preserve">, and </w:t>
      </w:r>
      <w:r w:rsidR="00B30C0F">
        <w:t>511</w:t>
      </w:r>
      <w:r>
        <w:t xml:space="preserve"> of the Communications Act of 1934, as amended, 47 U.S.C. §§ 154(</w:t>
      </w:r>
      <w:r>
        <w:t>i</w:t>
      </w:r>
      <w:r>
        <w:t>)</w:t>
      </w:r>
      <w:r w:rsidR="00CC1148">
        <w:t>,</w:t>
      </w:r>
      <w:r>
        <w:t xml:space="preserve"> 154(j),</w:t>
      </w:r>
      <w:r w:rsidR="006B10AE">
        <w:t xml:space="preserve"> </w:t>
      </w:r>
      <w:r w:rsidR="00B30C0F">
        <w:t>511</w:t>
      </w:r>
      <w:r w:rsidR="00E66A96">
        <w:t xml:space="preserve">, </w:t>
      </w:r>
      <w:r w:rsidR="004E47F8">
        <w:t xml:space="preserve">and </w:t>
      </w:r>
      <w:r w:rsidR="006B10AE">
        <w:t>sections 0.111(a)(22)</w:t>
      </w:r>
      <w:r w:rsidR="002F761C">
        <w:t>, 0.231(b),</w:t>
      </w:r>
      <w:r w:rsidR="006B10AE">
        <w:t xml:space="preserve"> and 0.311</w:t>
      </w:r>
      <w:r w:rsidR="00476B98">
        <w:t>(a)(1)</w:t>
      </w:r>
      <w:r w:rsidR="006B10AE">
        <w:t xml:space="preserve"> of the </w:t>
      </w:r>
      <w:r w:rsidR="00326F5A">
        <w:t>Commission’s r</w:t>
      </w:r>
      <w:r w:rsidR="006B10AE">
        <w:t>ule</w:t>
      </w:r>
      <w:r w:rsidRPr="003D49EA" w:rsidR="006B10AE">
        <w:t>s, 47 CFR  §§ 0.111(a)(22), 0.311</w:t>
      </w:r>
      <w:r w:rsidRPr="003D49EA" w:rsidR="00476B98">
        <w:t>(a)(1)</w:t>
      </w:r>
      <w:r>
        <w:t>,</w:t>
      </w:r>
      <w:r w:rsidRPr="00D63C94">
        <w:t xml:space="preserve"> that this </w:t>
      </w:r>
      <w:r w:rsidRPr="009F7FF4">
        <w:rPr>
          <w:i/>
          <w:iCs/>
        </w:rPr>
        <w:t>Order</w:t>
      </w:r>
      <w:r w:rsidRPr="00D63C94">
        <w:t xml:space="preserve"> </w:t>
      </w:r>
      <w:r w:rsidRPr="00671AAA">
        <w:rPr>
          <w:b/>
        </w:rPr>
        <w:t>IS ADOPTED</w:t>
      </w:r>
      <w:r w:rsidRPr="00D63C94">
        <w:t>.</w:t>
      </w:r>
      <w:r>
        <w:t xml:space="preserve"> </w:t>
      </w:r>
    </w:p>
    <w:p w:rsidR="0031230E" w:rsidP="0031230E" w14:paraId="514087B7" w14:textId="77777777">
      <w:pPr>
        <w:pStyle w:val="ParaNum"/>
      </w:pPr>
      <w:r w:rsidRPr="00671AAA">
        <w:rPr>
          <w:b/>
          <w:bCs/>
        </w:rPr>
        <w:t>IT IS FURTHER ORDERED</w:t>
      </w:r>
      <w:r>
        <w:t xml:space="preserve"> </w:t>
      </w:r>
      <w:bookmarkStart w:id="10" w:name="_Hlk31009338"/>
      <w:r w:rsidRPr="00B33C3A">
        <w:t>that section 1.80</w:t>
      </w:r>
      <w:r>
        <w:t xml:space="preserve"> </w:t>
      </w:r>
      <w:r w:rsidRPr="00B33C3A">
        <w:t xml:space="preserve">of the </w:t>
      </w:r>
      <w:r w:rsidR="00BB6211">
        <w:t>Commission’s r</w:t>
      </w:r>
      <w:r w:rsidRPr="00B33C3A">
        <w:t xml:space="preserve">ules, 47 CFR § 1.80, is </w:t>
      </w:r>
      <w:r w:rsidRPr="00671AAA">
        <w:rPr>
          <w:b/>
        </w:rPr>
        <w:t>AMENDED</w:t>
      </w:r>
      <w:r w:rsidRPr="00B33C3A">
        <w:t xml:space="preserve"> as set forth in the Appendix.</w:t>
      </w:r>
    </w:p>
    <w:p w:rsidR="0031230E" w:rsidRPr="00B33C3A" w:rsidP="0031230E" w14:paraId="33A35CA2" w14:textId="77777777">
      <w:pPr>
        <w:pStyle w:val="ParaNum"/>
      </w:pPr>
      <w:r w:rsidRPr="00671AAA">
        <w:rPr>
          <w:b/>
          <w:bCs/>
        </w:rPr>
        <w:t>IT IS FURTHER ORDERED</w:t>
      </w:r>
      <w:r w:rsidRPr="00B33C3A">
        <w:t xml:space="preserve"> that this </w:t>
      </w:r>
      <w:r w:rsidRPr="009F7FF4">
        <w:rPr>
          <w:i/>
          <w:iCs/>
        </w:rPr>
        <w:t>Order</w:t>
      </w:r>
      <w:r w:rsidRPr="00B33C3A">
        <w:t xml:space="preserve"> and the foregoing amendments to the </w:t>
      </w:r>
      <w:r w:rsidR="00CC1649">
        <w:t>Commission’s r</w:t>
      </w:r>
      <w:r w:rsidRPr="00B33C3A">
        <w:t xml:space="preserve">ules </w:t>
      </w:r>
      <w:r w:rsidRPr="00713EDC">
        <w:rPr>
          <w:b/>
          <w:bCs/>
        </w:rPr>
        <w:t>SHALL BE</w:t>
      </w:r>
      <w:r w:rsidRPr="00671AAA">
        <w:rPr>
          <w:b/>
          <w:bCs/>
        </w:rPr>
        <w:t xml:space="preserve"> EFFECTIVE</w:t>
      </w:r>
      <w:r w:rsidR="00185E52">
        <w:rPr>
          <w:b/>
          <w:bCs/>
        </w:rPr>
        <w:t xml:space="preserve"> </w:t>
      </w:r>
      <w:r w:rsidR="00185E52">
        <w:t>thirty (30) days after the date of publication in the Federal Register.</w:t>
      </w:r>
      <w:r w:rsidRPr="00B33C3A">
        <w:t xml:space="preserve">   </w:t>
      </w:r>
    </w:p>
    <w:p w:rsidR="0031230E" w:rsidP="0031230E" w14:paraId="1D2594EF" w14:textId="77777777">
      <w:pPr>
        <w:pStyle w:val="ParaNum"/>
      </w:pPr>
      <w:r w:rsidRPr="00671AAA">
        <w:rPr>
          <w:b/>
          <w:bCs/>
        </w:rPr>
        <w:t>IT IS FURTHER ORDERED</w:t>
      </w:r>
      <w:r w:rsidRPr="00B33C3A">
        <w:t xml:space="preserve"> that the Commission’s Consumer &amp; Governmental Affairs Bureau, Reference Information Center, </w:t>
      </w:r>
      <w:r w:rsidRPr="007B67A9" w:rsidR="00CC1649">
        <w:rPr>
          <w:b/>
          <w:bCs/>
        </w:rPr>
        <w:t>SHALL</w:t>
      </w:r>
      <w:r w:rsidRPr="007B67A9">
        <w:rPr>
          <w:b/>
          <w:bCs/>
        </w:rPr>
        <w:t xml:space="preserve"> SEND</w:t>
      </w:r>
      <w:r w:rsidRPr="00B33C3A">
        <w:t xml:space="preserve"> a copy of this </w:t>
      </w:r>
      <w:r w:rsidRPr="009F7FF4">
        <w:rPr>
          <w:i/>
          <w:iCs/>
        </w:rPr>
        <w:t>Order</w:t>
      </w:r>
      <w:r w:rsidRPr="00B33C3A">
        <w:t xml:space="preserve"> to Congress and the Government Accountability Office pursuant to the Congressional Review Act, 5 U.S.C. § 801(a)(1)(A).</w:t>
      </w:r>
      <w:bookmarkEnd w:id="10"/>
    </w:p>
    <w:p w:rsidR="0031230E" w:rsidP="0031230E" w14:paraId="45CF65BF" w14:textId="77777777">
      <w:pPr>
        <w:ind w:firstLine="4320"/>
      </w:pPr>
    </w:p>
    <w:p w:rsidR="0031230E" w:rsidP="0031230E" w14:paraId="407F30D2" w14:textId="77777777">
      <w:pPr>
        <w:ind w:firstLine="4320"/>
      </w:pPr>
      <w:r>
        <w:t>FEDERAL COMMUNICATIONS COMMISSION</w:t>
      </w:r>
    </w:p>
    <w:p w:rsidR="0031230E" w:rsidP="0031230E" w14:paraId="6A80B95C" w14:textId="77777777"/>
    <w:p w:rsidR="0031230E" w:rsidP="0031230E" w14:paraId="6753ECCA" w14:textId="77777777"/>
    <w:p w:rsidR="0031230E" w:rsidP="0031230E" w14:paraId="19AFF094" w14:textId="77777777"/>
    <w:p w:rsidR="0031230E" w:rsidP="0031230E" w14:paraId="0DAD2686" w14:textId="77777777"/>
    <w:p w:rsidR="0031230E" w:rsidP="0031230E" w14:paraId="46ABA477" w14:textId="77777777">
      <w:r>
        <w:tab/>
      </w:r>
      <w:r>
        <w:tab/>
      </w:r>
      <w:r>
        <w:tab/>
      </w:r>
      <w:r>
        <w:tab/>
      </w:r>
      <w:r>
        <w:tab/>
      </w:r>
      <w:r>
        <w:tab/>
        <w:t>Rosemary C. Harold</w:t>
      </w:r>
    </w:p>
    <w:p w:rsidR="0031230E" w:rsidP="0031230E" w14:paraId="41D15581" w14:textId="77777777">
      <w:r>
        <w:tab/>
      </w:r>
      <w:r>
        <w:tab/>
      </w:r>
      <w:r>
        <w:tab/>
      </w:r>
      <w:r>
        <w:tab/>
      </w:r>
      <w:r>
        <w:tab/>
      </w:r>
      <w:r>
        <w:tab/>
        <w:t>Chief</w:t>
      </w:r>
    </w:p>
    <w:p w:rsidR="0031230E" w:rsidP="0031230E" w14:paraId="16C9FB66" w14:textId="09403D63">
      <w:r>
        <w:tab/>
      </w:r>
      <w:r>
        <w:tab/>
      </w:r>
      <w:r>
        <w:tab/>
      </w:r>
      <w:r>
        <w:tab/>
      </w:r>
      <w:r>
        <w:tab/>
      </w:r>
      <w:r>
        <w:tab/>
        <w:t>Enforcement Bureau</w:t>
      </w:r>
    </w:p>
    <w:p w:rsidR="002F761C" w:rsidP="0031230E" w14:paraId="007FB777" w14:textId="3EAE020F"/>
    <w:p w:rsidR="002F761C" w:rsidP="0031230E" w14:paraId="3491CB46" w14:textId="583008DB"/>
    <w:p w:rsidR="002F761C" w:rsidP="0031230E" w14:paraId="45D09DE3" w14:textId="6F45EF9E"/>
    <w:p w:rsidR="002F761C" w:rsidP="0031230E" w14:paraId="69067EA7" w14:textId="2397B309"/>
    <w:p w:rsidR="00240322" w:rsidP="0031230E" w14:paraId="063F762E" w14:textId="77777777">
      <w:pPr>
        <w:widowControl/>
      </w:pPr>
    </w:p>
    <w:p w:rsidR="002F761C" w:rsidP="0031230E" w14:paraId="5DBE411C" w14:textId="2924F1EE">
      <w:pPr>
        <w:widowControl/>
        <w:sectPr w:rsidSect="003A0085">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r>
        <w:tab/>
      </w:r>
      <w:r>
        <w:tab/>
      </w:r>
      <w:r>
        <w:tab/>
      </w:r>
      <w:r>
        <w:tab/>
      </w:r>
      <w:r>
        <w:tab/>
      </w:r>
      <w:r>
        <w:tab/>
        <w:t>Mark Stephens</w:t>
      </w:r>
      <w:r>
        <w:br/>
      </w:r>
      <w:r>
        <w:tab/>
      </w:r>
      <w:r>
        <w:tab/>
      </w:r>
      <w:r>
        <w:tab/>
      </w:r>
      <w:r>
        <w:tab/>
      </w:r>
      <w:r>
        <w:tab/>
      </w:r>
      <w:r>
        <w:tab/>
        <w:t>Managing Director</w:t>
      </w:r>
    </w:p>
    <w:p w:rsidR="0031230E" w:rsidRPr="005703DF" w:rsidP="0031230E" w14:paraId="66D4ACD5" w14:textId="77777777">
      <w:pPr>
        <w:spacing w:after="100"/>
        <w:jc w:val="center"/>
        <w:outlineLvl w:val="1"/>
        <w:rPr>
          <w:rFonts w:eastAsia="Calibri"/>
          <w:b/>
          <w:bCs/>
          <w:snapToGrid/>
          <w:kern w:val="0"/>
          <w:szCs w:val="22"/>
        </w:rPr>
      </w:pPr>
      <w:r w:rsidRPr="00C32A90">
        <w:rPr>
          <w:rFonts w:eastAsia="Calibri"/>
          <w:b/>
          <w:bCs/>
          <w:snapToGrid/>
          <w:kern w:val="0"/>
          <w:szCs w:val="22"/>
        </w:rPr>
        <w:t>APPENDIX</w:t>
      </w:r>
      <w:r>
        <w:rPr>
          <w:rFonts w:eastAsia="Calibri"/>
          <w:b/>
          <w:bCs/>
          <w:snapToGrid/>
          <w:kern w:val="0"/>
          <w:szCs w:val="22"/>
        </w:rPr>
        <w:t xml:space="preserve"> </w:t>
      </w:r>
    </w:p>
    <w:p w:rsidR="0031230E" w:rsidRPr="00DB21EB" w:rsidP="0031230E" w14:paraId="07F7432B" w14:textId="49FB9841">
      <w:pPr>
        <w:rPr>
          <w:bCs/>
        </w:rPr>
      </w:pPr>
      <w:r w:rsidRPr="00DB21EB">
        <w:rPr>
          <w:bCs/>
        </w:rPr>
        <w:t>For the reasons discussed in the preamble, the Federal Communications Commission amends</w:t>
      </w:r>
      <w:r w:rsidRPr="00080632" w:rsidR="00080632">
        <w:rPr>
          <w:bCs/>
        </w:rPr>
        <w:t xml:space="preserve"> 47 CFR part</w:t>
      </w:r>
      <w:r w:rsidR="008E45A3">
        <w:rPr>
          <w:bCs/>
        </w:rPr>
        <w:t> </w:t>
      </w:r>
      <w:r w:rsidR="00080632">
        <w:rPr>
          <w:bCs/>
        </w:rPr>
        <w:t>1</w:t>
      </w:r>
      <w:r w:rsidR="00381E4A">
        <w:rPr>
          <w:bCs/>
        </w:rPr>
        <w:t xml:space="preserve"> </w:t>
      </w:r>
      <w:r w:rsidRPr="00DB21EB">
        <w:rPr>
          <w:bCs/>
        </w:rPr>
        <w:t>as follows:</w:t>
      </w:r>
    </w:p>
    <w:p w:rsidR="0031230E" w:rsidRPr="00455A65" w:rsidP="0031230E" w14:paraId="33D88FA7" w14:textId="77777777">
      <w:pPr>
        <w:rPr>
          <w:b/>
        </w:rPr>
      </w:pPr>
    </w:p>
    <w:p w:rsidR="0031230E" w:rsidRPr="00455A65" w:rsidP="0031230E" w14:paraId="160BDB01" w14:textId="77777777">
      <w:pPr>
        <w:rPr>
          <w:b/>
        </w:rPr>
      </w:pPr>
      <w:r w:rsidRPr="00455A65">
        <w:rPr>
          <w:b/>
        </w:rPr>
        <w:t>PART 1---PRACTICE AND PROCEDURE</w:t>
      </w:r>
    </w:p>
    <w:p w:rsidR="0031230E" w:rsidRPr="00455A65" w:rsidP="0031230E" w14:paraId="5FDD66F7" w14:textId="77777777">
      <w:pPr>
        <w:rPr>
          <w:b/>
        </w:rPr>
      </w:pPr>
    </w:p>
    <w:p w:rsidR="0031230E" w:rsidRPr="00455A65" w:rsidP="0031230E" w14:paraId="4BC3F503" w14:textId="77777777">
      <w:pPr>
        <w:rPr>
          <w:b/>
        </w:rPr>
      </w:pPr>
      <w:r w:rsidRPr="00455A65">
        <w:rPr>
          <w:b/>
        </w:rPr>
        <w:t>Subpart A---General Rules of Practice and Procedure</w:t>
      </w:r>
    </w:p>
    <w:p w:rsidR="0031230E" w:rsidRPr="00455A65" w:rsidP="0031230E" w14:paraId="379B416B" w14:textId="77777777">
      <w:pPr>
        <w:rPr>
          <w:b/>
        </w:rPr>
      </w:pPr>
    </w:p>
    <w:p w:rsidR="0031230E" w:rsidRPr="00455A65" w:rsidP="0031230E" w14:paraId="5A296ABB" w14:textId="77777777">
      <w:pPr>
        <w:rPr>
          <w:b/>
        </w:rPr>
      </w:pPr>
      <w:r w:rsidRPr="00455A65">
        <w:rPr>
          <w:b/>
        </w:rPr>
        <w:t>Miscellaneous Proceedings</w:t>
      </w:r>
    </w:p>
    <w:p w:rsidR="0031230E" w:rsidRPr="00455A65" w:rsidP="0031230E" w14:paraId="01F05F01" w14:textId="77777777">
      <w:pPr>
        <w:rPr>
          <w:b/>
        </w:rPr>
      </w:pPr>
    </w:p>
    <w:p w:rsidR="0031230E" w:rsidRPr="00455A65" w:rsidP="00B02104" w14:paraId="7D795F62" w14:textId="1F02C124">
      <w:pPr>
        <w:pStyle w:val="ParaNum"/>
        <w:numPr>
          <w:ilvl w:val="0"/>
          <w:numId w:val="7"/>
        </w:numPr>
      </w:pPr>
      <w:r w:rsidRPr="00455A65">
        <w:t xml:space="preserve">The authority citation for part 1 </w:t>
      </w:r>
      <w:r>
        <w:t xml:space="preserve">continues </w:t>
      </w:r>
      <w:r w:rsidRPr="00455A65">
        <w:t>to read as follows:</w:t>
      </w:r>
    </w:p>
    <w:p w:rsidR="0031230E" w:rsidRPr="00455A65" w:rsidP="0031230E" w14:paraId="344D3162" w14:textId="77777777"/>
    <w:p w:rsidR="0031230E" w:rsidP="0031230E" w14:paraId="106C540C" w14:textId="6844103D">
      <w:r w:rsidRPr="00455A65">
        <w:t xml:space="preserve">Authority: 47 U.S.C. </w:t>
      </w:r>
      <w:r w:rsidRPr="00455A65">
        <w:t>chs</w:t>
      </w:r>
      <w:r w:rsidRPr="00455A65">
        <w:t xml:space="preserve">. 2, 5, 9, 13; 28 U.S.C. 2461 note, unless otherwise noted. </w:t>
      </w:r>
    </w:p>
    <w:p w:rsidR="00B02104" w:rsidP="0031230E" w14:paraId="162FE77A" w14:textId="77777777"/>
    <w:p w:rsidR="00CB5EB9" w:rsidRPr="00ED24C8" w:rsidP="00C235CD" w14:paraId="4378F3F9" w14:textId="6CA90B29">
      <w:pPr>
        <w:pStyle w:val="ParaNum"/>
        <w:numPr>
          <w:ilvl w:val="0"/>
          <w:numId w:val="7"/>
        </w:numPr>
        <w:rPr>
          <w:b/>
          <w:bCs/>
        </w:rPr>
      </w:pPr>
      <w:r>
        <w:t xml:space="preserve">Amend § 1.80 </w:t>
      </w:r>
      <w:r w:rsidR="004742DF">
        <w:t>as follows:</w:t>
      </w:r>
    </w:p>
    <w:p w:rsidR="00FC2411" w:rsidP="00ED24C8" w14:paraId="6BA792ED" w14:textId="7AED3774">
      <w:pPr>
        <w:spacing w:line="360" w:lineRule="auto"/>
        <w:ind w:left="720" w:firstLine="720"/>
      </w:pPr>
      <w:r>
        <w:t xml:space="preserve">a.  </w:t>
      </w:r>
      <w:r>
        <w:t>Revising paragraph (a)(4);</w:t>
      </w:r>
    </w:p>
    <w:p w:rsidR="005E0B4D" w:rsidP="00ED24C8" w14:paraId="084CC646" w14:textId="7975571F">
      <w:pPr>
        <w:spacing w:line="360" w:lineRule="auto"/>
        <w:ind w:left="720" w:firstLine="720"/>
      </w:pPr>
      <w:r>
        <w:t xml:space="preserve">b.  </w:t>
      </w:r>
      <w:r w:rsidRPr="005E0B4D" w:rsidR="004742DF">
        <w:t>Redesignating</w:t>
      </w:r>
      <w:r w:rsidR="001A4F80">
        <w:t xml:space="preserve"> paragraphs</w:t>
      </w:r>
      <w:r w:rsidRPr="005E0B4D" w:rsidR="004742DF">
        <w:t xml:space="preserve"> (a)(</w:t>
      </w:r>
      <w:r w:rsidR="001D4AF3">
        <w:t>5</w:t>
      </w:r>
      <w:r w:rsidRPr="005E0B4D" w:rsidR="004742DF">
        <w:t>)</w:t>
      </w:r>
      <w:r w:rsidR="001A4F80">
        <w:t xml:space="preserve"> and </w:t>
      </w:r>
      <w:r w:rsidRPr="005E0B4D" w:rsidR="004742DF">
        <w:t>(</w:t>
      </w:r>
      <w:r w:rsidR="001D4AF3">
        <w:t>6</w:t>
      </w:r>
      <w:r w:rsidRPr="005E0B4D" w:rsidR="004742DF">
        <w:t>) as paragraphs (a)(</w:t>
      </w:r>
      <w:r w:rsidR="001D4AF3">
        <w:t>6</w:t>
      </w:r>
      <w:r w:rsidRPr="005E0B4D" w:rsidR="004742DF">
        <w:t>)</w:t>
      </w:r>
      <w:r w:rsidR="001A4F80">
        <w:t xml:space="preserve"> and </w:t>
      </w:r>
      <w:r w:rsidRPr="005E0B4D" w:rsidR="004742DF">
        <w:t>(</w:t>
      </w:r>
      <w:r w:rsidR="001D4AF3">
        <w:t>7</w:t>
      </w:r>
      <w:r w:rsidRPr="005E0B4D" w:rsidR="004742DF">
        <w:t>)</w:t>
      </w:r>
      <w:r w:rsidR="00FB053C">
        <w:t xml:space="preserve"> and a</w:t>
      </w:r>
      <w:r w:rsidR="00803AC6">
        <w:t xml:space="preserve">dding </w:t>
      </w:r>
      <w:r w:rsidR="00A115CD">
        <w:t xml:space="preserve">a </w:t>
      </w:r>
      <w:r w:rsidR="00803AC6">
        <w:t>new</w:t>
      </w:r>
      <w:r>
        <w:t xml:space="preserve"> paragraph (a)(</w:t>
      </w:r>
      <w:r w:rsidR="001D4AF3">
        <w:t>5</w:t>
      </w:r>
      <w:r>
        <w:t>);</w:t>
      </w:r>
    </w:p>
    <w:p w:rsidR="00FC2411" w:rsidP="00ED24C8" w14:paraId="259C3560" w14:textId="256DA8A0">
      <w:pPr>
        <w:spacing w:line="360" w:lineRule="auto"/>
        <w:ind w:left="720" w:firstLine="720"/>
      </w:pPr>
      <w:r>
        <w:t xml:space="preserve">c.  Revising </w:t>
      </w:r>
      <w:r>
        <w:t>redesignated</w:t>
      </w:r>
      <w:r>
        <w:t xml:space="preserve"> paragraphs (a)(5) and (6);</w:t>
      </w:r>
    </w:p>
    <w:p w:rsidR="001B2D4A" w:rsidP="00FB053C" w14:paraId="02480565" w14:textId="4BBC0B76">
      <w:pPr>
        <w:spacing w:line="360" w:lineRule="auto"/>
        <w:ind w:left="720" w:firstLine="720"/>
      </w:pPr>
      <w:r>
        <w:t>d</w:t>
      </w:r>
      <w:r w:rsidR="00FB053C">
        <w:t>.</w:t>
      </w:r>
      <w:r w:rsidR="005E0B4D">
        <w:t xml:space="preserve">  </w:t>
      </w:r>
      <w:r w:rsidR="005E0B4D">
        <w:t>Redesignating</w:t>
      </w:r>
      <w:r w:rsidR="001A4F80">
        <w:t xml:space="preserve"> paragraphs</w:t>
      </w:r>
      <w:r w:rsidR="005E0B4D">
        <w:t xml:space="preserve"> (b)(</w:t>
      </w:r>
      <w:r w:rsidR="006113EB">
        <w:t>6</w:t>
      </w:r>
      <w:r w:rsidR="005E0B4D">
        <w:t>)</w:t>
      </w:r>
      <w:r w:rsidR="001A4F80">
        <w:t xml:space="preserve"> </w:t>
      </w:r>
      <w:r w:rsidR="00575518">
        <w:t>through</w:t>
      </w:r>
      <w:r w:rsidR="001A4F80">
        <w:t xml:space="preserve"> </w:t>
      </w:r>
      <w:r w:rsidR="005E0B4D">
        <w:t>(</w:t>
      </w:r>
      <w:r w:rsidR="00575518">
        <w:t>10</w:t>
      </w:r>
      <w:r w:rsidR="005E0B4D">
        <w:t>) as paragraphs (b)(</w:t>
      </w:r>
      <w:r w:rsidR="006113EB">
        <w:t>7</w:t>
      </w:r>
      <w:r w:rsidR="005E0B4D">
        <w:t>)</w:t>
      </w:r>
      <w:r w:rsidR="001A4F80">
        <w:t xml:space="preserve"> </w:t>
      </w:r>
      <w:r w:rsidR="00575518">
        <w:t>through</w:t>
      </w:r>
      <w:r w:rsidR="001A4F80">
        <w:t xml:space="preserve"> </w:t>
      </w:r>
      <w:r w:rsidR="005E0B4D">
        <w:t>(1</w:t>
      </w:r>
      <w:r w:rsidR="00575518">
        <w:t>1</w:t>
      </w:r>
      <w:r w:rsidR="005E0B4D">
        <w:t>)</w:t>
      </w:r>
      <w:r w:rsidR="00FB053C">
        <w:t xml:space="preserve"> and adding </w:t>
      </w:r>
      <w:r w:rsidR="00827D63">
        <w:t xml:space="preserve">a </w:t>
      </w:r>
      <w:r w:rsidR="00FB053C">
        <w:t>new</w:t>
      </w:r>
      <w:r w:rsidR="005E0B4D">
        <w:t xml:space="preserve"> paragraph (b)(</w:t>
      </w:r>
      <w:r w:rsidR="005F7B42">
        <w:t>6</w:t>
      </w:r>
      <w:r w:rsidR="005E0B4D">
        <w:t>)</w:t>
      </w:r>
      <w:r w:rsidR="00027390">
        <w:t>;</w:t>
      </w:r>
    </w:p>
    <w:p w:rsidR="00027390" w:rsidP="00ED24C8" w14:paraId="5FCD9B4A" w14:textId="08109C64">
      <w:pPr>
        <w:pStyle w:val="ParaNum"/>
        <w:numPr>
          <w:ilvl w:val="0"/>
          <w:numId w:val="0"/>
        </w:numPr>
        <w:spacing w:line="360" w:lineRule="auto"/>
        <w:ind w:left="720" w:firstLine="720"/>
      </w:pPr>
      <w:r>
        <w:t>e</w:t>
      </w:r>
      <w:r>
        <w:t xml:space="preserve">.  Revising </w:t>
      </w:r>
      <w:r w:rsidR="00FB053C">
        <w:t>redesignated</w:t>
      </w:r>
      <w:r w:rsidR="00FB053C">
        <w:t xml:space="preserve"> </w:t>
      </w:r>
      <w:r>
        <w:t>paragraph (b)(</w:t>
      </w:r>
      <w:r w:rsidR="005F7B42">
        <w:t>9</w:t>
      </w:r>
      <w:r>
        <w:t>);</w:t>
      </w:r>
    </w:p>
    <w:p w:rsidR="00027390" w:rsidP="00ED24C8" w14:paraId="3EECB439" w14:textId="004C58BC">
      <w:pPr>
        <w:pStyle w:val="ParaNum"/>
        <w:numPr>
          <w:ilvl w:val="0"/>
          <w:numId w:val="0"/>
        </w:numPr>
        <w:spacing w:line="360" w:lineRule="auto"/>
        <w:ind w:left="720" w:firstLine="720"/>
      </w:pPr>
      <w:r>
        <w:t>f</w:t>
      </w:r>
      <w:r>
        <w:t xml:space="preserve">.  Revising </w:t>
      </w:r>
      <w:r w:rsidR="00536CFA">
        <w:t xml:space="preserve">the Note to </w:t>
      </w:r>
      <w:r w:rsidR="00FB053C">
        <w:t>redesignated</w:t>
      </w:r>
      <w:r w:rsidR="00FB053C">
        <w:t xml:space="preserve"> </w:t>
      </w:r>
      <w:r>
        <w:t>paragraph (b)(</w:t>
      </w:r>
      <w:r w:rsidR="0089039F">
        <w:t>10</w:t>
      </w:r>
      <w:r>
        <w:t>);</w:t>
      </w:r>
    </w:p>
    <w:p w:rsidR="00027390" w:rsidP="00ED24C8" w14:paraId="6D71F6BD" w14:textId="026C982F">
      <w:pPr>
        <w:pStyle w:val="ParaNum"/>
        <w:numPr>
          <w:ilvl w:val="0"/>
          <w:numId w:val="0"/>
        </w:numPr>
        <w:spacing w:line="360" w:lineRule="auto"/>
        <w:ind w:left="720" w:firstLine="720"/>
      </w:pPr>
      <w:r>
        <w:t>g</w:t>
      </w:r>
      <w:r w:rsidR="00EC0122">
        <w:t xml:space="preserve">. </w:t>
      </w:r>
      <w:r w:rsidR="00535CDB">
        <w:t xml:space="preserve"> </w:t>
      </w:r>
      <w:r>
        <w:t xml:space="preserve">Revising </w:t>
      </w:r>
      <w:r w:rsidR="00537321">
        <w:t xml:space="preserve">the </w:t>
      </w:r>
      <w:r w:rsidR="00F46D7B">
        <w:t xml:space="preserve">title of </w:t>
      </w:r>
      <w:r w:rsidR="001E22FB">
        <w:t xml:space="preserve">Table 1 and the </w:t>
      </w:r>
      <w:r w:rsidR="00537321">
        <w:t xml:space="preserve">Note to </w:t>
      </w:r>
      <w:r w:rsidR="00FB053C">
        <w:t>redesignated</w:t>
      </w:r>
      <w:r w:rsidR="00FB053C">
        <w:t xml:space="preserve"> </w:t>
      </w:r>
      <w:r>
        <w:t>paragraph (b)(1</w:t>
      </w:r>
      <w:r w:rsidR="004E75F1">
        <w:t>1</w:t>
      </w:r>
      <w:r>
        <w:t>)</w:t>
      </w:r>
      <w:r w:rsidR="001B2D4A">
        <w:t>;</w:t>
      </w:r>
    </w:p>
    <w:p w:rsidR="001B2D4A" w:rsidP="00ED24C8" w14:paraId="706E2031" w14:textId="1B16E578">
      <w:pPr>
        <w:pStyle w:val="ParaNum"/>
        <w:numPr>
          <w:ilvl w:val="0"/>
          <w:numId w:val="0"/>
        </w:numPr>
        <w:spacing w:line="360" w:lineRule="auto"/>
      </w:pPr>
      <w:r>
        <w:t xml:space="preserve">         </w:t>
      </w:r>
      <w:r>
        <w:tab/>
      </w:r>
      <w:r w:rsidR="008B76BB">
        <w:tab/>
      </w:r>
      <w:r w:rsidR="008F2411">
        <w:t>h</w:t>
      </w:r>
      <w:r>
        <w:t xml:space="preserve">. </w:t>
      </w:r>
      <w:r w:rsidR="00535CDB">
        <w:t xml:space="preserve"> </w:t>
      </w:r>
      <w:r>
        <w:t>R</w:t>
      </w:r>
      <w:r w:rsidRPr="001D365E">
        <w:t>evising paragraph (</w:t>
      </w:r>
      <w:r>
        <w:t>d</w:t>
      </w:r>
      <w:r w:rsidRPr="001D365E">
        <w:t>)</w:t>
      </w:r>
      <w:r>
        <w:t>;</w:t>
      </w:r>
    </w:p>
    <w:p w:rsidR="001B2D4A" w:rsidP="00F440C6" w14:paraId="6DC835EF" w14:textId="586DEE62">
      <w:pPr>
        <w:spacing w:line="360" w:lineRule="auto"/>
        <w:ind w:left="720" w:firstLine="720"/>
      </w:pPr>
      <w:r>
        <w:t>i</w:t>
      </w:r>
      <w:r>
        <w:t xml:space="preserve">.  </w:t>
      </w:r>
      <w:r>
        <w:t>Redesignating</w:t>
      </w:r>
      <w:r>
        <w:t xml:space="preserve"> paragraphs (e), (f), (g), (h), (</w:t>
      </w:r>
      <w:r>
        <w:t>i</w:t>
      </w:r>
      <w:r>
        <w:t>),</w:t>
      </w:r>
      <w:r w:rsidR="005F7B42">
        <w:t xml:space="preserve"> and</w:t>
      </w:r>
      <w:r>
        <w:t xml:space="preserve"> (j) as paragraphs (f), (g), (h), (</w:t>
      </w:r>
      <w:r>
        <w:t>i</w:t>
      </w:r>
      <w:r>
        <w:t>), (j), and</w:t>
      </w:r>
      <w:r w:rsidR="008B76BB">
        <w:t xml:space="preserve"> </w:t>
      </w:r>
      <w:r>
        <w:t>(k) and</w:t>
      </w:r>
      <w:r w:rsidR="005F7B42">
        <w:t xml:space="preserve"> adding </w:t>
      </w:r>
      <w:r w:rsidR="00537321">
        <w:t xml:space="preserve">a </w:t>
      </w:r>
      <w:r w:rsidR="005F7B42">
        <w:t>new paragraph (e).</w:t>
      </w:r>
      <w:r w:rsidR="00EC0122">
        <w:br/>
      </w:r>
    </w:p>
    <w:p w:rsidR="005E0B4D" w:rsidP="00ED24C8" w14:paraId="31C536A8" w14:textId="5C91C183">
      <w:pPr>
        <w:pStyle w:val="ParaNum"/>
        <w:numPr>
          <w:ilvl w:val="0"/>
          <w:numId w:val="0"/>
        </w:numPr>
        <w:ind w:firstLine="720"/>
      </w:pPr>
      <w:r w:rsidRPr="00ED24C8">
        <w:t>The revisions and additions read as follows:</w:t>
      </w:r>
    </w:p>
    <w:p w:rsidR="001B2D4A" w:rsidRPr="005E0B4D" w:rsidP="00ED24C8" w14:paraId="5EB9A77D" w14:textId="77777777">
      <w:pPr>
        <w:pStyle w:val="ParaNum"/>
        <w:numPr>
          <w:ilvl w:val="0"/>
          <w:numId w:val="0"/>
        </w:numPr>
      </w:pPr>
    </w:p>
    <w:p w:rsidR="00CB5EB9" w:rsidRPr="00CB5EB9" w:rsidP="00CB5EB9" w14:paraId="49D413A4" w14:textId="130E0CAF">
      <w:pPr>
        <w:rPr>
          <w:b/>
          <w:bCs/>
        </w:rPr>
      </w:pPr>
      <w:r w:rsidRPr="00C235CD">
        <w:rPr>
          <w:b/>
          <w:bCs/>
          <w:u w:val="single"/>
        </w:rPr>
        <w:t xml:space="preserve">§ </w:t>
      </w:r>
      <w:r w:rsidRPr="00C235CD">
        <w:rPr>
          <w:b/>
          <w:bCs/>
          <w:u w:val="single"/>
        </w:rPr>
        <w:t>1.80  Forfeiture</w:t>
      </w:r>
      <w:r w:rsidRPr="00C235CD">
        <w:rPr>
          <w:b/>
          <w:bCs/>
          <w:u w:val="single"/>
        </w:rPr>
        <w:t xml:space="preserve"> proceedings</w:t>
      </w:r>
      <w:r w:rsidRPr="00C235CD">
        <w:rPr>
          <w:b/>
          <w:bCs/>
        </w:rPr>
        <w:t>.</w:t>
      </w:r>
      <w:r>
        <w:rPr>
          <w:b/>
          <w:bCs/>
        </w:rPr>
        <w:br/>
      </w:r>
    </w:p>
    <w:p w:rsidR="00CB5EB9" w:rsidP="00ED24C8" w14:paraId="183044B6" w14:textId="687A9E4D">
      <w:pPr>
        <w:pStyle w:val="ParaNum"/>
        <w:numPr>
          <w:ilvl w:val="0"/>
          <w:numId w:val="0"/>
        </w:numPr>
      </w:pPr>
      <w:r>
        <w:t>(a) * * *</w:t>
      </w:r>
    </w:p>
    <w:p w:rsidR="00194360" w:rsidP="00CB5EB9" w14:paraId="4BDC7679" w14:textId="282E91C0">
      <w:r>
        <w:t xml:space="preserve">(4) </w:t>
      </w:r>
      <w:r w:rsidRPr="00194360">
        <w:t xml:space="preserve">Violated any provision of sections 227(b) or (e) of the Communications Act or of the rules issued by the Commission under sections 227(b) or (e) of that Act; </w:t>
      </w:r>
    </w:p>
    <w:p w:rsidR="00194360" w:rsidP="00CB5EB9" w14:paraId="1D9A2FF8" w14:textId="77777777"/>
    <w:p w:rsidR="00CB5EB9" w:rsidP="00CB5EB9" w14:paraId="37D7003F" w14:textId="0C5F0284">
      <w:r>
        <w:t>(</w:t>
      </w:r>
      <w:r w:rsidR="001D4AF3">
        <w:t>5</w:t>
      </w:r>
      <w:r>
        <w:t>)</w:t>
      </w:r>
      <w:r w:rsidR="001C69DA">
        <w:t xml:space="preserve"> Violated any provision of section 511(a) or (b) of the Communications Act or of the rules issued by the Commission under section 511(a) or (b) of that Act</w:t>
      </w:r>
      <w:r w:rsidR="00194360">
        <w:t>;</w:t>
      </w:r>
    </w:p>
    <w:p w:rsidR="00194360" w:rsidP="00CB5EB9" w14:paraId="617B0098" w14:textId="46D2A840"/>
    <w:p w:rsidR="00194360" w:rsidP="00CB5EB9" w14:paraId="1A8D81B5" w14:textId="707C3931">
      <w:r>
        <w:t xml:space="preserve">(6) </w:t>
      </w:r>
      <w:r w:rsidRPr="00194360">
        <w:t>Violated any provision of section 1304, 1343, or 1464 of Title 18, United States Code</w:t>
      </w:r>
      <w:r>
        <w:t>; or</w:t>
      </w:r>
    </w:p>
    <w:p w:rsidR="005E0B4D" w:rsidP="00CB5EB9" w14:paraId="476510CC" w14:textId="0B4236C8"/>
    <w:p w:rsidR="005E0B4D" w:rsidRPr="007C6C58" w:rsidP="00ED24C8" w14:paraId="536A7B36" w14:textId="77777777">
      <w:pPr>
        <w:spacing w:after="160" w:line="256" w:lineRule="auto"/>
        <w:rPr>
          <w:rFonts w:eastAsia="Calibri"/>
          <w:szCs w:val="22"/>
        </w:rPr>
      </w:pPr>
      <w:r w:rsidRPr="007C6C58">
        <w:rPr>
          <w:rFonts w:eastAsia="Calibri"/>
          <w:szCs w:val="22"/>
        </w:rPr>
        <w:t>* * * * *</w:t>
      </w:r>
    </w:p>
    <w:p w:rsidR="00C235CD" w:rsidP="00B02104" w14:paraId="55C3A509" w14:textId="77777777">
      <w:bookmarkStart w:id="11" w:name="_Hlk51861307"/>
      <w:r>
        <w:t>(b)</w:t>
      </w:r>
      <w:r>
        <w:t xml:space="preserve"> * * *</w:t>
      </w:r>
    </w:p>
    <w:p w:rsidR="00EA5230" w:rsidP="00B02104" w14:paraId="6DE70630" w14:textId="7D1423C7">
      <w:r>
        <w:t>(</w:t>
      </w:r>
      <w:r w:rsidR="0089039F">
        <w:t>6</w:t>
      </w:r>
      <w:r>
        <w:t>)</w:t>
      </w:r>
      <w:r>
        <w:t>(</w:t>
      </w:r>
      <w:r>
        <w:t>i</w:t>
      </w:r>
      <w:r>
        <w:t>) Any person who willfully and knowingly does or causes or suffers to be done any pirate radio broadcasting shall be subject to a fine of not more than $2,000,000</w:t>
      </w:r>
      <w:r w:rsidR="001D365E">
        <w:t xml:space="preserve">; and </w:t>
      </w:r>
      <w:r>
        <w:t xml:space="preserve">(ii) </w:t>
      </w:r>
      <w:r>
        <w:t xml:space="preserve">Any person who willfully and knowingly </w:t>
      </w:r>
      <w:r>
        <w:t xml:space="preserve">violates the Act or any rule, </w:t>
      </w:r>
      <w:r w:rsidRPr="00EA5230">
        <w:t>regulation, restriction, or condition made or imposed by the Commission under authority of th</w:t>
      </w:r>
      <w:r>
        <w:t xml:space="preserve">e </w:t>
      </w:r>
      <w:r w:rsidRPr="00EA5230">
        <w:t xml:space="preserve">Act, or any rule, regulation, restriction, or condition made or imposed by any international radio or wire communications treaty or convention, or regulations annexed thereto, to which the United States is party, relating to pirate radio broadcasting shall, in addition to any other penalties provided by law, be subject to a fine of not more than $100,000 for each day during which such offense occurs, in accordance with the limit described in </w:t>
      </w:r>
      <w:r w:rsidR="00417CD9">
        <w:t xml:space="preserve">this </w:t>
      </w:r>
      <w:r>
        <w:t>section.</w:t>
      </w:r>
    </w:p>
    <w:p w:rsidR="00632864" w:rsidP="00B02104" w14:paraId="299A1A66" w14:textId="17055509"/>
    <w:p w:rsidR="00632864" w:rsidP="00B15718" w14:paraId="429BF889" w14:textId="07DF71C8">
      <w:r w:rsidRPr="00515A5B">
        <w:t>* * * * *</w:t>
      </w:r>
    </w:p>
    <w:bookmarkEnd w:id="11"/>
    <w:p w:rsidR="00B02104" w:rsidP="00B02104" w14:paraId="07FD7757" w14:textId="0973CE4A"/>
    <w:p w:rsidR="00C235CD" w:rsidP="00ED24C8" w14:paraId="7A364139" w14:textId="57C4747A">
      <w:pPr>
        <w:pStyle w:val="ParaNum"/>
        <w:numPr>
          <w:ilvl w:val="0"/>
          <w:numId w:val="0"/>
        </w:numPr>
      </w:pPr>
      <w:r>
        <w:t>(</w:t>
      </w:r>
      <w:r w:rsidR="0089039F">
        <w:t>9</w:t>
      </w:r>
      <w:r>
        <w:t>) In any case not covered in paragraphs (b)(1) through (b)(</w:t>
      </w:r>
      <w:r w:rsidR="0089039F">
        <w:t>8</w:t>
      </w:r>
      <w:r>
        <w:t>) of this section, the amount of any forfeiture penalty determined under this section shall not exceed $16,000 for each violation or each day of a continuing violation, except that the amount assessed for any continuing violation shall not exceed a total of $122,500 for any single act or failure to act described in paragraph (a) of this section.</w:t>
      </w:r>
    </w:p>
    <w:p w:rsidR="008A1F0C" w:rsidP="008A1F0C" w14:paraId="4C146F8C" w14:textId="7C94D17A">
      <w:r>
        <w:br/>
      </w:r>
      <w:r w:rsidR="00632864">
        <w:t xml:space="preserve"> </w:t>
      </w:r>
      <w:r>
        <w:t>(</w:t>
      </w:r>
      <w:r w:rsidR="0089039F">
        <w:t>10</w:t>
      </w:r>
      <w:r>
        <w:t xml:space="preserve">) </w:t>
      </w:r>
      <w:r w:rsidR="00FF56BF">
        <w:t>* * *</w:t>
      </w:r>
    </w:p>
    <w:p w:rsidR="008A1F0C" w:rsidP="008A1F0C" w14:paraId="470832A3" w14:textId="77777777"/>
    <w:p w:rsidR="008A1F0C" w:rsidP="00FF56BF" w14:paraId="3A2A46E8" w14:textId="61AB0497">
      <w:pPr>
        <w:ind w:firstLine="720"/>
      </w:pPr>
      <w:r>
        <w:t>NOTE TO PARAGRAPH</w:t>
      </w:r>
      <w:r>
        <w:t xml:space="preserve"> (b)(</w:t>
      </w:r>
      <w:r w:rsidR="0089039F">
        <w:t>10</w:t>
      </w:r>
      <w:r>
        <w:t xml:space="preserve">): </w:t>
      </w:r>
      <w:r w:rsidRPr="00FF56BF">
        <w:rPr>
          <w:i/>
          <w:iCs/>
        </w:rPr>
        <w:t>Guidelines for Assessing Forfeitures</w:t>
      </w:r>
      <w:r>
        <w:t xml:space="preserve">. The Commission and its staff may use these guidelines </w:t>
      </w:r>
      <w:r>
        <w:t>in particular cases</w:t>
      </w:r>
      <w:r>
        <w:t>. The Commission and its staff retain the discretion to issue a higher or lower forfeiture than provided in the guidelines, to issue no forfeiture at all, or to apply alternative or additional sanctions as permitted by the statute. The forfeiture ceilings per violation or per day for a continuing violation stated in section 503 of the Communications Act and the Commission's rules are described in §</w:t>
      </w:r>
      <w:r w:rsidR="003D4A6D">
        <w:t xml:space="preserve"> </w:t>
      </w:r>
      <w:r>
        <w:t>1.80(b)(</w:t>
      </w:r>
      <w:r>
        <w:t>1</w:t>
      </w:r>
      <w:r w:rsidR="0089039F">
        <w:t>1</w:t>
      </w:r>
      <w:r>
        <w:t>). These statutory maxima became effective September 13, 2013. Forfeitures issued under other sections of the Act are dealt with separately in section III of this note.</w:t>
      </w:r>
    </w:p>
    <w:p w:rsidR="00FF56BF" w:rsidP="008A1F0C" w14:paraId="79C46A92" w14:textId="74D6EE69">
      <w:pPr>
        <w:pStyle w:val="ParaNum"/>
        <w:numPr>
          <w:ilvl w:val="0"/>
          <w:numId w:val="0"/>
        </w:numPr>
      </w:pPr>
    </w:p>
    <w:p w:rsidR="001B535F" w:rsidP="001B535F" w14:paraId="12A5A772" w14:textId="77777777">
      <w:r w:rsidRPr="00515A5B">
        <w:t>* * * * *</w:t>
      </w:r>
    </w:p>
    <w:p w:rsidR="001B535F" w:rsidP="00E57390" w14:paraId="1F940E8E" w14:textId="77777777"/>
    <w:p w:rsidR="00E57390" w:rsidP="00E57390" w14:paraId="413627BC" w14:textId="4806F876">
      <w:r>
        <w:t>(b)</w:t>
      </w:r>
      <w:r>
        <w:t>(1</w:t>
      </w:r>
      <w:r w:rsidR="004E75F1">
        <w:t>1</w:t>
      </w:r>
      <w:r>
        <w:t>) (</w:t>
      </w:r>
      <w:r>
        <w:t>i</w:t>
      </w:r>
      <w:r>
        <w:t>) * * *</w:t>
      </w:r>
    </w:p>
    <w:p w:rsidR="00E57390" w:rsidP="00E57390" w14:paraId="4BE854BA" w14:textId="38119437">
      <w:r>
        <w:t>(ii) * * *</w:t>
      </w:r>
    </w:p>
    <w:p w:rsidR="0066542D" w:rsidP="0066542D" w14:paraId="455EF8B2" w14:textId="01B26480">
      <w:r>
        <w:t>TABLE</w:t>
      </w:r>
      <w:r w:rsidRPr="00FF56BF">
        <w:t xml:space="preserve"> 1 to P</w:t>
      </w:r>
      <w:r>
        <w:t>ARAGRAPH</w:t>
      </w:r>
      <w:r w:rsidRPr="00FF56BF">
        <w:t xml:space="preserve"> (b)(</w:t>
      </w:r>
      <w:r>
        <w:t>11)</w:t>
      </w:r>
      <w:r w:rsidRPr="00FF56BF">
        <w:t>(ii)</w:t>
      </w:r>
    </w:p>
    <w:p w:rsidR="0066542D" w:rsidP="00E57390" w14:paraId="72446837" w14:textId="33C63C6C"/>
    <w:p w:rsidR="0066542D" w:rsidP="00E57390" w14:paraId="5708BE5F" w14:textId="075B0339">
      <w:r w:rsidRPr="00515A5B">
        <w:t>* * * * *</w:t>
      </w:r>
    </w:p>
    <w:p w:rsidR="0066542D" w:rsidP="00E57390" w14:paraId="5C4AFC0C" w14:textId="77777777"/>
    <w:p w:rsidR="00E57390" w:rsidRPr="008A1F0C" w:rsidP="00E57390" w14:paraId="6E0BC85A" w14:textId="4846B999">
      <w:r w:rsidRPr="00E57390">
        <w:t>NOTE TO PARAGRAPH (b)(</w:t>
      </w:r>
      <w:r>
        <w:t>1</w:t>
      </w:r>
      <w:r w:rsidR="004E75F1">
        <w:t>1</w:t>
      </w:r>
      <w:r w:rsidRPr="00E57390">
        <w:t>): Pursuant to Public Law 104-134, the first inflation adjustment cannot exceed 10 percent of the statutory maximum amount.</w:t>
      </w:r>
    </w:p>
    <w:p w:rsidR="00E57390" w:rsidP="00E57390" w14:paraId="6B05B68B" w14:textId="77509A3C">
      <w:pPr>
        <w:pStyle w:val="ParaNum"/>
        <w:numPr>
          <w:ilvl w:val="0"/>
          <w:numId w:val="0"/>
        </w:numPr>
      </w:pPr>
      <w:r>
        <w:br/>
      </w:r>
      <w:r w:rsidRPr="00515A5B" w:rsidR="00C0082D">
        <w:t>* * * * *</w:t>
      </w:r>
    </w:p>
    <w:p w:rsidR="00515A5B" w:rsidP="001B535F" w14:paraId="58B2B341" w14:textId="14F13D9F">
      <w:r w:rsidRPr="00515A5B">
        <w:t xml:space="preserve">(d) </w:t>
      </w:r>
      <w:r w:rsidRPr="00515A5B">
        <w:rPr>
          <w:i/>
          <w:iCs/>
        </w:rPr>
        <w:t>Preliminary procedure in some cases; citations</w:t>
      </w:r>
      <w:r w:rsidRPr="00515A5B">
        <w:t xml:space="preserve">. </w:t>
      </w:r>
      <w:r>
        <w:t xml:space="preserve"> </w:t>
      </w:r>
      <w:r w:rsidRPr="00515A5B">
        <w:t>Except for a forfeiture imposed under sections 227(b)</w:t>
      </w:r>
      <w:r>
        <w:t xml:space="preserve">, </w:t>
      </w:r>
      <w:r w:rsidRPr="00515A5B">
        <w:t>227(e)(5)</w:t>
      </w:r>
      <w:r>
        <w:t>,</w:t>
      </w:r>
      <w:r w:rsidRPr="00515A5B">
        <w:t xml:space="preserve"> </w:t>
      </w:r>
      <w:r>
        <w:t xml:space="preserve">511(a), and </w:t>
      </w:r>
      <w:r w:rsidR="001B535F">
        <w:t xml:space="preserve">511(b) </w:t>
      </w:r>
      <w:r w:rsidRPr="00515A5B">
        <w:t xml:space="preserve">of the Act, no forfeiture penalty shall be imposed upon any person under this section of the Act if such person does not hold a license, permit, certificate, or other authorization issued by the Commission, and if such person is not an applicant for a license, permit, certificate, or other authorization issued by the Commission, unless, prior to the issuance of the appropriate notice, such person: </w:t>
      </w:r>
      <w:r w:rsidR="001B535F">
        <w:br/>
      </w:r>
      <w:r w:rsidR="001B535F">
        <w:br/>
      </w:r>
      <w:r w:rsidRPr="00515A5B">
        <w:t>* * * * *</w:t>
      </w:r>
    </w:p>
    <w:p w:rsidR="0031230E" w:rsidRPr="00455A65" w:rsidP="0031230E" w14:paraId="5EC32435" w14:textId="77777777">
      <w:bookmarkStart w:id="12" w:name="_Hlk42266000"/>
    </w:p>
    <w:p w:rsidR="0031230E" w:rsidRPr="00964BF3" w:rsidP="0031230E" w14:paraId="5F151029" w14:textId="52415CE5">
      <w:pPr>
        <w:widowControl/>
        <w:spacing w:after="160" w:line="256" w:lineRule="auto"/>
        <w:rPr>
          <w:rFonts w:eastAsia="Calibri"/>
          <w:snapToGrid/>
          <w:kern w:val="0"/>
          <w:szCs w:val="22"/>
        </w:rPr>
      </w:pPr>
      <w:r w:rsidRPr="00964BF3">
        <w:rPr>
          <w:rFonts w:eastAsia="Calibri"/>
          <w:snapToGrid/>
          <w:kern w:val="0"/>
          <w:szCs w:val="22"/>
        </w:rPr>
        <w:t>(</w:t>
      </w:r>
      <w:r w:rsidR="002973BE">
        <w:rPr>
          <w:rFonts w:eastAsia="Calibri"/>
          <w:snapToGrid/>
          <w:kern w:val="0"/>
          <w:szCs w:val="22"/>
        </w:rPr>
        <w:t>e</w:t>
      </w:r>
      <w:r w:rsidRPr="00964BF3">
        <w:rPr>
          <w:rFonts w:eastAsia="Calibri"/>
          <w:snapToGrid/>
          <w:kern w:val="0"/>
          <w:szCs w:val="22"/>
        </w:rPr>
        <w:t xml:space="preserve">) </w:t>
      </w:r>
      <w:bookmarkEnd w:id="12"/>
      <w:r w:rsidR="002973BE">
        <w:rPr>
          <w:rFonts w:eastAsia="Calibri"/>
          <w:i/>
          <w:iCs/>
          <w:snapToGrid/>
          <w:kern w:val="0"/>
          <w:szCs w:val="22"/>
        </w:rPr>
        <w:t xml:space="preserve">Preliminary Procedure in PIRATE Act cases.  </w:t>
      </w:r>
      <w:r w:rsidRPr="002973BE" w:rsidR="002973BE">
        <w:rPr>
          <w:rFonts w:eastAsia="Calibri"/>
          <w:snapToGrid/>
          <w:kern w:val="0"/>
          <w:szCs w:val="22"/>
        </w:rPr>
        <w:t xml:space="preserve">Absent good cause, in any case alleging a violation of subsection (a) or (b) of </w:t>
      </w:r>
      <w:r w:rsidR="002973BE">
        <w:rPr>
          <w:rFonts w:eastAsia="Calibri"/>
          <w:snapToGrid/>
          <w:kern w:val="0"/>
          <w:szCs w:val="22"/>
        </w:rPr>
        <w:t xml:space="preserve">section 511 </w:t>
      </w:r>
      <w:r w:rsidRPr="002C3064" w:rsidR="002973BE">
        <w:rPr>
          <w:rFonts w:eastAsia="Calibri"/>
          <w:snapToGrid/>
          <w:kern w:val="0"/>
          <w:szCs w:val="22"/>
        </w:rPr>
        <w:t>of the Act</w:t>
      </w:r>
      <w:r w:rsidR="008E45A3">
        <w:rPr>
          <w:rFonts w:eastAsia="Calibri"/>
          <w:snapToGrid/>
          <w:kern w:val="0"/>
          <w:szCs w:val="22"/>
        </w:rPr>
        <w:t xml:space="preserve">, </w:t>
      </w:r>
      <w:r w:rsidRPr="002973BE" w:rsidR="002973BE">
        <w:rPr>
          <w:rFonts w:eastAsia="Calibri"/>
          <w:snapToGrid/>
          <w:kern w:val="0"/>
          <w:szCs w:val="22"/>
        </w:rPr>
        <w:t xml:space="preserve">the Commission shall proceed directly to issue a notice of apparent liability </w:t>
      </w:r>
      <w:r w:rsidR="008E45A3">
        <w:rPr>
          <w:rFonts w:eastAsia="Calibri"/>
          <w:snapToGrid/>
          <w:kern w:val="0"/>
          <w:szCs w:val="22"/>
        </w:rPr>
        <w:t xml:space="preserve">for forfeiture </w:t>
      </w:r>
      <w:r w:rsidRPr="002973BE" w:rsidR="002973BE">
        <w:rPr>
          <w:rFonts w:eastAsia="Calibri"/>
          <w:snapToGrid/>
          <w:kern w:val="0"/>
          <w:szCs w:val="22"/>
        </w:rPr>
        <w:t>without first issuing a notice of unlicensed operation</w:t>
      </w:r>
      <w:r w:rsidR="002973BE">
        <w:rPr>
          <w:rFonts w:eastAsia="Calibri"/>
          <w:snapToGrid/>
          <w:kern w:val="0"/>
          <w:szCs w:val="22"/>
        </w:rPr>
        <w:t>.</w:t>
      </w:r>
      <w:r>
        <w:rPr>
          <w:rFonts w:eastAsia="Calibri"/>
          <w:snapToGrid/>
          <w:kern w:val="0"/>
          <w:szCs w:val="22"/>
        </w:rPr>
        <w:t xml:space="preserve"> </w:t>
      </w:r>
    </w:p>
    <w:p w:rsidR="0031230E" w:rsidP="0031230E" w14:paraId="4619EA02" w14:textId="77777777">
      <w:pPr>
        <w:widowControl/>
        <w:spacing w:after="160" w:line="256" w:lineRule="auto"/>
        <w:rPr>
          <w:rFonts w:eastAsia="Calibri"/>
          <w:snapToGrid/>
          <w:kern w:val="0"/>
          <w:szCs w:val="22"/>
        </w:rPr>
      </w:pPr>
      <w:r w:rsidRPr="00964BF3">
        <w:rPr>
          <w:rFonts w:eastAsia="Calibri"/>
          <w:snapToGrid/>
          <w:kern w:val="0"/>
          <w:szCs w:val="22"/>
        </w:rPr>
        <w:t>* * * * *</w:t>
      </w:r>
    </w:p>
    <w:sectPr w:rsidSect="00E8664C">
      <w:footerReference w:type="first" r:id="rId12"/>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rsidP="0055614C" w14:paraId="21084B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5036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D7308" w14:paraId="7A84CC77" w14:textId="77777777">
    <w:pPr>
      <w:pStyle w:val="Footer"/>
      <w:jc w:val="center"/>
    </w:pPr>
    <w:r>
      <w:fldChar w:fldCharType="begin"/>
    </w:r>
    <w:r>
      <w:instrText xml:space="preserve"> PAGE   \* MERGEFORMAT </w:instrText>
    </w:r>
    <w:r>
      <w:fldChar w:fldCharType="separate"/>
    </w:r>
    <w:r w:rsidR="00533165">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C3CEE" w14:paraId="5E3CE425"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A44651" w14:paraId="3A1DEE5F"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0521D1" w14:paraId="1A54E8C7" w14:textId="77777777">
      <w:r>
        <w:separator/>
      </w:r>
    </w:p>
  </w:footnote>
  <w:footnote w:type="continuationSeparator" w:id="1">
    <w:p w:rsidR="000521D1" w:rsidP="00C721AC" w14:paraId="3D191291" w14:textId="77777777">
      <w:pPr>
        <w:spacing w:before="120"/>
        <w:rPr>
          <w:sz w:val="20"/>
        </w:rPr>
      </w:pPr>
      <w:r>
        <w:rPr>
          <w:sz w:val="20"/>
        </w:rPr>
        <w:t xml:space="preserve">(Continued from previous page)  </w:t>
      </w:r>
      <w:r>
        <w:rPr>
          <w:sz w:val="20"/>
        </w:rPr>
        <w:separator/>
      </w:r>
    </w:p>
  </w:footnote>
  <w:footnote w:type="continuationNotice" w:id="2">
    <w:p w:rsidR="000521D1" w:rsidP="00C721AC" w14:paraId="012E84CD" w14:textId="77777777">
      <w:pPr>
        <w:jc w:val="right"/>
        <w:rPr>
          <w:sz w:val="20"/>
        </w:rPr>
      </w:pPr>
      <w:r>
        <w:rPr>
          <w:sz w:val="20"/>
        </w:rPr>
        <w:t>(continued….)</w:t>
      </w:r>
    </w:p>
  </w:footnote>
  <w:footnote w:id="3">
    <w:p w:rsidR="0031230E" w:rsidP="0031230E" w14:paraId="6619E695" w14:textId="7DCB5860">
      <w:pPr>
        <w:pStyle w:val="FootnoteText"/>
      </w:pPr>
      <w:r>
        <w:rPr>
          <w:rStyle w:val="FootnoteReference"/>
        </w:rPr>
        <w:footnoteRef/>
      </w:r>
      <w:r>
        <w:t xml:space="preserve"> </w:t>
      </w:r>
      <w:bookmarkStart w:id="0" w:name="_Hlk42082435"/>
      <w:bookmarkStart w:id="1" w:name="_Hlk42254206"/>
      <w:r w:rsidR="000D18CD">
        <w:t>Preventing Illegal Radio Abuse Through Enforcement Act</w:t>
      </w:r>
      <w:bookmarkEnd w:id="0"/>
      <w:r w:rsidR="000D4733">
        <w:t>, Pub. L. No. 116-</w:t>
      </w:r>
      <w:r w:rsidRPr="000D18CD" w:rsidR="000D18CD">
        <w:t>109, 134 Stat. 3 (2020)</w:t>
      </w:r>
      <w:r w:rsidR="00FD2BB0">
        <w:t xml:space="preserve"> (codified at 47 U.S.C. § 511)</w:t>
      </w:r>
      <w:r w:rsidRPr="000D18CD" w:rsidR="000D18CD">
        <w:t xml:space="preserve"> (PIRATE Act)</w:t>
      </w:r>
      <w:bookmarkEnd w:id="1"/>
      <w:r w:rsidRPr="000D18CD" w:rsidR="000D18CD">
        <w:t>.</w:t>
      </w:r>
    </w:p>
  </w:footnote>
  <w:footnote w:id="4">
    <w:p w:rsidR="00417F91" w:rsidP="00417F91" w14:paraId="0AAFD6CC" w14:textId="44F83C4A">
      <w:pPr>
        <w:pStyle w:val="FootnoteText"/>
      </w:pPr>
      <w:r>
        <w:rPr>
          <w:rStyle w:val="FootnoteReference"/>
        </w:rPr>
        <w:footnoteRef/>
      </w:r>
      <w:r>
        <w:t xml:space="preserve"> </w:t>
      </w:r>
      <w:r w:rsidR="00192B8E">
        <w:t>PIRATE</w:t>
      </w:r>
      <w:r w:rsidR="000D4733">
        <w:t xml:space="preserve"> Act</w:t>
      </w:r>
      <w:r w:rsidR="009172C3">
        <w:t xml:space="preserve"> </w:t>
      </w:r>
      <w:r>
        <w:t xml:space="preserve">§ </w:t>
      </w:r>
      <w:r w:rsidR="008032F3">
        <w:t>2</w:t>
      </w:r>
      <w:r>
        <w:t>, 13</w:t>
      </w:r>
      <w:r w:rsidR="001B5D61">
        <w:t>4</w:t>
      </w:r>
      <w:r>
        <w:t xml:space="preserve"> Stat</w:t>
      </w:r>
      <w:r w:rsidR="000D4733">
        <w:t>.</w:t>
      </w:r>
      <w:r>
        <w:t xml:space="preserve"> at </w:t>
      </w:r>
      <w:r w:rsidR="00192B8E">
        <w:t>3</w:t>
      </w:r>
      <w:r>
        <w:t>.</w:t>
      </w:r>
      <w:r w:rsidR="00F02D4E">
        <w:t xml:space="preserve">  </w:t>
      </w:r>
    </w:p>
  </w:footnote>
  <w:footnote w:id="5">
    <w:p w:rsidR="0031230E" w:rsidP="0031230E" w14:paraId="16CFFC78" w14:textId="7E56D6E1">
      <w:pPr>
        <w:pStyle w:val="FootnoteText"/>
      </w:pPr>
      <w:r>
        <w:rPr>
          <w:rStyle w:val="FootnoteReference"/>
        </w:rPr>
        <w:footnoteRef/>
      </w:r>
      <w:r>
        <w:t xml:space="preserve"> </w:t>
      </w:r>
      <w:r>
        <w:rPr>
          <w:i/>
          <w:iCs/>
        </w:rPr>
        <w:t>Id</w:t>
      </w:r>
      <w:r>
        <w:t>.</w:t>
      </w:r>
      <w:r w:rsidR="00DA7765">
        <w:t>; 47 U.S.C. § 511.</w:t>
      </w:r>
    </w:p>
  </w:footnote>
  <w:footnote w:id="6">
    <w:p w:rsidR="00A74F3B" w:rsidP="00A74F3B" w14:paraId="44154F73" w14:textId="77777777">
      <w:pPr>
        <w:pStyle w:val="FootnoteText"/>
      </w:pPr>
      <w:r>
        <w:rPr>
          <w:rStyle w:val="FootnoteReference"/>
        </w:rPr>
        <w:footnoteRef/>
      </w:r>
      <w:r>
        <w:t xml:space="preserve"> </w:t>
      </w:r>
      <w:r w:rsidRPr="00E27FF4">
        <w:t>47 CFR § 1.80</w:t>
      </w:r>
      <w:r>
        <w:t>.</w:t>
      </w:r>
    </w:p>
  </w:footnote>
  <w:footnote w:id="7">
    <w:p w:rsidR="00260CA5" w:rsidP="00260CA5" w14:paraId="0095D00A" w14:textId="6A18FC2F">
      <w:pPr>
        <w:pStyle w:val="FootnoteText"/>
      </w:pPr>
      <w:r>
        <w:rPr>
          <w:rStyle w:val="FootnoteReference"/>
        </w:rPr>
        <w:footnoteRef/>
      </w:r>
      <w:r>
        <w:t xml:space="preserve"> </w:t>
      </w:r>
      <w:r w:rsidRPr="001472A4">
        <w:rPr>
          <w:i/>
        </w:rPr>
        <w:t>See</w:t>
      </w:r>
      <w:r>
        <w:t xml:space="preserve"> 5 U.S.C. § 553(b)(B)</w:t>
      </w:r>
      <w:r w:rsidR="00A5087F">
        <w:t>;</w:t>
      </w:r>
      <w:r>
        <w:t xml:space="preserve"> </w:t>
      </w:r>
      <w:r w:rsidR="00A5087F">
        <w:rPr>
          <w:i/>
          <w:iCs/>
        </w:rPr>
        <w:t>s</w:t>
      </w:r>
      <w:r w:rsidR="00F0357B">
        <w:rPr>
          <w:i/>
          <w:iCs/>
        </w:rPr>
        <w:t xml:space="preserve">ee e.g., </w:t>
      </w:r>
      <w:r w:rsidRPr="00F0357B" w:rsidR="00F0357B">
        <w:rPr>
          <w:i/>
          <w:iCs/>
        </w:rPr>
        <w:t>Implementing Section 3 of the Pallone-Thune Telephone Robocall Abuse Criminal Enforcement and Deterrence Act (TRACED Act)</w:t>
      </w:r>
      <w:r w:rsidR="00F0357B">
        <w:t xml:space="preserve">, Order, </w:t>
      </w:r>
      <w:r w:rsidRPr="00DA7765" w:rsidR="00DA7765">
        <w:t xml:space="preserve">35 FCC </w:t>
      </w:r>
      <w:r w:rsidRPr="00DA7765" w:rsidR="00DA7765">
        <w:t>Rcd</w:t>
      </w:r>
      <w:r w:rsidRPr="00DA7765" w:rsidR="00DA7765">
        <w:t xml:space="preserve"> 4476</w:t>
      </w:r>
      <w:r w:rsidR="00F0357B">
        <w:t xml:space="preserve"> (EB 2020)</w:t>
      </w:r>
      <w:r w:rsidR="00754512">
        <w:t xml:space="preserve"> (</w:t>
      </w:r>
      <w:r w:rsidRPr="00754512" w:rsidR="00754512">
        <w:rPr>
          <w:i/>
          <w:iCs/>
        </w:rPr>
        <w:t>Section 3 TRACED Act Order</w:t>
      </w:r>
      <w:r w:rsidR="00754512">
        <w:t>)</w:t>
      </w:r>
      <w:r w:rsidR="00A5087F">
        <w:t xml:space="preserve">; </w:t>
      </w:r>
      <w:r w:rsidR="00A5087F">
        <w:rPr>
          <w:i/>
        </w:rPr>
        <w:t>s</w:t>
      </w:r>
      <w:r w:rsidRPr="001472A4">
        <w:rPr>
          <w:i/>
        </w:rPr>
        <w:t>ee</w:t>
      </w:r>
      <w:r>
        <w:rPr>
          <w:i/>
        </w:rPr>
        <w:t xml:space="preserve"> also </w:t>
      </w:r>
      <w:r w:rsidRPr="007A0E39">
        <w:rPr>
          <w:i/>
        </w:rPr>
        <w:t>Komjathy</w:t>
      </w:r>
      <w:r w:rsidRPr="007A0E39">
        <w:rPr>
          <w:i/>
        </w:rPr>
        <w:t xml:space="preserve"> v. Nat’l Transp. Safety Bd.</w:t>
      </w:r>
      <w:r>
        <w:t xml:space="preserve">, 832 F.2d 1294, 1296-97 (D.C. Cir. 1987) (notice and comment is unnecessary where the regulation does no more than repeat, virtually verbatim, the statutory grant of authority), </w:t>
      </w:r>
      <w:r>
        <w:rPr>
          <w:i/>
        </w:rPr>
        <w:t>cert. denied,</w:t>
      </w:r>
      <w:r>
        <w:t xml:space="preserve"> 486 U.S. 1057 (1988)</w:t>
      </w:r>
      <w:r w:rsidR="0010149F">
        <w:t xml:space="preserve">; </w:t>
      </w:r>
      <w:r w:rsidRPr="00FC7108" w:rsidR="0010149F">
        <w:rPr>
          <w:i/>
        </w:rPr>
        <w:t>Metzenbaum v. Federal Energy Regulatory Commission</w:t>
      </w:r>
      <w:r w:rsidRPr="00FC7108" w:rsidR="0010149F">
        <w:t>, 675 F.2d 1282, 1291 (D</w:t>
      </w:r>
      <w:r w:rsidR="0010149F">
        <w:t>.</w:t>
      </w:r>
      <w:r w:rsidRPr="00FC7108" w:rsidR="0010149F">
        <w:t>C</w:t>
      </w:r>
      <w:r w:rsidR="0010149F">
        <w:t>.</w:t>
      </w:r>
      <w:r w:rsidRPr="00FC7108" w:rsidR="0010149F">
        <w:t xml:space="preserve"> Cir. 1982) (agency order appropriately issued without notice and comment </w:t>
      </w:r>
      <w:r w:rsidR="0010149F">
        <w:t xml:space="preserve">under the APA’s “good cause” exception </w:t>
      </w:r>
      <w:r w:rsidRPr="00FC7108" w:rsidR="0010149F">
        <w:t>as a nondiscretionary ministerial action)</w:t>
      </w:r>
      <w:r>
        <w:t xml:space="preserve">.  </w:t>
      </w:r>
    </w:p>
  </w:footnote>
  <w:footnote w:id="8">
    <w:p w:rsidR="00147709" w:rsidP="00147709" w14:paraId="7F84852A" w14:textId="3963DE81">
      <w:pPr>
        <w:pStyle w:val="FootnoteText"/>
      </w:pPr>
      <w:r>
        <w:rPr>
          <w:rStyle w:val="FootnoteReference"/>
        </w:rPr>
        <w:footnoteRef/>
      </w:r>
      <w:r>
        <w:t xml:space="preserve"> 47 U.S.C. </w:t>
      </w:r>
      <w:r w:rsidRPr="005646C2">
        <w:t>§</w:t>
      </w:r>
      <w:r>
        <w:t xml:space="preserve"> 511.  </w:t>
      </w:r>
    </w:p>
  </w:footnote>
  <w:footnote w:id="9">
    <w:p w:rsidR="007A26B8" w:rsidP="007A26B8" w14:paraId="4D22CC2E" w14:textId="5350869E">
      <w:pPr>
        <w:pStyle w:val="FootnoteText"/>
      </w:pPr>
      <w:r>
        <w:rPr>
          <w:rStyle w:val="FootnoteReference"/>
        </w:rPr>
        <w:footnoteRef/>
      </w:r>
      <w:r>
        <w:t xml:space="preserve"> 47 U.S.C. </w:t>
      </w:r>
      <w:r w:rsidRPr="000D3F51">
        <w:t>§</w:t>
      </w:r>
      <w:r>
        <w:t xml:space="preserve"> 511(h).  </w:t>
      </w:r>
    </w:p>
  </w:footnote>
  <w:footnote w:id="10">
    <w:p w:rsidR="00EC43EE" w14:paraId="3D8A8D0E" w14:textId="23529D0B">
      <w:pPr>
        <w:pStyle w:val="FootnoteText"/>
      </w:pPr>
      <w:r>
        <w:rPr>
          <w:rStyle w:val="FootnoteReference"/>
        </w:rPr>
        <w:footnoteRef/>
      </w:r>
      <w:r>
        <w:t xml:space="preserve"> 47 U.S.C. § 511(a).</w:t>
      </w:r>
    </w:p>
  </w:footnote>
  <w:footnote w:id="11">
    <w:p w:rsidR="00147709" w:rsidP="00147709" w14:paraId="0C133262" w14:textId="1B2C5888">
      <w:pPr>
        <w:pStyle w:val="FootnoteText"/>
      </w:pPr>
      <w:r>
        <w:rPr>
          <w:rStyle w:val="FootnoteReference"/>
        </w:rPr>
        <w:footnoteRef/>
      </w:r>
      <w:r>
        <w:t xml:space="preserve"> 47 U.S.C. </w:t>
      </w:r>
      <w:bookmarkStart w:id="5" w:name="_Hlk34846745"/>
      <w:r w:rsidRPr="000D3F51">
        <w:t>§</w:t>
      </w:r>
      <w:bookmarkEnd w:id="5"/>
      <w:r w:rsidRPr="000D3F51" w:rsidR="00584728">
        <w:t>§</w:t>
      </w:r>
      <w:r>
        <w:t xml:space="preserve"> 511(a)-(b).</w:t>
      </w:r>
    </w:p>
  </w:footnote>
  <w:footnote w:id="12">
    <w:p w:rsidR="007A26B8" w14:paraId="1DA06FE8" w14:textId="7FF7F972">
      <w:pPr>
        <w:pStyle w:val="FootnoteText"/>
      </w:pPr>
      <w:r>
        <w:rPr>
          <w:rStyle w:val="FootnoteReference"/>
        </w:rPr>
        <w:footnoteRef/>
      </w:r>
      <w:r>
        <w:t xml:space="preserve"> 47 U.S.C. </w:t>
      </w:r>
      <w:r w:rsidRPr="000D3F51" w:rsidR="003863F6">
        <w:t>§</w:t>
      </w:r>
      <w:r w:rsidR="003863F6">
        <w:t xml:space="preserve"> </w:t>
      </w:r>
      <w:r>
        <w:t>511</w:t>
      </w:r>
      <w:r w:rsidR="003863F6">
        <w:t>(b) (emphasis added).</w:t>
      </w:r>
    </w:p>
  </w:footnote>
  <w:footnote w:id="13">
    <w:p w:rsidR="00295F92" w:rsidP="00295F92" w14:paraId="66FFA799" w14:textId="3F895E82">
      <w:pPr>
        <w:pStyle w:val="FootnoteText"/>
      </w:pPr>
      <w:r>
        <w:rPr>
          <w:rStyle w:val="FootnoteReference"/>
        </w:rPr>
        <w:footnoteRef/>
      </w:r>
      <w:r>
        <w:t xml:space="preserve"> </w:t>
      </w:r>
      <w:r w:rsidRPr="001F26A1">
        <w:t xml:space="preserve">47 U.S.C. § </w:t>
      </w:r>
      <w:r>
        <w:t>511(f).</w:t>
      </w:r>
      <w:r w:rsidR="00CE3743">
        <w:t xml:space="preserve">  </w:t>
      </w:r>
      <w:r w:rsidR="00855C03">
        <w:t xml:space="preserve">Because section 511(f) is specific to cases involving pirate radio broadcasting, this </w:t>
      </w:r>
      <w:r w:rsidR="00855C03">
        <w:rPr>
          <w:i/>
          <w:iCs/>
        </w:rPr>
        <w:t>Order</w:t>
      </w:r>
      <w:r w:rsidR="00855C03">
        <w:t xml:space="preserve"> does not impact the Bureau’s use of such notices in cases that do not involve pirate radio broadcasting, as defined in section 511(h).  </w:t>
      </w:r>
      <w:r w:rsidR="00855C03">
        <w:rPr>
          <w:i/>
          <w:iCs/>
        </w:rPr>
        <w:t xml:space="preserve">See </w:t>
      </w:r>
      <w:r w:rsidRPr="006B5B32" w:rsidR="00855C03">
        <w:rPr>
          <w:i/>
          <w:iCs/>
        </w:rPr>
        <w:t>id</w:t>
      </w:r>
      <w:r w:rsidR="00855C03">
        <w:t xml:space="preserve">. § 511(h). </w:t>
      </w:r>
      <w:r>
        <w:t xml:space="preserve">  </w:t>
      </w:r>
    </w:p>
  </w:footnote>
  <w:footnote w:id="14">
    <w:p w:rsidR="003E1581" w14:paraId="5206A876" w14:textId="35E5C524">
      <w:pPr>
        <w:pStyle w:val="FootnoteText"/>
      </w:pPr>
      <w:r>
        <w:rPr>
          <w:rStyle w:val="FootnoteReference"/>
        </w:rPr>
        <w:footnoteRef/>
      </w:r>
      <w:r>
        <w:t xml:space="preserve"> These amounts are subject to </w:t>
      </w:r>
      <w:r w:rsidR="00876667">
        <w:t>annual</w:t>
      </w:r>
      <w:r w:rsidR="004C3064">
        <w:t xml:space="preserve"> adjustments due to inflation</w:t>
      </w:r>
      <w:r w:rsidR="00876667">
        <w:t xml:space="preserve">.  </w:t>
      </w:r>
      <w:r w:rsidRPr="007B5955" w:rsidR="00876667">
        <w:rPr>
          <w:i/>
          <w:snapToGrid w:val="0"/>
          <w:color w:val="000000" w:themeColor="text1"/>
        </w:rPr>
        <w:t>Amendment of Section 1.80(b) of the Commission’s Rules, Adjustment of Civil Monetary Penalties to Reflect Inflation</w:t>
      </w:r>
      <w:r w:rsidRPr="007B5955" w:rsidR="00876667">
        <w:rPr>
          <w:snapToGrid w:val="0"/>
          <w:color w:val="000000" w:themeColor="text1"/>
        </w:rPr>
        <w:t xml:space="preserve">, Order, </w:t>
      </w:r>
      <w:r w:rsidRPr="007358CE" w:rsidR="00876667">
        <w:rPr>
          <w:snapToGrid w:val="0"/>
          <w:color w:val="000000" w:themeColor="text1"/>
        </w:rPr>
        <w:t xml:space="preserve">34 FCC </w:t>
      </w:r>
      <w:r w:rsidRPr="007358CE" w:rsidR="00876667">
        <w:rPr>
          <w:snapToGrid w:val="0"/>
          <w:color w:val="000000" w:themeColor="text1"/>
        </w:rPr>
        <w:t>Rcd</w:t>
      </w:r>
      <w:r w:rsidRPr="007358CE" w:rsidR="00876667">
        <w:rPr>
          <w:snapToGrid w:val="0"/>
          <w:color w:val="000000" w:themeColor="text1"/>
        </w:rPr>
        <w:t xml:space="preserve"> 12824</w:t>
      </w:r>
      <w:r w:rsidRPr="007B5955" w:rsidR="00876667">
        <w:rPr>
          <w:snapToGrid w:val="0"/>
          <w:color w:val="000000" w:themeColor="text1"/>
        </w:rPr>
        <w:t xml:space="preserve"> (EB 201</w:t>
      </w:r>
      <w:r w:rsidR="00876667">
        <w:rPr>
          <w:snapToGrid w:val="0"/>
          <w:color w:val="000000" w:themeColor="text1"/>
        </w:rPr>
        <w:t>9</w:t>
      </w:r>
      <w:r w:rsidRPr="007B5955" w:rsidR="00876667">
        <w:rPr>
          <w:snapToGrid w:val="0"/>
          <w:color w:val="000000" w:themeColor="text1"/>
        </w:rPr>
        <w:t>).</w:t>
      </w:r>
    </w:p>
  </w:footnote>
  <w:footnote w:id="15">
    <w:p w:rsidR="00245F5A" w:rsidRPr="002F26E1" w:rsidP="00245F5A" w14:paraId="203B0D30" w14:textId="2CB21C97">
      <w:pPr>
        <w:pStyle w:val="FootnoteText"/>
      </w:pPr>
      <w:r>
        <w:rPr>
          <w:rStyle w:val="FootnoteReference"/>
        </w:rPr>
        <w:footnoteRef/>
      </w:r>
      <w:r>
        <w:t xml:space="preserve"> </w:t>
      </w:r>
      <w:r>
        <w:rPr>
          <w:i/>
        </w:rPr>
        <w:t>See</w:t>
      </w:r>
      <w:r>
        <w:t xml:space="preserve"> 47 U.S.C. </w:t>
      </w:r>
      <w:r w:rsidRPr="002F26E1">
        <w:t>§</w:t>
      </w:r>
      <w:r w:rsidRPr="002F26E1" w:rsidR="008A7C0B">
        <w:t>§</w:t>
      </w:r>
      <w:r>
        <w:t xml:space="preserve"> 5</w:t>
      </w:r>
      <w:r w:rsidR="008A7C0B">
        <w:t>11(a)-(b)</w:t>
      </w:r>
      <w:r w:rsidR="00B37CEF">
        <w:t>.</w:t>
      </w:r>
    </w:p>
  </w:footnote>
  <w:footnote w:id="16">
    <w:p w:rsidR="00DC78B1" w14:paraId="5FBF7D16" w14:textId="109CAE3F">
      <w:pPr>
        <w:pStyle w:val="FootnoteText"/>
      </w:pPr>
      <w:r>
        <w:rPr>
          <w:rStyle w:val="FootnoteReference"/>
        </w:rPr>
        <w:footnoteRef/>
      </w:r>
      <w:r>
        <w:t xml:space="preserve"> </w:t>
      </w:r>
      <w:r w:rsidR="005D0E83">
        <w:t>47 U.S.C. § 511(a).</w:t>
      </w:r>
    </w:p>
  </w:footnote>
  <w:footnote w:id="17">
    <w:p w:rsidR="006B5B32" w14:paraId="04C4A00B" w14:textId="3E356E27">
      <w:pPr>
        <w:pStyle w:val="FootnoteText"/>
      </w:pPr>
      <w:r>
        <w:rPr>
          <w:rStyle w:val="FootnoteReference"/>
        </w:rPr>
        <w:footnoteRef/>
      </w:r>
      <w:r>
        <w:t xml:space="preserve"> </w:t>
      </w:r>
      <w:r w:rsidRPr="008332E6">
        <w:t>S. Rep. No. 116-178, at 8</w:t>
      </w:r>
      <w:r>
        <w:t xml:space="preserve"> (stating that “in implementing the ‘good cause’ standard” in subsection (f), the Commission should “balance the need for efficient and effective enforcement activity with the intent of this Act to eliminate the problems associated with pirate radio broadcasting.”).</w:t>
      </w:r>
    </w:p>
  </w:footnote>
  <w:footnote w:id="18">
    <w:p w:rsidR="006D3A58" w:rsidP="006D3A58" w14:paraId="5AFA731A" w14:textId="77777777">
      <w:pPr>
        <w:pStyle w:val="FootnoteText"/>
      </w:pPr>
      <w:r>
        <w:rPr>
          <w:rStyle w:val="FootnoteReference"/>
        </w:rPr>
        <w:footnoteRef/>
      </w:r>
      <w:r>
        <w:t xml:space="preserve"> </w:t>
      </w:r>
      <w:r w:rsidRPr="006D21FE">
        <w:rPr>
          <w:i/>
          <w:iCs/>
        </w:rPr>
        <w:t xml:space="preserve">See </w:t>
      </w:r>
      <w:r w:rsidRPr="006D21FE">
        <w:t>47 CFR § 1.3. </w:t>
      </w:r>
    </w:p>
  </w:footnote>
  <w:footnote w:id="19">
    <w:p w:rsidR="006D3A58" w:rsidP="006D3A58" w14:paraId="551E82C3" w14:textId="76F0071B">
      <w:pPr>
        <w:pStyle w:val="FootnoteText"/>
      </w:pPr>
      <w:r>
        <w:rPr>
          <w:rStyle w:val="FootnoteReference"/>
        </w:rPr>
        <w:footnoteRef/>
      </w:r>
      <w:r>
        <w:t xml:space="preserve"> </w:t>
      </w:r>
      <w:r w:rsidRPr="006D21FE">
        <w:rPr>
          <w:i/>
          <w:iCs/>
        </w:rPr>
        <w:t>Ne. Cellular Tel. Co. v. FCC</w:t>
      </w:r>
      <w:r w:rsidRPr="006D21FE">
        <w:t>, 897 F.2d 1164, 1166 (D.C. Cir. 1990)</w:t>
      </w:r>
      <w:r w:rsidRPr="006D21FE">
        <w:rPr>
          <w:i/>
          <w:iCs/>
        </w:rPr>
        <w:t> </w:t>
      </w:r>
      <w:r w:rsidRPr="006D21FE">
        <w:t xml:space="preserve">(citing </w:t>
      </w:r>
      <w:r w:rsidRPr="006D21FE">
        <w:rPr>
          <w:i/>
          <w:iCs/>
        </w:rPr>
        <w:t>WAIT Radio v. FCC</w:t>
      </w:r>
      <w:r w:rsidRPr="006D21FE">
        <w:t>, 418 F.2d 1153, 1159 (D.C. Cir. 1969)).</w:t>
      </w:r>
      <w:r w:rsidR="006B5B32">
        <w:t xml:space="preserve">  </w:t>
      </w:r>
    </w:p>
  </w:footnote>
  <w:footnote w:id="20">
    <w:p w:rsidR="0031230E" w:rsidP="0031230E" w14:paraId="073E68EE" w14:textId="2B1EF955">
      <w:pPr>
        <w:pStyle w:val="FootnoteText"/>
      </w:pPr>
      <w:r>
        <w:rPr>
          <w:rStyle w:val="FootnoteReference"/>
        </w:rPr>
        <w:footnoteRef/>
      </w:r>
      <w:r>
        <w:t xml:space="preserve"> </w:t>
      </w:r>
      <w:r w:rsidRPr="00FB1071">
        <w:rPr>
          <w:i/>
        </w:rPr>
        <w:t xml:space="preserve">See, e.g., </w:t>
      </w:r>
      <w:r w:rsidRPr="00754512" w:rsidR="00754512">
        <w:rPr>
          <w:i/>
          <w:iCs/>
        </w:rPr>
        <w:t>Section 3 TRACED Act Order</w:t>
      </w:r>
      <w:r w:rsidR="006442D6">
        <w:t xml:space="preserve">, </w:t>
      </w:r>
      <w:r w:rsidRPr="00DA7765" w:rsidR="006442D6">
        <w:t xml:space="preserve">35 FCC </w:t>
      </w:r>
      <w:r w:rsidRPr="00DA7765" w:rsidR="006442D6">
        <w:t>Rcd</w:t>
      </w:r>
      <w:r w:rsidR="00754512">
        <w:rPr>
          <w:iCs/>
        </w:rPr>
        <w:t xml:space="preserve"> </w:t>
      </w:r>
      <w:r w:rsidR="00490413">
        <w:rPr>
          <w:iCs/>
        </w:rPr>
        <w:t xml:space="preserve">at </w:t>
      </w:r>
      <w:r w:rsidR="006442D6">
        <w:rPr>
          <w:iCs/>
        </w:rPr>
        <w:t>4478</w:t>
      </w:r>
      <w:r w:rsidR="00754512">
        <w:rPr>
          <w:iCs/>
        </w:rPr>
        <w:t xml:space="preserve">, para. 10; </w:t>
      </w:r>
      <w:r w:rsidRPr="00FB1071">
        <w:rPr>
          <w:i/>
        </w:rPr>
        <w:t xml:space="preserve">Implementation of </w:t>
      </w:r>
      <w:r w:rsidR="00C276BC">
        <w:rPr>
          <w:i/>
        </w:rPr>
        <w:t xml:space="preserve">the </w:t>
      </w:r>
      <w:r w:rsidRPr="00C276BC" w:rsidR="00C276BC">
        <w:rPr>
          <w:i/>
        </w:rPr>
        <w:t>Satellite Home Viewer Extension and Reauthorization Act of 2004</w:t>
      </w:r>
      <w:r w:rsidR="00C276BC">
        <w:rPr>
          <w:i/>
        </w:rPr>
        <w:t xml:space="preserve"> (“</w:t>
      </w:r>
      <w:r w:rsidRPr="00FB1071">
        <w:rPr>
          <w:i/>
        </w:rPr>
        <w:t>SHVERA</w:t>
      </w:r>
      <w:r w:rsidR="00C276BC">
        <w:rPr>
          <w:i/>
        </w:rPr>
        <w:t>”)</w:t>
      </w:r>
      <w:r w:rsidRPr="002D7ADF">
        <w:rPr>
          <w:iCs/>
        </w:rPr>
        <w:t>,</w:t>
      </w:r>
      <w:r w:rsidR="00C276BC">
        <w:rPr>
          <w:iCs/>
        </w:rPr>
        <w:t xml:space="preserve"> Order,</w:t>
      </w:r>
      <w:r w:rsidRPr="0019323A">
        <w:rPr>
          <w:iCs/>
        </w:rPr>
        <w:t xml:space="preserve"> </w:t>
      </w:r>
      <w:r w:rsidRPr="00FB1071">
        <w:t xml:space="preserve">20 FCC </w:t>
      </w:r>
      <w:r w:rsidRPr="00FB1071">
        <w:t>Rcd</w:t>
      </w:r>
      <w:r w:rsidRPr="00FB1071">
        <w:t xml:space="preserve"> 7780, </w:t>
      </w:r>
      <w:r w:rsidR="0019323A">
        <w:t>para.</w:t>
      </w:r>
      <w:r w:rsidRPr="00FB1071">
        <w:t xml:space="preserve"> 1 </w:t>
      </w:r>
      <w:r w:rsidR="00C276BC">
        <w:t xml:space="preserve">&amp; </w:t>
      </w:r>
      <w:r w:rsidRPr="00FB1071">
        <w:t xml:space="preserve">n.3 (2005); </w:t>
      </w:r>
      <w:r w:rsidRPr="00FB1071">
        <w:rPr>
          <w:i/>
        </w:rPr>
        <w:t xml:space="preserve">Implementation of Section 505 of the Telecommunications Act of 1996 </w:t>
      </w:r>
      <w:r w:rsidRPr="00FB1071">
        <w:t xml:space="preserve">(Scrambling of Sexually Explicit Adult Video Service Programming), </w:t>
      </w:r>
      <w:r w:rsidR="00C276BC">
        <w:t xml:space="preserve">Order and Notice of Proposed Rulemaking, </w:t>
      </w:r>
      <w:r w:rsidRPr="00FB1071">
        <w:t xml:space="preserve">11 FCC </w:t>
      </w:r>
      <w:r w:rsidRPr="00FB1071">
        <w:t>Rcd</w:t>
      </w:r>
      <w:r w:rsidRPr="00FB1071">
        <w:t xml:space="preserve"> 5386, 5387</w:t>
      </w:r>
      <w:r w:rsidR="0019323A">
        <w:t xml:space="preserve">, para. </w:t>
      </w:r>
      <w:r w:rsidR="00FE3DA9">
        <w:t>3</w:t>
      </w:r>
      <w:r w:rsidRPr="00FB1071">
        <w:t xml:space="preserve"> (1996); </w:t>
      </w:r>
      <w:r w:rsidRPr="00FB1071">
        <w:rPr>
          <w:i/>
        </w:rPr>
        <w:t>Implementation of Sections 204(</w:t>
      </w:r>
      <w:r w:rsidR="00C276BC">
        <w:rPr>
          <w:i/>
        </w:rPr>
        <w:t>a</w:t>
      </w:r>
      <w:r w:rsidRPr="00FB1071">
        <w:rPr>
          <w:i/>
        </w:rPr>
        <w:t>) and 204(</w:t>
      </w:r>
      <w:r w:rsidR="00C276BC">
        <w:rPr>
          <w:i/>
        </w:rPr>
        <w:t>c</w:t>
      </w:r>
      <w:r w:rsidRPr="00FB1071">
        <w:rPr>
          <w:i/>
        </w:rPr>
        <w:t xml:space="preserve">) of the Telecommunications Act of 1996 </w:t>
      </w:r>
      <w:r w:rsidRPr="00FB1071">
        <w:t xml:space="preserve">(Broadcast License Renewal Procedures), </w:t>
      </w:r>
      <w:r w:rsidR="00C276BC">
        <w:t xml:space="preserve">Order, </w:t>
      </w:r>
      <w:r w:rsidRPr="00FB1071">
        <w:t xml:space="preserve">11 FCC </w:t>
      </w:r>
      <w:r w:rsidRPr="00FB1071">
        <w:t>Rcd</w:t>
      </w:r>
      <w:r w:rsidRPr="00FB1071">
        <w:t xml:space="preserve"> 6363, 6364</w:t>
      </w:r>
      <w:r w:rsidR="0019323A">
        <w:t xml:space="preserve">, para. </w:t>
      </w:r>
      <w:r w:rsidR="00FE3DA9">
        <w:t>6</w:t>
      </w:r>
      <w:r w:rsidRPr="00FB1071">
        <w:t xml:space="preserve"> (1996); </w:t>
      </w:r>
      <w:r w:rsidRPr="00FB1071">
        <w:rPr>
          <w:i/>
        </w:rPr>
        <w:t>Implementation of Sections 202(</w:t>
      </w:r>
      <w:r w:rsidR="00C276BC">
        <w:rPr>
          <w:i/>
        </w:rPr>
        <w:t>a</w:t>
      </w:r>
      <w:r w:rsidRPr="00FB1071">
        <w:rPr>
          <w:i/>
        </w:rPr>
        <w:t>) and 202(</w:t>
      </w:r>
      <w:r w:rsidR="00C276BC">
        <w:rPr>
          <w:i/>
        </w:rPr>
        <w:t>b</w:t>
      </w:r>
      <w:r w:rsidRPr="00FB1071">
        <w:rPr>
          <w:i/>
        </w:rPr>
        <w:t>)(1) of the Telecommunications Act of 1996</w:t>
      </w:r>
      <w:r w:rsidRPr="00FB1071">
        <w:t xml:space="preserve"> (Broadcast Radio Ownership), </w:t>
      </w:r>
      <w:r w:rsidR="00C276BC">
        <w:t xml:space="preserve">Order, </w:t>
      </w:r>
      <w:r w:rsidRPr="00FB1071">
        <w:t xml:space="preserve">11 FCC </w:t>
      </w:r>
      <w:r w:rsidRPr="00FB1071">
        <w:t>Rcd</w:t>
      </w:r>
      <w:r w:rsidRPr="00FB1071">
        <w:t xml:space="preserve"> 12368, 12371</w:t>
      </w:r>
      <w:r w:rsidR="0019323A">
        <w:t xml:space="preserve">, para. </w:t>
      </w:r>
      <w:r w:rsidR="00FE3DA9">
        <w:t>5</w:t>
      </w:r>
      <w:r w:rsidRPr="00FB1071">
        <w:t xml:space="preserve"> (1996); </w:t>
      </w:r>
      <w:r w:rsidRPr="00FB1071">
        <w:rPr>
          <w:i/>
        </w:rPr>
        <w:t>Implementation of Sections 202(c)(1) and 202(e) of the Telecommunications Act of 1996</w:t>
      </w:r>
      <w:r w:rsidRPr="00FB1071">
        <w:t xml:space="preserve"> (National Broadcast Television Ownership and Dual Network Operations), </w:t>
      </w:r>
      <w:r w:rsidR="00C276BC">
        <w:t xml:space="preserve">Order, </w:t>
      </w:r>
      <w:r w:rsidRPr="00FB1071">
        <w:t xml:space="preserve">11 FCC </w:t>
      </w:r>
      <w:r w:rsidRPr="00FB1071">
        <w:t>Rcd</w:t>
      </w:r>
      <w:r w:rsidRPr="00FB1071">
        <w:t xml:space="preserve"> 12374, 12377</w:t>
      </w:r>
      <w:r w:rsidR="0019323A">
        <w:t xml:space="preserve">, para. </w:t>
      </w:r>
      <w:r w:rsidR="00B22A09">
        <w:t>7</w:t>
      </w:r>
      <w:r w:rsidRPr="00FB1071">
        <w:t xml:space="preserve"> (1996).</w:t>
      </w:r>
    </w:p>
  </w:footnote>
  <w:footnote w:id="21">
    <w:p w:rsidR="002F761C" w14:paraId="7FC7AAC0" w14:textId="7A614867">
      <w:pPr>
        <w:pStyle w:val="FootnoteText"/>
      </w:pPr>
      <w:r>
        <w:rPr>
          <w:rStyle w:val="FootnoteReference"/>
        </w:rPr>
        <w:footnoteRef/>
      </w:r>
      <w:r>
        <w:t xml:space="preserve"> We also take this opportunity to make a few </w:t>
      </w:r>
      <w:r>
        <w:t>nonsubstantive</w:t>
      </w:r>
      <w:r>
        <w:t xml:space="preserve"> editorial revisions to section 1.80, as some punctuation and numbering references have gotten out of sequence as a result of past amendments.  </w:t>
      </w:r>
      <w:r>
        <w:rPr>
          <w:i/>
        </w:rPr>
        <w:t>See</w:t>
      </w:r>
      <w:r>
        <w:t xml:space="preserve"> 47 CFR </w:t>
      </w:r>
      <w:r w:rsidRPr="005C574C">
        <w:t>§</w:t>
      </w:r>
      <w:r>
        <w:t xml:space="preserve"> 0.231(b) (“The Managing Director, or his designee, is delegated authority to make </w:t>
      </w:r>
      <w:r>
        <w:t>nonsubstantive</w:t>
      </w:r>
      <w:r>
        <w:t xml:space="preserve"> editorial revisions of the Commission’s rules and regulations upon approval of the bureau or staff office primarily responsible for the particular part or section involved.”).</w:t>
      </w:r>
    </w:p>
  </w:footnote>
  <w:footnote w:id="22">
    <w:p w:rsidR="0031230E" w:rsidP="0031230E" w14:paraId="004C3899" w14:textId="77777777">
      <w:pPr>
        <w:pStyle w:val="FootnoteText"/>
      </w:pPr>
      <w:r>
        <w:rPr>
          <w:rStyle w:val="FootnoteReference"/>
        </w:rPr>
        <w:footnoteRef/>
      </w:r>
      <w:r>
        <w:t xml:space="preserve"> </w:t>
      </w:r>
      <w:r>
        <w:rPr>
          <w:i/>
        </w:rPr>
        <w:t xml:space="preserve">See </w:t>
      </w:r>
      <w:r>
        <w:t xml:space="preserve">5 U.S.C. § 553(b)(B).  </w:t>
      </w:r>
    </w:p>
  </w:footnote>
  <w:footnote w:id="23">
    <w:p w:rsidR="0031230E" w:rsidRPr="003E7A01" w:rsidP="0031230E" w14:paraId="0723F9A9" w14:textId="5E50092B">
      <w:pPr>
        <w:pStyle w:val="FootnoteText"/>
      </w:pPr>
      <w:r>
        <w:rPr>
          <w:rStyle w:val="FootnoteReference"/>
        </w:rPr>
        <w:footnoteRef/>
      </w:r>
      <w:r>
        <w:t xml:space="preserve"> </w:t>
      </w:r>
      <w:r w:rsidRPr="00D43840">
        <w:rPr>
          <w:i/>
        </w:rPr>
        <w:t>See</w:t>
      </w:r>
      <w:r>
        <w:t xml:space="preserve"> 47 CFR</w:t>
      </w:r>
      <w:r w:rsidRPr="00320E07">
        <w:t xml:space="preserve"> </w:t>
      </w:r>
      <w:r>
        <w:rPr>
          <w:color w:val="010101"/>
        </w:rPr>
        <w:t>§ 0.111(a)(22).</w:t>
      </w:r>
      <w:r w:rsidR="003E7A01">
        <w:rPr>
          <w:color w:val="010101"/>
        </w:rPr>
        <w:t xml:space="preserve">  </w:t>
      </w:r>
      <w:r w:rsidR="00533165">
        <w:rPr>
          <w:color w:val="010101"/>
        </w:rPr>
        <w:t>Bureau action is appropriate here, because this proceeding does not require</w:t>
      </w:r>
      <w:r w:rsidR="003E7A01">
        <w:rPr>
          <w:color w:val="010101"/>
        </w:rPr>
        <w:t xml:space="preserve"> notice and comment. </w:t>
      </w:r>
      <w:r w:rsidR="00C276BC">
        <w:rPr>
          <w:color w:val="010101"/>
        </w:rPr>
        <w:t xml:space="preserve"> </w:t>
      </w:r>
      <w:r w:rsidR="003E7A01">
        <w:rPr>
          <w:i/>
          <w:iCs/>
          <w:color w:val="010101"/>
        </w:rPr>
        <w:t>See</w:t>
      </w:r>
      <w:r w:rsidR="003E7A01">
        <w:rPr>
          <w:color w:val="010101"/>
        </w:rPr>
        <w:t xml:space="preserve"> </w:t>
      </w:r>
      <w:r w:rsidR="003E7A01">
        <w:t>47 CFR</w:t>
      </w:r>
      <w:r w:rsidRPr="00320E07" w:rsidR="003E7A01">
        <w:t xml:space="preserve"> </w:t>
      </w:r>
      <w:r w:rsidR="003E7A01">
        <w:rPr>
          <w:color w:val="010101"/>
        </w:rPr>
        <w:t xml:space="preserve">§ 0.311(a)(1); </w:t>
      </w:r>
      <w:r w:rsidR="003E7A01">
        <w:rPr>
          <w:i/>
          <w:iCs/>
          <w:color w:val="010101"/>
        </w:rPr>
        <w:t>see also</w:t>
      </w:r>
      <w:r w:rsidR="003E7A01">
        <w:rPr>
          <w:color w:val="010101"/>
        </w:rPr>
        <w:t xml:space="preserve"> </w:t>
      </w:r>
      <w:r w:rsidR="003E7A01">
        <w:rPr>
          <w:i/>
          <w:iCs/>
          <w:color w:val="010101"/>
        </w:rPr>
        <w:t>supra</w:t>
      </w:r>
      <w:r w:rsidR="003E7A01">
        <w:rPr>
          <w:color w:val="010101"/>
        </w:rPr>
        <w:t xml:space="preserve"> para. </w:t>
      </w:r>
      <w:r w:rsidR="00F42460">
        <w:rPr>
          <w:color w:val="010101"/>
        </w:rPr>
        <w:fldChar w:fldCharType="begin"/>
      </w:r>
      <w:r w:rsidR="00F42460">
        <w:rPr>
          <w:color w:val="010101"/>
        </w:rPr>
        <w:instrText xml:space="preserve"> REF _Ref42253766 \r \h </w:instrText>
      </w:r>
      <w:r w:rsidR="00F42460">
        <w:rPr>
          <w:color w:val="010101"/>
        </w:rPr>
        <w:fldChar w:fldCharType="separate"/>
      </w:r>
      <w:r w:rsidR="00F42460">
        <w:rPr>
          <w:color w:val="010101"/>
        </w:rPr>
        <w:t>6</w:t>
      </w:r>
      <w:r w:rsidR="00F42460">
        <w:rPr>
          <w:color w:val="010101"/>
        </w:rPr>
        <w:fldChar w:fldCharType="end"/>
      </w:r>
      <w:r w:rsidR="003E7A01">
        <w:rPr>
          <w:color w:val="010101"/>
        </w:rPr>
        <w:t>.</w:t>
      </w:r>
    </w:p>
  </w:footnote>
  <w:footnote w:id="24">
    <w:p w:rsidR="0031230E" w:rsidP="0031230E" w14:paraId="0A2D8517" w14:textId="41E0255B">
      <w:pPr>
        <w:pStyle w:val="FootnoteText"/>
      </w:pPr>
      <w:r>
        <w:rPr>
          <w:rStyle w:val="FootnoteReference"/>
        </w:rPr>
        <w:footnoteRef/>
      </w:r>
      <w:r>
        <w:t xml:space="preserve"> </w:t>
      </w:r>
      <w:r w:rsidR="00BB709E">
        <w:rPr>
          <w:i/>
          <w:iCs/>
        </w:rPr>
        <w:t xml:space="preserve">See </w:t>
      </w:r>
      <w:r w:rsidR="00E54587">
        <w:t>47 U.S.C. § 511(f)</w:t>
      </w:r>
      <w:r>
        <w:t>.</w:t>
      </w:r>
      <w:r w:rsidRPr="00B30C0F" w:rsidR="00B30C0F">
        <w:t xml:space="preserve"> </w:t>
      </w:r>
    </w:p>
  </w:footnote>
  <w:footnote w:id="25">
    <w:p w:rsidR="00A140F6" w:rsidRPr="00A140F6" w14:paraId="2137CF2F" w14:textId="775618F2">
      <w:pPr>
        <w:pStyle w:val="FootnoteText"/>
      </w:pPr>
      <w:r>
        <w:rPr>
          <w:rStyle w:val="FootnoteReference"/>
        </w:rPr>
        <w:footnoteRef/>
      </w:r>
      <w:r>
        <w:t xml:space="preserve"> </w:t>
      </w:r>
      <w:r>
        <w:rPr>
          <w:i/>
          <w:iCs/>
        </w:rPr>
        <w:t xml:space="preserve">See </w:t>
      </w:r>
      <w:r w:rsidR="004E47F8">
        <w:rPr>
          <w:iCs/>
        </w:rPr>
        <w:t xml:space="preserve">5 U.S.C. </w:t>
      </w:r>
      <w:r w:rsidRPr="006C5AA6" w:rsidR="004E47F8">
        <w:rPr>
          <w:iCs/>
        </w:rPr>
        <w:t>§</w:t>
      </w:r>
      <w:r w:rsidR="004E47F8">
        <w:rPr>
          <w:iCs/>
        </w:rPr>
        <w:t xml:space="preserve"> 603(a); </w:t>
      </w:r>
      <w:r>
        <w:t xml:space="preserve">U.S. Small Business Administration, Office of Advocacy, A Guide for Government Agencies, How to Comply with the Regulatory Flexibility Act at 9 (2017), </w:t>
      </w:r>
      <w:hyperlink r:id="rId1" w:history="1">
        <w:r>
          <w:rPr>
            <w:rStyle w:val="Hyperlink"/>
          </w:rPr>
          <w:t>https://www.sba.gov/sites/default/files/advocacy/How-to-Comply-with-the-RFA-WEB.pdf</w:t>
        </w:r>
      </w:hyperlink>
      <w:r>
        <w:t xml:space="preserve"> (detailing R</w:t>
      </w:r>
      <w:r w:rsidR="00F42460">
        <w:t>egulatory Flexibility Act</w:t>
      </w:r>
      <w:r>
        <w:t xml:space="preserve"> exemptions).</w:t>
      </w:r>
    </w:p>
  </w:footnote>
  <w:footnote w:id="26">
    <w:p w:rsidR="0031230E" w:rsidP="0031230E" w14:paraId="0F578A28" w14:textId="77777777">
      <w:pPr>
        <w:pStyle w:val="FootnoteText"/>
      </w:pPr>
      <w:r>
        <w:rPr>
          <w:rStyle w:val="FootnoteReference"/>
        </w:rPr>
        <w:footnoteRef/>
      </w:r>
      <w:r>
        <w:t xml:space="preserve"> Pub. L. No. 104-13, 109 Stat. 163 (codified at 13 U.S.C. § 91, 44 U.S.C. § 101 note, and 44 U.S.C. §§ 3501-20)</w:t>
      </w:r>
      <w:r w:rsidRPr="00344C0B">
        <w:t>.</w:t>
      </w:r>
    </w:p>
  </w:footnote>
  <w:footnote w:id="27">
    <w:p w:rsidR="0031230E" w:rsidP="0031230E" w14:paraId="2C5BDDB4" w14:textId="77777777">
      <w:pPr>
        <w:pStyle w:val="FootnoteText"/>
      </w:pPr>
      <w:r>
        <w:rPr>
          <w:rStyle w:val="FootnoteReference"/>
        </w:rPr>
        <w:footnoteRef/>
      </w:r>
      <w:r>
        <w:t xml:space="preserve"> Pub. L. No. 107-198, 116 Stat. 729 (codified at 5 U.S.C. § 601 note, 44 U.S.C. §§ 101 note, 3504, 3506, 3520, 3521)</w:t>
      </w:r>
      <w:r w:rsidRPr="00344C0B">
        <w:t>.</w:t>
      </w:r>
    </w:p>
  </w:footnote>
  <w:footnote w:id="28">
    <w:p w:rsidR="0031230E" w:rsidP="0031230E" w14:paraId="5B5505AD" w14:textId="77777777">
      <w:pPr>
        <w:pStyle w:val="FootnoteText"/>
      </w:pPr>
      <w:r>
        <w:rPr>
          <w:rStyle w:val="FootnoteReference"/>
        </w:rPr>
        <w:footnoteRef/>
      </w:r>
      <w:r>
        <w:t xml:space="preserve"> </w:t>
      </w:r>
      <w:r w:rsidRPr="00D43840">
        <w:rPr>
          <w:i/>
        </w:rPr>
        <w:t>See</w:t>
      </w:r>
      <w:r>
        <w:t xml:space="preserve"> 44 U.S.C.</w:t>
      </w:r>
      <w:r w:rsidRPr="00320E07">
        <w:t xml:space="preserve"> </w:t>
      </w:r>
      <w:r>
        <w:rPr>
          <w:color w:val="010101"/>
        </w:rPr>
        <w:t>§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rsidP="00A60E08" w14:paraId="571E7DDA" w14:textId="74AC619D">
    <w:pPr>
      <w:pStyle w:val="Header"/>
    </w:pPr>
    <w:r>
      <w:tab/>
      <w:t>Federal Communications Commission</w:t>
    </w:r>
    <w:r>
      <w:tab/>
    </w:r>
    <w:r w:rsidR="00F91082">
      <w:t xml:space="preserve">DA </w:t>
    </w:r>
    <w:r w:rsidR="003D49EA">
      <w:t>20</w:t>
    </w:r>
    <w:r w:rsidR="00F91082">
      <w:t>-</w:t>
    </w:r>
    <w:r w:rsidR="007F0010">
      <w:t>1490</w:t>
    </w:r>
  </w:p>
  <w:p w:rsidR="00D25FB5" w14:paraId="47CEE8D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7C849D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25FB5" w:rsidP="00A60E08" w14:paraId="771D201B" w14:textId="258FF9D7">
    <w:pPr>
      <w:pStyle w:val="Heade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CC1148">
      <w:t xml:space="preserve">DA </w:t>
    </w:r>
    <w:r w:rsidR="003D49EA">
      <w:t>20</w:t>
    </w:r>
    <w:r w:rsidR="00CC1148">
      <w:t>-</w:t>
    </w:r>
    <w:r w:rsidR="007F0010">
      <w:t>1490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0E3423E"/>
    <w:multiLevelType w:val="hybridMultilevel"/>
    <w:tmpl w:val="982C3492"/>
    <w:lvl w:ilvl="0">
      <w:start w:val="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3E06E8"/>
    <w:multiLevelType w:val="hybridMultilevel"/>
    <w:tmpl w:val="D9A4E7EE"/>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29058F4"/>
    <w:multiLevelType w:val="hybridMultilevel"/>
    <w:tmpl w:val="F732C35A"/>
    <w:lvl w:ilvl="0">
      <w:start w:val="3"/>
      <w:numFmt w:val="bullet"/>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36F59EB"/>
    <w:multiLevelType w:val="hybridMultilevel"/>
    <w:tmpl w:val="62665DA2"/>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0BA58EE"/>
    <w:multiLevelType w:val="hybridMultilevel"/>
    <w:tmpl w:val="E8FEF7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8"/>
    <w:lvlOverride w:ilvl="0">
      <w:startOverride w:val="1"/>
    </w:lvlOverride>
  </w:num>
  <w:num w:numId="8">
    <w:abstractNumId w:val="8"/>
  </w:num>
  <w:num w:numId="9">
    <w:abstractNumId w:val="8"/>
    <w:lvlOverride w:ilvl="0">
      <w:startOverride w:val="1"/>
    </w:lvlOverride>
  </w:num>
  <w:num w:numId="10">
    <w:abstractNumId w:val="4"/>
  </w:num>
  <w:num w:numId="11">
    <w:abstractNumId w:val="9"/>
  </w:num>
  <w:num w:numId="12">
    <w:abstractNumId w:val="10"/>
  </w:num>
  <w:num w:numId="13">
    <w:abstractNumId w:val="8"/>
    <w:lvlOverride w:ilvl="0">
      <w:startOverride w:val="1"/>
    </w:lvlOverride>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0E"/>
    <w:rsid w:val="00001669"/>
    <w:rsid w:val="0001214B"/>
    <w:rsid w:val="00017255"/>
    <w:rsid w:val="00027390"/>
    <w:rsid w:val="00027882"/>
    <w:rsid w:val="000304BF"/>
    <w:rsid w:val="00036039"/>
    <w:rsid w:val="0003687F"/>
    <w:rsid w:val="00037F90"/>
    <w:rsid w:val="00045C8E"/>
    <w:rsid w:val="000521D1"/>
    <w:rsid w:val="000747B0"/>
    <w:rsid w:val="000777CF"/>
    <w:rsid w:val="00080632"/>
    <w:rsid w:val="0008216F"/>
    <w:rsid w:val="000872EB"/>
    <w:rsid w:val="000875BF"/>
    <w:rsid w:val="000900A0"/>
    <w:rsid w:val="000947EA"/>
    <w:rsid w:val="00096D8C"/>
    <w:rsid w:val="00097003"/>
    <w:rsid w:val="000A25C3"/>
    <w:rsid w:val="000A329D"/>
    <w:rsid w:val="000A6A8D"/>
    <w:rsid w:val="000C0B65"/>
    <w:rsid w:val="000D0B9F"/>
    <w:rsid w:val="000D18CD"/>
    <w:rsid w:val="000D3F51"/>
    <w:rsid w:val="000D4733"/>
    <w:rsid w:val="000D478A"/>
    <w:rsid w:val="000D6C63"/>
    <w:rsid w:val="000E059A"/>
    <w:rsid w:val="000E05FE"/>
    <w:rsid w:val="000E23C4"/>
    <w:rsid w:val="000E3D42"/>
    <w:rsid w:val="000F3C5F"/>
    <w:rsid w:val="000F5CFC"/>
    <w:rsid w:val="0010149F"/>
    <w:rsid w:val="00101809"/>
    <w:rsid w:val="00101CDE"/>
    <w:rsid w:val="00104DFD"/>
    <w:rsid w:val="00106743"/>
    <w:rsid w:val="001070AD"/>
    <w:rsid w:val="0011000E"/>
    <w:rsid w:val="00122BD5"/>
    <w:rsid w:val="00122DEF"/>
    <w:rsid w:val="001261CF"/>
    <w:rsid w:val="00132F45"/>
    <w:rsid w:val="00133F79"/>
    <w:rsid w:val="00136CAD"/>
    <w:rsid w:val="001472A4"/>
    <w:rsid w:val="00147709"/>
    <w:rsid w:val="00151000"/>
    <w:rsid w:val="00155FB5"/>
    <w:rsid w:val="00157B2D"/>
    <w:rsid w:val="00160DC2"/>
    <w:rsid w:val="0016655F"/>
    <w:rsid w:val="00170D2F"/>
    <w:rsid w:val="001711E4"/>
    <w:rsid w:val="00171FE2"/>
    <w:rsid w:val="00185E52"/>
    <w:rsid w:val="00191ABB"/>
    <w:rsid w:val="00192678"/>
    <w:rsid w:val="00192B8E"/>
    <w:rsid w:val="0019323A"/>
    <w:rsid w:val="00194360"/>
    <w:rsid w:val="00194A66"/>
    <w:rsid w:val="00194C9B"/>
    <w:rsid w:val="001A02D2"/>
    <w:rsid w:val="001A4F80"/>
    <w:rsid w:val="001B2A20"/>
    <w:rsid w:val="001B2D4A"/>
    <w:rsid w:val="001B535F"/>
    <w:rsid w:val="001B5D61"/>
    <w:rsid w:val="001C0B3D"/>
    <w:rsid w:val="001C2A72"/>
    <w:rsid w:val="001C6178"/>
    <w:rsid w:val="001C69DA"/>
    <w:rsid w:val="001D365E"/>
    <w:rsid w:val="001D4AF3"/>
    <w:rsid w:val="001D544F"/>
    <w:rsid w:val="001D6BCF"/>
    <w:rsid w:val="001E01CA"/>
    <w:rsid w:val="001E0BAF"/>
    <w:rsid w:val="001E22FB"/>
    <w:rsid w:val="001E6268"/>
    <w:rsid w:val="001F126E"/>
    <w:rsid w:val="001F26A1"/>
    <w:rsid w:val="002009F4"/>
    <w:rsid w:val="002067E5"/>
    <w:rsid w:val="0020724B"/>
    <w:rsid w:val="002072AD"/>
    <w:rsid w:val="00223BE1"/>
    <w:rsid w:val="00223CDC"/>
    <w:rsid w:val="002301DB"/>
    <w:rsid w:val="00235922"/>
    <w:rsid w:val="00240322"/>
    <w:rsid w:val="00245F5A"/>
    <w:rsid w:val="00253956"/>
    <w:rsid w:val="002549A3"/>
    <w:rsid w:val="00260CA5"/>
    <w:rsid w:val="0026608F"/>
    <w:rsid w:val="00267B75"/>
    <w:rsid w:val="002704E0"/>
    <w:rsid w:val="00275CF5"/>
    <w:rsid w:val="00282952"/>
    <w:rsid w:val="0028301F"/>
    <w:rsid w:val="00285017"/>
    <w:rsid w:val="00285643"/>
    <w:rsid w:val="00286C4F"/>
    <w:rsid w:val="002913F2"/>
    <w:rsid w:val="00295F92"/>
    <w:rsid w:val="00296049"/>
    <w:rsid w:val="002973BE"/>
    <w:rsid w:val="002974C6"/>
    <w:rsid w:val="002A2D2E"/>
    <w:rsid w:val="002C00E8"/>
    <w:rsid w:val="002C09D3"/>
    <w:rsid w:val="002C3064"/>
    <w:rsid w:val="002C5051"/>
    <w:rsid w:val="002C6FF4"/>
    <w:rsid w:val="002D5322"/>
    <w:rsid w:val="002D7ADF"/>
    <w:rsid w:val="002D7E1D"/>
    <w:rsid w:val="002E166D"/>
    <w:rsid w:val="002E5A08"/>
    <w:rsid w:val="002F1B0F"/>
    <w:rsid w:val="002F26E1"/>
    <w:rsid w:val="002F4019"/>
    <w:rsid w:val="002F761C"/>
    <w:rsid w:val="003026FA"/>
    <w:rsid w:val="00304FC0"/>
    <w:rsid w:val="0031230E"/>
    <w:rsid w:val="0031291C"/>
    <w:rsid w:val="00320E07"/>
    <w:rsid w:val="0032188D"/>
    <w:rsid w:val="00326F5A"/>
    <w:rsid w:val="00331F27"/>
    <w:rsid w:val="00335BEF"/>
    <w:rsid w:val="00343749"/>
    <w:rsid w:val="00344C0B"/>
    <w:rsid w:val="00345FA6"/>
    <w:rsid w:val="0035667E"/>
    <w:rsid w:val="00360FAF"/>
    <w:rsid w:val="003623AC"/>
    <w:rsid w:val="003660ED"/>
    <w:rsid w:val="00366923"/>
    <w:rsid w:val="00381E4A"/>
    <w:rsid w:val="00382326"/>
    <w:rsid w:val="003863F6"/>
    <w:rsid w:val="003927BA"/>
    <w:rsid w:val="00394EB8"/>
    <w:rsid w:val="00397300"/>
    <w:rsid w:val="00397EED"/>
    <w:rsid w:val="003A0085"/>
    <w:rsid w:val="003A00C1"/>
    <w:rsid w:val="003A6F33"/>
    <w:rsid w:val="003B0550"/>
    <w:rsid w:val="003B62FE"/>
    <w:rsid w:val="003B694F"/>
    <w:rsid w:val="003C1DD1"/>
    <w:rsid w:val="003C5A95"/>
    <w:rsid w:val="003C79BF"/>
    <w:rsid w:val="003D2D75"/>
    <w:rsid w:val="003D30EF"/>
    <w:rsid w:val="003D49EA"/>
    <w:rsid w:val="003D4A6D"/>
    <w:rsid w:val="003D5081"/>
    <w:rsid w:val="003D6A03"/>
    <w:rsid w:val="003E0652"/>
    <w:rsid w:val="003E1581"/>
    <w:rsid w:val="003E6747"/>
    <w:rsid w:val="003E7A01"/>
    <w:rsid w:val="003F171C"/>
    <w:rsid w:val="0040397B"/>
    <w:rsid w:val="004067F1"/>
    <w:rsid w:val="0040714A"/>
    <w:rsid w:val="00410DF2"/>
    <w:rsid w:val="00411259"/>
    <w:rsid w:val="00411555"/>
    <w:rsid w:val="0041289C"/>
    <w:rsid w:val="00412FC5"/>
    <w:rsid w:val="004140A0"/>
    <w:rsid w:val="0041675F"/>
    <w:rsid w:val="00417370"/>
    <w:rsid w:val="00417CD9"/>
    <w:rsid w:val="00417F91"/>
    <w:rsid w:val="00422276"/>
    <w:rsid w:val="004227E2"/>
    <w:rsid w:val="004242F1"/>
    <w:rsid w:val="00430832"/>
    <w:rsid w:val="004313C0"/>
    <w:rsid w:val="00435E6A"/>
    <w:rsid w:val="00443C87"/>
    <w:rsid w:val="00445A00"/>
    <w:rsid w:val="004463ED"/>
    <w:rsid w:val="00451B0F"/>
    <w:rsid w:val="00455A65"/>
    <w:rsid w:val="00463ADE"/>
    <w:rsid w:val="0046415B"/>
    <w:rsid w:val="004742DF"/>
    <w:rsid w:val="00474567"/>
    <w:rsid w:val="00476B98"/>
    <w:rsid w:val="00490413"/>
    <w:rsid w:val="004906B1"/>
    <w:rsid w:val="0049571E"/>
    <w:rsid w:val="00496108"/>
    <w:rsid w:val="004A68AF"/>
    <w:rsid w:val="004C2EE3"/>
    <w:rsid w:val="004C3064"/>
    <w:rsid w:val="004D772E"/>
    <w:rsid w:val="004E47F8"/>
    <w:rsid w:val="004E4A22"/>
    <w:rsid w:val="004E4AC4"/>
    <w:rsid w:val="004E5994"/>
    <w:rsid w:val="004E75F1"/>
    <w:rsid w:val="004F64A1"/>
    <w:rsid w:val="004F7587"/>
    <w:rsid w:val="00500EA7"/>
    <w:rsid w:val="005018C1"/>
    <w:rsid w:val="005028AE"/>
    <w:rsid w:val="00511968"/>
    <w:rsid w:val="00511B19"/>
    <w:rsid w:val="00515A5B"/>
    <w:rsid w:val="005235D1"/>
    <w:rsid w:val="005256AD"/>
    <w:rsid w:val="00533165"/>
    <w:rsid w:val="00535CDB"/>
    <w:rsid w:val="005367C8"/>
    <w:rsid w:val="00536BA1"/>
    <w:rsid w:val="00536CFA"/>
    <w:rsid w:val="00537321"/>
    <w:rsid w:val="005403B4"/>
    <w:rsid w:val="00541A16"/>
    <w:rsid w:val="00543FCE"/>
    <w:rsid w:val="00545770"/>
    <w:rsid w:val="005503A7"/>
    <w:rsid w:val="0055614C"/>
    <w:rsid w:val="00557E08"/>
    <w:rsid w:val="005604FD"/>
    <w:rsid w:val="00563C7C"/>
    <w:rsid w:val="005646C2"/>
    <w:rsid w:val="00566D06"/>
    <w:rsid w:val="005703DF"/>
    <w:rsid w:val="005726EA"/>
    <w:rsid w:val="00574994"/>
    <w:rsid w:val="00575518"/>
    <w:rsid w:val="00576CCB"/>
    <w:rsid w:val="0058050A"/>
    <w:rsid w:val="00584728"/>
    <w:rsid w:val="00590C18"/>
    <w:rsid w:val="005911EB"/>
    <w:rsid w:val="005A1575"/>
    <w:rsid w:val="005B1230"/>
    <w:rsid w:val="005B205B"/>
    <w:rsid w:val="005B3AD0"/>
    <w:rsid w:val="005B7F99"/>
    <w:rsid w:val="005C0CB4"/>
    <w:rsid w:val="005C1192"/>
    <w:rsid w:val="005C446A"/>
    <w:rsid w:val="005C574C"/>
    <w:rsid w:val="005D0E83"/>
    <w:rsid w:val="005D6975"/>
    <w:rsid w:val="005D7A51"/>
    <w:rsid w:val="005E0524"/>
    <w:rsid w:val="005E0B4D"/>
    <w:rsid w:val="005E0C95"/>
    <w:rsid w:val="005E14C2"/>
    <w:rsid w:val="005F3CC0"/>
    <w:rsid w:val="005F7B42"/>
    <w:rsid w:val="00607BA5"/>
    <w:rsid w:val="00607D35"/>
    <w:rsid w:val="006113EB"/>
    <w:rsid w:val="0061180A"/>
    <w:rsid w:val="00626EB6"/>
    <w:rsid w:val="00627F55"/>
    <w:rsid w:val="00632864"/>
    <w:rsid w:val="00633BD5"/>
    <w:rsid w:val="00633F63"/>
    <w:rsid w:val="006442D6"/>
    <w:rsid w:val="006445D8"/>
    <w:rsid w:val="00655D03"/>
    <w:rsid w:val="0066542D"/>
    <w:rsid w:val="00671AAA"/>
    <w:rsid w:val="00672A41"/>
    <w:rsid w:val="0067783D"/>
    <w:rsid w:val="00683388"/>
    <w:rsid w:val="00683F84"/>
    <w:rsid w:val="00687C81"/>
    <w:rsid w:val="006920AD"/>
    <w:rsid w:val="00695FDF"/>
    <w:rsid w:val="00696332"/>
    <w:rsid w:val="00696A84"/>
    <w:rsid w:val="006A6A81"/>
    <w:rsid w:val="006B10AE"/>
    <w:rsid w:val="006B5B32"/>
    <w:rsid w:val="006C12F6"/>
    <w:rsid w:val="006C1826"/>
    <w:rsid w:val="006C3CEE"/>
    <w:rsid w:val="006C5537"/>
    <w:rsid w:val="006C5AA6"/>
    <w:rsid w:val="006D21FE"/>
    <w:rsid w:val="006D3A58"/>
    <w:rsid w:val="006D55D2"/>
    <w:rsid w:val="006D6FC2"/>
    <w:rsid w:val="006E3160"/>
    <w:rsid w:val="006E4B0E"/>
    <w:rsid w:val="006E4FDF"/>
    <w:rsid w:val="006F7393"/>
    <w:rsid w:val="0070064A"/>
    <w:rsid w:val="0070224F"/>
    <w:rsid w:val="00706257"/>
    <w:rsid w:val="007115F7"/>
    <w:rsid w:val="00712A16"/>
    <w:rsid w:val="00713EDC"/>
    <w:rsid w:val="00714755"/>
    <w:rsid w:val="00726AB4"/>
    <w:rsid w:val="007358CE"/>
    <w:rsid w:val="00740280"/>
    <w:rsid w:val="00754512"/>
    <w:rsid w:val="00764B01"/>
    <w:rsid w:val="00766840"/>
    <w:rsid w:val="0078325E"/>
    <w:rsid w:val="00783A96"/>
    <w:rsid w:val="00785689"/>
    <w:rsid w:val="00793B28"/>
    <w:rsid w:val="00795F63"/>
    <w:rsid w:val="0079610E"/>
    <w:rsid w:val="00796DB9"/>
    <w:rsid w:val="0079754B"/>
    <w:rsid w:val="007A0256"/>
    <w:rsid w:val="007A0E39"/>
    <w:rsid w:val="007A1E6D"/>
    <w:rsid w:val="007A26B8"/>
    <w:rsid w:val="007A3074"/>
    <w:rsid w:val="007A37B0"/>
    <w:rsid w:val="007A4D26"/>
    <w:rsid w:val="007B0EB2"/>
    <w:rsid w:val="007B50B9"/>
    <w:rsid w:val="007B5955"/>
    <w:rsid w:val="007B67A9"/>
    <w:rsid w:val="007B7E46"/>
    <w:rsid w:val="007C1AC4"/>
    <w:rsid w:val="007C6C58"/>
    <w:rsid w:val="007D1664"/>
    <w:rsid w:val="007D22AD"/>
    <w:rsid w:val="007D38BA"/>
    <w:rsid w:val="007D41FF"/>
    <w:rsid w:val="007F0010"/>
    <w:rsid w:val="007F3854"/>
    <w:rsid w:val="007F4028"/>
    <w:rsid w:val="007F664E"/>
    <w:rsid w:val="0080158B"/>
    <w:rsid w:val="008032F3"/>
    <w:rsid w:val="00803AC6"/>
    <w:rsid w:val="00810B6F"/>
    <w:rsid w:val="0081539F"/>
    <w:rsid w:val="00822CE0"/>
    <w:rsid w:val="00826DF8"/>
    <w:rsid w:val="00827808"/>
    <w:rsid w:val="00827D63"/>
    <w:rsid w:val="008332E6"/>
    <w:rsid w:val="0083502C"/>
    <w:rsid w:val="00837F80"/>
    <w:rsid w:val="008403D3"/>
    <w:rsid w:val="00841AB1"/>
    <w:rsid w:val="00855C03"/>
    <w:rsid w:val="008614A5"/>
    <w:rsid w:val="00862F0D"/>
    <w:rsid w:val="00870473"/>
    <w:rsid w:val="0087083F"/>
    <w:rsid w:val="00873E67"/>
    <w:rsid w:val="00876667"/>
    <w:rsid w:val="00882138"/>
    <w:rsid w:val="00882307"/>
    <w:rsid w:val="00882DFF"/>
    <w:rsid w:val="0088685D"/>
    <w:rsid w:val="0089039F"/>
    <w:rsid w:val="00890BED"/>
    <w:rsid w:val="00892D93"/>
    <w:rsid w:val="00892E18"/>
    <w:rsid w:val="008A1F0C"/>
    <w:rsid w:val="008A7C0B"/>
    <w:rsid w:val="008B76BB"/>
    <w:rsid w:val="008C68F1"/>
    <w:rsid w:val="008E45A3"/>
    <w:rsid w:val="008E73D1"/>
    <w:rsid w:val="008F0C06"/>
    <w:rsid w:val="008F2411"/>
    <w:rsid w:val="008F57A9"/>
    <w:rsid w:val="00904FCF"/>
    <w:rsid w:val="00912E85"/>
    <w:rsid w:val="009172C3"/>
    <w:rsid w:val="00921803"/>
    <w:rsid w:val="0092551C"/>
    <w:rsid w:val="00926503"/>
    <w:rsid w:val="00930EAA"/>
    <w:rsid w:val="00936C37"/>
    <w:rsid w:val="00944ACD"/>
    <w:rsid w:val="009530D8"/>
    <w:rsid w:val="00957CA7"/>
    <w:rsid w:val="00964BF3"/>
    <w:rsid w:val="009659AF"/>
    <w:rsid w:val="009726D8"/>
    <w:rsid w:val="0097551F"/>
    <w:rsid w:val="00990B52"/>
    <w:rsid w:val="00992E05"/>
    <w:rsid w:val="00993441"/>
    <w:rsid w:val="009A50D6"/>
    <w:rsid w:val="009B115A"/>
    <w:rsid w:val="009B3FB7"/>
    <w:rsid w:val="009B718A"/>
    <w:rsid w:val="009C687D"/>
    <w:rsid w:val="009D7308"/>
    <w:rsid w:val="009E2084"/>
    <w:rsid w:val="009E69F2"/>
    <w:rsid w:val="009F2905"/>
    <w:rsid w:val="009F76DB"/>
    <w:rsid w:val="009F7FF4"/>
    <w:rsid w:val="00A019AB"/>
    <w:rsid w:val="00A04AFC"/>
    <w:rsid w:val="00A115CD"/>
    <w:rsid w:val="00A140F6"/>
    <w:rsid w:val="00A25FE9"/>
    <w:rsid w:val="00A322E3"/>
    <w:rsid w:val="00A32C3B"/>
    <w:rsid w:val="00A42322"/>
    <w:rsid w:val="00A445BD"/>
    <w:rsid w:val="00A44651"/>
    <w:rsid w:val="00A45F4F"/>
    <w:rsid w:val="00A5087F"/>
    <w:rsid w:val="00A5354F"/>
    <w:rsid w:val="00A600A9"/>
    <w:rsid w:val="00A60E08"/>
    <w:rsid w:val="00A64AE7"/>
    <w:rsid w:val="00A65B4C"/>
    <w:rsid w:val="00A70BAE"/>
    <w:rsid w:val="00A74F3B"/>
    <w:rsid w:val="00A807F5"/>
    <w:rsid w:val="00A83372"/>
    <w:rsid w:val="00AA2301"/>
    <w:rsid w:val="00AA55B7"/>
    <w:rsid w:val="00AA5B9E"/>
    <w:rsid w:val="00AA7C79"/>
    <w:rsid w:val="00AB2407"/>
    <w:rsid w:val="00AB53DF"/>
    <w:rsid w:val="00AB6B50"/>
    <w:rsid w:val="00AC6B31"/>
    <w:rsid w:val="00AD04E4"/>
    <w:rsid w:val="00AD2BB6"/>
    <w:rsid w:val="00AD4FB6"/>
    <w:rsid w:val="00AD5BA5"/>
    <w:rsid w:val="00AD629D"/>
    <w:rsid w:val="00AE151B"/>
    <w:rsid w:val="00AF1890"/>
    <w:rsid w:val="00AF189B"/>
    <w:rsid w:val="00B02104"/>
    <w:rsid w:val="00B06136"/>
    <w:rsid w:val="00B07E5C"/>
    <w:rsid w:val="00B10DF2"/>
    <w:rsid w:val="00B13316"/>
    <w:rsid w:val="00B15718"/>
    <w:rsid w:val="00B22A09"/>
    <w:rsid w:val="00B27CEE"/>
    <w:rsid w:val="00B30C0F"/>
    <w:rsid w:val="00B3338C"/>
    <w:rsid w:val="00B3353D"/>
    <w:rsid w:val="00B33C3A"/>
    <w:rsid w:val="00B37CEF"/>
    <w:rsid w:val="00B63D15"/>
    <w:rsid w:val="00B669D5"/>
    <w:rsid w:val="00B7099A"/>
    <w:rsid w:val="00B75201"/>
    <w:rsid w:val="00B75EC9"/>
    <w:rsid w:val="00B811F7"/>
    <w:rsid w:val="00B815AF"/>
    <w:rsid w:val="00B86064"/>
    <w:rsid w:val="00B922F6"/>
    <w:rsid w:val="00BA1053"/>
    <w:rsid w:val="00BA21B6"/>
    <w:rsid w:val="00BA5DC6"/>
    <w:rsid w:val="00BA6196"/>
    <w:rsid w:val="00BB6211"/>
    <w:rsid w:val="00BB709E"/>
    <w:rsid w:val="00BC189F"/>
    <w:rsid w:val="00BC57A8"/>
    <w:rsid w:val="00BC6D8C"/>
    <w:rsid w:val="00BE4B12"/>
    <w:rsid w:val="00BE664D"/>
    <w:rsid w:val="00C0082D"/>
    <w:rsid w:val="00C07A2A"/>
    <w:rsid w:val="00C12ED9"/>
    <w:rsid w:val="00C20626"/>
    <w:rsid w:val="00C235CD"/>
    <w:rsid w:val="00C276BC"/>
    <w:rsid w:val="00C32A90"/>
    <w:rsid w:val="00C34006"/>
    <w:rsid w:val="00C3699E"/>
    <w:rsid w:val="00C36B4C"/>
    <w:rsid w:val="00C36D9E"/>
    <w:rsid w:val="00C426B1"/>
    <w:rsid w:val="00C45779"/>
    <w:rsid w:val="00C47BDD"/>
    <w:rsid w:val="00C51E9E"/>
    <w:rsid w:val="00C66160"/>
    <w:rsid w:val="00C721AC"/>
    <w:rsid w:val="00C7530A"/>
    <w:rsid w:val="00C77B10"/>
    <w:rsid w:val="00C812D4"/>
    <w:rsid w:val="00C90D6A"/>
    <w:rsid w:val="00C9282C"/>
    <w:rsid w:val="00C93A19"/>
    <w:rsid w:val="00CA247E"/>
    <w:rsid w:val="00CA354A"/>
    <w:rsid w:val="00CA510F"/>
    <w:rsid w:val="00CA6D21"/>
    <w:rsid w:val="00CB17BE"/>
    <w:rsid w:val="00CB5EB9"/>
    <w:rsid w:val="00CC1148"/>
    <w:rsid w:val="00CC1649"/>
    <w:rsid w:val="00CC3527"/>
    <w:rsid w:val="00CC72B6"/>
    <w:rsid w:val="00CD5CA7"/>
    <w:rsid w:val="00CE3743"/>
    <w:rsid w:val="00CE4B3B"/>
    <w:rsid w:val="00CE61AD"/>
    <w:rsid w:val="00CF32DC"/>
    <w:rsid w:val="00D0218D"/>
    <w:rsid w:val="00D0415D"/>
    <w:rsid w:val="00D04282"/>
    <w:rsid w:val="00D057B1"/>
    <w:rsid w:val="00D1086C"/>
    <w:rsid w:val="00D13282"/>
    <w:rsid w:val="00D14B96"/>
    <w:rsid w:val="00D24859"/>
    <w:rsid w:val="00D25FB5"/>
    <w:rsid w:val="00D27046"/>
    <w:rsid w:val="00D27FEC"/>
    <w:rsid w:val="00D31977"/>
    <w:rsid w:val="00D43840"/>
    <w:rsid w:val="00D44223"/>
    <w:rsid w:val="00D44600"/>
    <w:rsid w:val="00D5082C"/>
    <w:rsid w:val="00D51970"/>
    <w:rsid w:val="00D63C94"/>
    <w:rsid w:val="00D82BB5"/>
    <w:rsid w:val="00D85968"/>
    <w:rsid w:val="00D91BC2"/>
    <w:rsid w:val="00D92228"/>
    <w:rsid w:val="00D939F6"/>
    <w:rsid w:val="00DA12D0"/>
    <w:rsid w:val="00DA1416"/>
    <w:rsid w:val="00DA2529"/>
    <w:rsid w:val="00DA6EEE"/>
    <w:rsid w:val="00DA7765"/>
    <w:rsid w:val="00DB130A"/>
    <w:rsid w:val="00DB1B28"/>
    <w:rsid w:val="00DB1D3B"/>
    <w:rsid w:val="00DB21EB"/>
    <w:rsid w:val="00DB2EBB"/>
    <w:rsid w:val="00DC0590"/>
    <w:rsid w:val="00DC10A1"/>
    <w:rsid w:val="00DC2B49"/>
    <w:rsid w:val="00DC655F"/>
    <w:rsid w:val="00DC78B1"/>
    <w:rsid w:val="00DD0B59"/>
    <w:rsid w:val="00DD3451"/>
    <w:rsid w:val="00DD4A87"/>
    <w:rsid w:val="00DD7EBD"/>
    <w:rsid w:val="00DE2559"/>
    <w:rsid w:val="00DE7F58"/>
    <w:rsid w:val="00DF0C6A"/>
    <w:rsid w:val="00DF5A84"/>
    <w:rsid w:val="00DF62B6"/>
    <w:rsid w:val="00E002B8"/>
    <w:rsid w:val="00E00F0A"/>
    <w:rsid w:val="00E0313E"/>
    <w:rsid w:val="00E03BA0"/>
    <w:rsid w:val="00E07225"/>
    <w:rsid w:val="00E1009A"/>
    <w:rsid w:val="00E27FF4"/>
    <w:rsid w:val="00E428D6"/>
    <w:rsid w:val="00E42B9E"/>
    <w:rsid w:val="00E47937"/>
    <w:rsid w:val="00E5409F"/>
    <w:rsid w:val="00E54587"/>
    <w:rsid w:val="00E54F25"/>
    <w:rsid w:val="00E57390"/>
    <w:rsid w:val="00E60BE5"/>
    <w:rsid w:val="00E61EEF"/>
    <w:rsid w:val="00E6281B"/>
    <w:rsid w:val="00E65BE2"/>
    <w:rsid w:val="00E66A96"/>
    <w:rsid w:val="00E75FE1"/>
    <w:rsid w:val="00E77561"/>
    <w:rsid w:val="00E8664C"/>
    <w:rsid w:val="00E90BAB"/>
    <w:rsid w:val="00E93556"/>
    <w:rsid w:val="00EA5080"/>
    <w:rsid w:val="00EA5230"/>
    <w:rsid w:val="00EB3596"/>
    <w:rsid w:val="00EB463A"/>
    <w:rsid w:val="00EC0122"/>
    <w:rsid w:val="00EC43EE"/>
    <w:rsid w:val="00EC7250"/>
    <w:rsid w:val="00EC7CB3"/>
    <w:rsid w:val="00ED24C8"/>
    <w:rsid w:val="00EE6488"/>
    <w:rsid w:val="00EF50F1"/>
    <w:rsid w:val="00EF68DB"/>
    <w:rsid w:val="00EF7047"/>
    <w:rsid w:val="00F021FA"/>
    <w:rsid w:val="00F02689"/>
    <w:rsid w:val="00F02D4E"/>
    <w:rsid w:val="00F0357B"/>
    <w:rsid w:val="00F11BB9"/>
    <w:rsid w:val="00F25FA6"/>
    <w:rsid w:val="00F33C3B"/>
    <w:rsid w:val="00F3454D"/>
    <w:rsid w:val="00F42460"/>
    <w:rsid w:val="00F440C6"/>
    <w:rsid w:val="00F44D15"/>
    <w:rsid w:val="00F46125"/>
    <w:rsid w:val="00F46D7B"/>
    <w:rsid w:val="00F57E02"/>
    <w:rsid w:val="00F62E97"/>
    <w:rsid w:val="00F64209"/>
    <w:rsid w:val="00F667A1"/>
    <w:rsid w:val="00F66B03"/>
    <w:rsid w:val="00F745FA"/>
    <w:rsid w:val="00F87D40"/>
    <w:rsid w:val="00F91082"/>
    <w:rsid w:val="00F93BF5"/>
    <w:rsid w:val="00FA101A"/>
    <w:rsid w:val="00FB046D"/>
    <w:rsid w:val="00FB053C"/>
    <w:rsid w:val="00FB1071"/>
    <w:rsid w:val="00FB6793"/>
    <w:rsid w:val="00FC2411"/>
    <w:rsid w:val="00FC7108"/>
    <w:rsid w:val="00FD0371"/>
    <w:rsid w:val="00FD065D"/>
    <w:rsid w:val="00FD2BB0"/>
    <w:rsid w:val="00FD76C7"/>
    <w:rsid w:val="00FE3DA9"/>
    <w:rsid w:val="00FE3EC2"/>
    <w:rsid w:val="00FE4DD9"/>
    <w:rsid w:val="00FF3856"/>
    <w:rsid w:val="00FF56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EB4DBB-A688-4C7C-AE34-025C56E8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155F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155FB5"/>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155FB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155FB5"/>
    <w:pPr>
      <w:keepNext/>
      <w:numPr>
        <w:ilvl w:val="3"/>
        <w:numId w:val="3"/>
      </w:numPr>
      <w:tabs>
        <w:tab w:val="left" w:pos="2880"/>
      </w:tabs>
      <w:spacing w:after="120"/>
      <w:outlineLvl w:val="3"/>
    </w:pPr>
    <w:rPr>
      <w:b/>
    </w:rPr>
  </w:style>
  <w:style w:type="paragraph" w:styleId="Heading5">
    <w:name w:val="heading 5"/>
    <w:basedOn w:val="Normal"/>
    <w:next w:val="ParaNum"/>
    <w:qFormat/>
    <w:rsid w:val="00155FB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55FB5"/>
    <w:pPr>
      <w:numPr>
        <w:ilvl w:val="5"/>
        <w:numId w:val="3"/>
      </w:numPr>
      <w:tabs>
        <w:tab w:val="left" w:pos="4320"/>
      </w:tabs>
      <w:spacing w:after="120"/>
      <w:outlineLvl w:val="5"/>
    </w:pPr>
    <w:rPr>
      <w:b/>
    </w:rPr>
  </w:style>
  <w:style w:type="paragraph" w:styleId="Heading7">
    <w:name w:val="heading 7"/>
    <w:basedOn w:val="Normal"/>
    <w:next w:val="ParaNum"/>
    <w:qFormat/>
    <w:rsid w:val="00155F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5FB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55F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5F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5FB5"/>
  </w:style>
  <w:style w:type="paragraph" w:customStyle="1" w:styleId="ParaNum">
    <w:name w:val="ParaNum"/>
    <w:basedOn w:val="Normal"/>
    <w:link w:val="ParaNumCharChar1"/>
    <w:rsid w:val="00155FB5"/>
    <w:pPr>
      <w:numPr>
        <w:numId w:val="2"/>
      </w:numPr>
      <w:tabs>
        <w:tab w:val="clear" w:pos="1080"/>
        <w:tab w:val="num" w:pos="1440"/>
      </w:tabs>
      <w:spacing w:after="120"/>
    </w:pPr>
  </w:style>
  <w:style w:type="paragraph" w:styleId="EndnoteText">
    <w:name w:val="endnote text"/>
    <w:basedOn w:val="Normal"/>
    <w:semiHidden/>
    <w:rsid w:val="00155FB5"/>
    <w:rPr>
      <w:sz w:val="20"/>
    </w:rPr>
  </w:style>
  <w:style w:type="character" w:styleId="EndnoteReference">
    <w:name w:val="endnote reference"/>
    <w:semiHidden/>
    <w:rsid w:val="00155FB5"/>
    <w:rPr>
      <w:vertAlign w:val="superscript"/>
    </w:rPr>
  </w:style>
  <w:style w:type="paragraph" w:styleId="FootnoteText">
    <w:name w:val="footnote text"/>
    <w:aliases w:val="ALTS FOOTNOTE,ALTS FOOTNOTE Char Char,ALTS FOOTNOTE Char1,Footnote Text Char Char,Footnote Text Char Char Char Char,Footnote Text Char1 Char Char,Footnote Text Char2,Footnote Text Char2 Char Char Char Char,f,fn,fn ,fn Char Char,fn Char1"/>
    <w:link w:val="FootnoteTextChar"/>
    <w:rsid w:val="00155FB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55FB5"/>
    <w:rPr>
      <w:rFonts w:ascii="Times New Roman" w:hAnsi="Times New Roman"/>
      <w:dstrike w:val="0"/>
      <w:color w:val="auto"/>
      <w:sz w:val="20"/>
      <w:vertAlign w:val="superscript"/>
    </w:rPr>
  </w:style>
  <w:style w:type="paragraph" w:styleId="TOC1">
    <w:name w:val="toc 1"/>
    <w:basedOn w:val="Normal"/>
    <w:next w:val="Normal"/>
    <w:semiHidden/>
    <w:rsid w:val="00155F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5FB5"/>
    <w:pPr>
      <w:tabs>
        <w:tab w:val="left" w:pos="720"/>
        <w:tab w:val="right" w:leader="dot" w:pos="9360"/>
      </w:tabs>
      <w:suppressAutoHyphens/>
      <w:ind w:left="720" w:right="720" w:hanging="360"/>
    </w:pPr>
    <w:rPr>
      <w:noProof/>
    </w:rPr>
  </w:style>
  <w:style w:type="paragraph" w:styleId="TOC3">
    <w:name w:val="toc 3"/>
    <w:basedOn w:val="Normal"/>
    <w:next w:val="Normal"/>
    <w:semiHidden/>
    <w:rsid w:val="00155F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5F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5F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5F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5F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5F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5F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5FB5"/>
    <w:pPr>
      <w:tabs>
        <w:tab w:val="right" w:pos="9360"/>
      </w:tabs>
      <w:suppressAutoHyphens/>
    </w:pPr>
  </w:style>
  <w:style w:type="character" w:customStyle="1" w:styleId="EquationCaption">
    <w:name w:val="_Equation Caption"/>
    <w:rsid w:val="00155FB5"/>
  </w:style>
  <w:style w:type="paragraph" w:styleId="Header">
    <w:name w:val="header"/>
    <w:basedOn w:val="Normal"/>
    <w:link w:val="HeaderChar"/>
    <w:autoRedefine/>
    <w:rsid w:val="00155FB5"/>
    <w:pPr>
      <w:tabs>
        <w:tab w:val="center" w:pos="4680"/>
        <w:tab w:val="right" w:pos="9360"/>
      </w:tabs>
    </w:pPr>
    <w:rPr>
      <w:b/>
    </w:rPr>
  </w:style>
  <w:style w:type="paragraph" w:styleId="Footer">
    <w:name w:val="footer"/>
    <w:basedOn w:val="Normal"/>
    <w:link w:val="FooterChar"/>
    <w:uiPriority w:val="99"/>
    <w:rsid w:val="00155FB5"/>
    <w:pPr>
      <w:tabs>
        <w:tab w:val="center" w:pos="4320"/>
        <w:tab w:val="right" w:pos="8640"/>
      </w:tabs>
    </w:pPr>
  </w:style>
  <w:style w:type="character" w:styleId="PageNumber">
    <w:name w:val="page number"/>
    <w:basedOn w:val="DefaultParagraphFont"/>
    <w:rsid w:val="00155FB5"/>
  </w:style>
  <w:style w:type="paragraph" w:styleId="BlockText">
    <w:name w:val="Block Text"/>
    <w:basedOn w:val="Normal"/>
    <w:rsid w:val="00155FB5"/>
    <w:pPr>
      <w:spacing w:after="240"/>
      <w:ind w:left="1440" w:right="1440"/>
    </w:pPr>
  </w:style>
  <w:style w:type="paragraph" w:customStyle="1" w:styleId="Paratitle">
    <w:name w:val="Para title"/>
    <w:basedOn w:val="Normal"/>
    <w:rsid w:val="00155FB5"/>
    <w:pPr>
      <w:tabs>
        <w:tab w:val="center" w:pos="9270"/>
      </w:tabs>
      <w:spacing w:after="240"/>
    </w:pPr>
    <w:rPr>
      <w:spacing w:val="-2"/>
    </w:rPr>
  </w:style>
  <w:style w:type="paragraph" w:customStyle="1" w:styleId="Bullet">
    <w:name w:val="Bullet"/>
    <w:basedOn w:val="Normal"/>
    <w:rsid w:val="00155FB5"/>
    <w:pPr>
      <w:tabs>
        <w:tab w:val="left" w:pos="2160"/>
      </w:tabs>
      <w:spacing w:after="220"/>
      <w:ind w:left="2160" w:hanging="720"/>
    </w:pPr>
  </w:style>
  <w:style w:type="paragraph" w:customStyle="1" w:styleId="TableFormat">
    <w:name w:val="TableFormat"/>
    <w:basedOn w:val="Bullet"/>
    <w:rsid w:val="00155FB5"/>
    <w:pPr>
      <w:tabs>
        <w:tab w:val="clear" w:pos="2160"/>
        <w:tab w:val="left" w:pos="5040"/>
      </w:tabs>
      <w:ind w:left="5040" w:hanging="3600"/>
    </w:pPr>
  </w:style>
  <w:style w:type="paragraph" w:customStyle="1" w:styleId="TOCTitle">
    <w:name w:val="TOC Title"/>
    <w:basedOn w:val="Normal"/>
    <w:rsid w:val="00155F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5FB5"/>
    <w:pPr>
      <w:jc w:val="center"/>
    </w:pPr>
    <w:rPr>
      <w:rFonts w:ascii="Times New Roman Bold" w:hAnsi="Times New Roman Bold"/>
      <w:b/>
      <w:bCs/>
      <w:caps/>
      <w:szCs w:val="22"/>
    </w:rPr>
  </w:style>
  <w:style w:type="character" w:styleId="Hyperlink">
    <w:name w:val="Hyperlink"/>
    <w:rsid w:val="00155FB5"/>
    <w:rPr>
      <w:color w:val="0000FF"/>
      <w:u w:val="single"/>
    </w:rPr>
  </w:style>
  <w:style w:type="character" w:customStyle="1" w:styleId="FooterChar">
    <w:name w:val="Footer Char"/>
    <w:link w:val="Footer"/>
    <w:uiPriority w:val="99"/>
    <w:rsid w:val="00155FB5"/>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31230E"/>
    <w:rPr>
      <w:rFonts w:ascii="Times New Roman Bold" w:hAnsi="Times New Roman Bold"/>
      <w:b/>
      <w:caps/>
      <w:snapToGrid w:val="0"/>
      <w:kern w:val="28"/>
      <w:sz w:val="22"/>
    </w:rPr>
  </w:style>
  <w:style w:type="character" w:customStyle="1" w:styleId="FootnoteTextChar">
    <w:name w:val="Footnote Text Char"/>
    <w:aliases w:val="ALTS FOOTNOTE Char,ALTS FOOTNOTE Char Char Char,ALTS FOOTNOTE Char1 Char,Footnote Text Char Char Char,Footnote Text Char Char Char Char Char,Footnote Text Char1 Char Char Char,Footnote Text Char2 Char,f Char,fn  Char,fn Char"/>
    <w:link w:val="FootnoteText"/>
    <w:rsid w:val="0031230E"/>
  </w:style>
  <w:style w:type="character" w:styleId="CommentReference">
    <w:name w:val="annotation reference"/>
    <w:rsid w:val="0031230E"/>
    <w:rPr>
      <w:sz w:val="16"/>
      <w:szCs w:val="16"/>
    </w:rPr>
  </w:style>
  <w:style w:type="paragraph" w:styleId="CommentText">
    <w:name w:val="annotation text"/>
    <w:basedOn w:val="Normal"/>
    <w:link w:val="CommentTextChar"/>
    <w:uiPriority w:val="99"/>
    <w:rsid w:val="0031230E"/>
    <w:rPr>
      <w:sz w:val="20"/>
    </w:rPr>
  </w:style>
  <w:style w:type="character" w:customStyle="1" w:styleId="CommentTextChar">
    <w:name w:val="Comment Text Char"/>
    <w:link w:val="CommentText"/>
    <w:uiPriority w:val="99"/>
    <w:rsid w:val="0031230E"/>
    <w:rPr>
      <w:snapToGrid w:val="0"/>
      <w:kern w:val="28"/>
    </w:rPr>
  </w:style>
  <w:style w:type="character" w:customStyle="1" w:styleId="ParaNumCharChar1">
    <w:name w:val="ParaNum Char Char1"/>
    <w:link w:val="ParaNum"/>
    <w:locked/>
    <w:rsid w:val="0031230E"/>
    <w:rPr>
      <w:snapToGrid w:val="0"/>
      <w:kern w:val="28"/>
      <w:sz w:val="22"/>
    </w:rPr>
  </w:style>
  <w:style w:type="paragraph" w:styleId="BalloonText">
    <w:name w:val="Balloon Text"/>
    <w:basedOn w:val="Normal"/>
    <w:link w:val="BalloonTextChar"/>
    <w:rsid w:val="0031230E"/>
    <w:rPr>
      <w:rFonts w:ascii="Segoe UI" w:hAnsi="Segoe UI" w:cs="Segoe UI"/>
      <w:sz w:val="18"/>
      <w:szCs w:val="18"/>
    </w:rPr>
  </w:style>
  <w:style w:type="character" w:customStyle="1" w:styleId="BalloonTextChar">
    <w:name w:val="Balloon Text Char"/>
    <w:link w:val="BalloonText"/>
    <w:rsid w:val="0031230E"/>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20724B"/>
    <w:rPr>
      <w:b/>
      <w:bCs/>
    </w:rPr>
  </w:style>
  <w:style w:type="character" w:customStyle="1" w:styleId="CommentSubjectChar">
    <w:name w:val="Comment Subject Char"/>
    <w:link w:val="CommentSubject"/>
    <w:rsid w:val="0020724B"/>
    <w:rPr>
      <w:b/>
      <w:bCs/>
      <w:snapToGrid w:val="0"/>
      <w:kern w:val="28"/>
    </w:rPr>
  </w:style>
  <w:style w:type="paragraph" w:styleId="Revision">
    <w:name w:val="Revision"/>
    <w:hidden/>
    <w:uiPriority w:val="99"/>
    <w:semiHidden/>
    <w:rsid w:val="00F44D15"/>
    <w:rPr>
      <w:snapToGrid w:val="0"/>
      <w:kern w:val="28"/>
      <w:sz w:val="22"/>
    </w:rPr>
  </w:style>
  <w:style w:type="paragraph" w:customStyle="1" w:styleId="Default">
    <w:name w:val="Default"/>
    <w:rsid w:val="00BB621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326F5A"/>
    <w:rPr>
      <w:color w:val="605E5C"/>
      <w:shd w:val="clear" w:color="auto" w:fill="E1DFDD"/>
    </w:rPr>
  </w:style>
  <w:style w:type="character" w:customStyle="1" w:styleId="HeaderChar">
    <w:name w:val="Header Char"/>
    <w:basedOn w:val="DefaultParagraphFont"/>
    <w:link w:val="Header"/>
    <w:rsid w:val="008032F3"/>
    <w:rPr>
      <w:b/>
      <w:snapToGrid w:val="0"/>
      <w:kern w:val="28"/>
      <w:sz w:val="22"/>
    </w:rPr>
  </w:style>
  <w:style w:type="character" w:customStyle="1" w:styleId="UnresolvedMention">
    <w:name w:val="Unresolved Mention"/>
    <w:basedOn w:val="DefaultParagraphFont"/>
    <w:rsid w:val="00B30C0F"/>
    <w:rPr>
      <w:color w:val="605E5C"/>
      <w:shd w:val="clear" w:color="auto" w:fill="E1DFDD"/>
    </w:rPr>
  </w:style>
  <w:style w:type="paragraph" w:styleId="ListParagraph">
    <w:name w:val="List Paragraph"/>
    <w:basedOn w:val="Normal"/>
    <w:uiPriority w:val="34"/>
    <w:qFormat/>
    <w:rsid w:val="00E57390"/>
    <w:pPr>
      <w:ind w:left="720"/>
      <w:contextualSpacing/>
    </w:pPr>
  </w:style>
  <w:style w:type="character" w:styleId="FollowedHyperlink">
    <w:name w:val="FollowedHyperlink"/>
    <w:basedOn w:val="DefaultParagraphFont"/>
    <w:semiHidden/>
    <w:unhideWhenUsed/>
    <w:rsid w:val="00F42460"/>
    <w:rPr>
      <w:color w:val="954F72" w:themeColor="followedHyperlink"/>
      <w:u w:val="single"/>
    </w:rPr>
  </w:style>
  <w:style w:type="character" w:customStyle="1" w:styleId="num">
    <w:name w:val="num"/>
    <w:basedOn w:val="DefaultParagraphFont"/>
    <w:rsid w:val="003E6747"/>
  </w:style>
  <w:style w:type="character" w:customStyle="1" w:styleId="heading">
    <w:name w:val="heading"/>
    <w:basedOn w:val="DefaultParagraphFont"/>
    <w:rsid w:val="003E6747"/>
  </w:style>
  <w:style w:type="paragraph" w:styleId="NormalWeb">
    <w:name w:val="Normal (Web)"/>
    <w:basedOn w:val="Normal"/>
    <w:uiPriority w:val="99"/>
    <w:semiHidden/>
    <w:unhideWhenUsed/>
    <w:rsid w:val="003E6747"/>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D:\Users\Shannon.Lipp\AppData\Local\Microsoft\Windows\INetCache\Content.Outlook\4MMPGIGM\fcc504@fcc.gov" TargetMode="External" /><Relationship Id="rId6" Type="http://schemas.openxmlformats.org/officeDocument/2006/relationships/hyperlink" Target="mailto:shannon.lipp@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ba.gov/sites/default/files/advocacy/How-to-Comply-with-the-RFA-WEB.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