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C36484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97F802C" w14:textId="77777777">
      <w:pPr>
        <w:pStyle w:val="StyleBoldCentered"/>
      </w:pPr>
      <w:r>
        <w:t>F</w:t>
      </w:r>
      <w:r>
        <w:rPr>
          <w:caps w:val="0"/>
        </w:rPr>
        <w:t>ederal Communications Commission</w:t>
      </w:r>
    </w:p>
    <w:p w:rsidR="004C2EE3" w:rsidP="00096D8C" w14:paraId="4B64CA30" w14:textId="77777777">
      <w:pPr>
        <w:pStyle w:val="StyleBoldCentered"/>
      </w:pPr>
      <w:r>
        <w:rPr>
          <w:caps w:val="0"/>
        </w:rPr>
        <w:t>Washington, D.C. 20554</w:t>
      </w:r>
    </w:p>
    <w:p w:rsidR="004C2EE3" w:rsidP="0070224F" w14:paraId="74AD61BC" w14:textId="77777777"/>
    <w:p w:rsidR="004C2EE3" w:rsidP="0070224F" w14:paraId="3A8B6262" w14:textId="77777777"/>
    <w:tbl>
      <w:tblPr>
        <w:tblW w:w="0" w:type="auto"/>
        <w:tblLayout w:type="fixed"/>
        <w:tblLook w:val="0000"/>
      </w:tblPr>
      <w:tblGrid>
        <w:gridCol w:w="4698"/>
        <w:gridCol w:w="630"/>
        <w:gridCol w:w="4248"/>
      </w:tblGrid>
      <w:tr w14:paraId="6CAAC957" w14:textId="77777777">
        <w:tblPrEx>
          <w:tblW w:w="0" w:type="auto"/>
          <w:tblLayout w:type="fixed"/>
          <w:tblLook w:val="0000"/>
        </w:tblPrEx>
        <w:tc>
          <w:tcPr>
            <w:tcW w:w="4698" w:type="dxa"/>
          </w:tcPr>
          <w:p w:rsidR="004C2EE3" w14:paraId="104A1176" w14:textId="77777777">
            <w:pPr>
              <w:tabs>
                <w:tab w:val="center" w:pos="4680"/>
              </w:tabs>
              <w:suppressAutoHyphens/>
              <w:rPr>
                <w:spacing w:val="-2"/>
              </w:rPr>
            </w:pPr>
            <w:r>
              <w:rPr>
                <w:spacing w:val="-2"/>
              </w:rPr>
              <w:t>In the Matter of</w:t>
            </w:r>
          </w:p>
          <w:p w:rsidR="004C2EE3" w14:paraId="048C96C4" w14:textId="77777777">
            <w:pPr>
              <w:tabs>
                <w:tab w:val="center" w:pos="4680"/>
              </w:tabs>
              <w:suppressAutoHyphens/>
              <w:rPr>
                <w:spacing w:val="-2"/>
              </w:rPr>
            </w:pPr>
          </w:p>
          <w:p w:rsidR="004C2EE3" w:rsidP="007115F7" w14:paraId="747D0E03" w14:textId="77777777">
            <w:pPr>
              <w:tabs>
                <w:tab w:val="center" w:pos="4680"/>
              </w:tabs>
              <w:suppressAutoHyphens/>
              <w:rPr>
                <w:spacing w:val="-2"/>
              </w:rPr>
            </w:pPr>
            <w:r>
              <w:rPr>
                <w:spacing w:val="-2"/>
              </w:rPr>
              <w:t>Spectrum Five LLC</w:t>
            </w:r>
          </w:p>
          <w:p w:rsidR="00403C5D" w:rsidP="007115F7" w14:paraId="26D293C1" w14:textId="77777777">
            <w:pPr>
              <w:tabs>
                <w:tab w:val="center" w:pos="4680"/>
              </w:tabs>
              <w:suppressAutoHyphens/>
              <w:rPr>
                <w:spacing w:val="-2"/>
              </w:rPr>
            </w:pPr>
          </w:p>
          <w:p w:rsidR="00403C5D" w:rsidRPr="007115F7" w:rsidP="007115F7" w14:paraId="208087D7" w14:textId="1611FD55">
            <w:pPr>
              <w:tabs>
                <w:tab w:val="center" w:pos="4680"/>
              </w:tabs>
              <w:suppressAutoHyphens/>
              <w:rPr>
                <w:spacing w:val="-2"/>
              </w:rPr>
            </w:pPr>
            <w:r w:rsidRPr="00403C5D">
              <w:rPr>
                <w:spacing w:val="-2"/>
              </w:rPr>
              <w:t>Petition for Enforcement of Operational Limits and for Expedited Proceedings to Revoke Satellite License</w:t>
            </w:r>
            <w:r>
              <w:rPr>
                <w:spacing w:val="-2"/>
              </w:rPr>
              <w:t>s</w:t>
            </w:r>
          </w:p>
        </w:tc>
        <w:tc>
          <w:tcPr>
            <w:tcW w:w="630" w:type="dxa"/>
          </w:tcPr>
          <w:p w:rsidR="004C2EE3" w14:paraId="7DE80424" w14:textId="77777777">
            <w:pPr>
              <w:tabs>
                <w:tab w:val="center" w:pos="4680"/>
              </w:tabs>
              <w:suppressAutoHyphens/>
              <w:rPr>
                <w:b/>
                <w:spacing w:val="-2"/>
              </w:rPr>
            </w:pPr>
            <w:r>
              <w:rPr>
                <w:b/>
                <w:spacing w:val="-2"/>
              </w:rPr>
              <w:t>)</w:t>
            </w:r>
          </w:p>
          <w:p w:rsidR="004C2EE3" w14:paraId="48F3CC64" w14:textId="77777777">
            <w:pPr>
              <w:tabs>
                <w:tab w:val="center" w:pos="4680"/>
              </w:tabs>
              <w:suppressAutoHyphens/>
              <w:rPr>
                <w:b/>
                <w:spacing w:val="-2"/>
              </w:rPr>
            </w:pPr>
            <w:r>
              <w:rPr>
                <w:b/>
                <w:spacing w:val="-2"/>
              </w:rPr>
              <w:t>)</w:t>
            </w:r>
          </w:p>
          <w:p w:rsidR="004C2EE3" w14:paraId="4BF50726" w14:textId="77777777">
            <w:pPr>
              <w:tabs>
                <w:tab w:val="center" w:pos="4680"/>
              </w:tabs>
              <w:suppressAutoHyphens/>
              <w:rPr>
                <w:b/>
                <w:spacing w:val="-2"/>
              </w:rPr>
            </w:pPr>
            <w:r>
              <w:rPr>
                <w:b/>
                <w:spacing w:val="-2"/>
              </w:rPr>
              <w:t>)</w:t>
            </w:r>
          </w:p>
          <w:p w:rsidR="004C2EE3" w14:paraId="12200916" w14:textId="77777777">
            <w:pPr>
              <w:tabs>
                <w:tab w:val="center" w:pos="4680"/>
              </w:tabs>
              <w:suppressAutoHyphens/>
              <w:rPr>
                <w:b/>
                <w:spacing w:val="-2"/>
              </w:rPr>
            </w:pPr>
            <w:r>
              <w:rPr>
                <w:b/>
                <w:spacing w:val="-2"/>
              </w:rPr>
              <w:t>)</w:t>
            </w:r>
          </w:p>
          <w:p w:rsidR="004C2EE3" w14:paraId="72094105" w14:textId="77777777">
            <w:pPr>
              <w:tabs>
                <w:tab w:val="center" w:pos="4680"/>
              </w:tabs>
              <w:suppressAutoHyphens/>
              <w:rPr>
                <w:b/>
                <w:spacing w:val="-2"/>
              </w:rPr>
            </w:pPr>
            <w:r>
              <w:rPr>
                <w:b/>
                <w:spacing w:val="-2"/>
              </w:rPr>
              <w:t>)</w:t>
            </w:r>
          </w:p>
          <w:p w:rsidR="004C2EE3" w14:paraId="68104736" w14:textId="77777777">
            <w:pPr>
              <w:tabs>
                <w:tab w:val="center" w:pos="4680"/>
              </w:tabs>
              <w:suppressAutoHyphens/>
              <w:rPr>
                <w:b/>
                <w:spacing w:val="-2"/>
              </w:rPr>
            </w:pPr>
            <w:r>
              <w:rPr>
                <w:b/>
                <w:spacing w:val="-2"/>
              </w:rPr>
              <w:t>)</w:t>
            </w:r>
          </w:p>
          <w:p w:rsidR="004C2EE3" w:rsidRPr="00403C5D" w14:paraId="4E8AC9B1" w14:textId="52438F2B">
            <w:pPr>
              <w:tabs>
                <w:tab w:val="center" w:pos="4680"/>
              </w:tabs>
              <w:suppressAutoHyphens/>
              <w:rPr>
                <w:b/>
                <w:spacing w:val="-2"/>
              </w:rPr>
            </w:pPr>
            <w:r>
              <w:rPr>
                <w:b/>
                <w:spacing w:val="-2"/>
              </w:rPr>
              <w:t>)</w:t>
            </w:r>
          </w:p>
        </w:tc>
        <w:tc>
          <w:tcPr>
            <w:tcW w:w="4248" w:type="dxa"/>
          </w:tcPr>
          <w:p w:rsidR="004C2EE3" w14:paraId="3D687267" w14:textId="77777777">
            <w:pPr>
              <w:tabs>
                <w:tab w:val="center" w:pos="4680"/>
              </w:tabs>
              <w:suppressAutoHyphens/>
              <w:rPr>
                <w:spacing w:val="-2"/>
              </w:rPr>
            </w:pPr>
          </w:p>
          <w:p w:rsidR="004C2EE3" w14:paraId="6AF9B0DB" w14:textId="77777777">
            <w:pPr>
              <w:pStyle w:val="TOAHeading"/>
              <w:tabs>
                <w:tab w:val="center" w:pos="4680"/>
                <w:tab w:val="clear" w:pos="9360"/>
              </w:tabs>
              <w:rPr>
                <w:spacing w:val="-2"/>
              </w:rPr>
            </w:pPr>
          </w:p>
          <w:p w:rsidR="004C2EE3" w14:paraId="0802C0CA" w14:textId="1363017C">
            <w:pPr>
              <w:tabs>
                <w:tab w:val="center" w:pos="4680"/>
              </w:tabs>
              <w:suppressAutoHyphens/>
              <w:rPr>
                <w:spacing w:val="-2"/>
              </w:rPr>
            </w:pPr>
            <w:r>
              <w:rPr>
                <w:spacing w:val="-2"/>
              </w:rPr>
              <w:t>IB Docket No. 20-399</w:t>
            </w:r>
          </w:p>
        </w:tc>
      </w:tr>
    </w:tbl>
    <w:p w:rsidR="004C2EE3" w:rsidP="0070224F" w14:paraId="6EFB0524" w14:textId="77777777"/>
    <w:p w:rsidR="00841AB1" w:rsidP="00F021FA" w14:paraId="2F011DB5" w14:textId="009C7580">
      <w:pPr>
        <w:pStyle w:val="StyleBoldCentered"/>
      </w:pPr>
      <w:r>
        <w:t>order</w:t>
      </w:r>
    </w:p>
    <w:p w:rsidR="004C2EE3" w14:paraId="58DD6452" w14:textId="77777777">
      <w:pPr>
        <w:tabs>
          <w:tab w:val="left" w:pos="-720"/>
        </w:tabs>
        <w:suppressAutoHyphens/>
        <w:spacing w:line="227" w:lineRule="auto"/>
        <w:rPr>
          <w:spacing w:val="-2"/>
        </w:rPr>
      </w:pPr>
    </w:p>
    <w:p w:rsidR="004C2EE3" w:rsidP="00133F79" w14:paraId="405E8723" w14:textId="2B1DB770">
      <w:pPr>
        <w:tabs>
          <w:tab w:val="left" w:pos="720"/>
          <w:tab w:val="right" w:pos="9360"/>
        </w:tabs>
        <w:suppressAutoHyphens/>
        <w:spacing w:line="227" w:lineRule="auto"/>
        <w:rPr>
          <w:spacing w:val="-2"/>
        </w:rPr>
      </w:pPr>
      <w:r>
        <w:rPr>
          <w:b/>
          <w:spacing w:val="-2"/>
        </w:rPr>
        <w:t xml:space="preserve">Adopted:  </w:t>
      </w:r>
      <w:r w:rsidR="00403C5D">
        <w:rPr>
          <w:b/>
          <w:spacing w:val="-2"/>
        </w:rPr>
        <w:t>December 16,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03C5D">
        <w:rPr>
          <w:b/>
          <w:spacing w:val="-2"/>
        </w:rPr>
        <w:t>December 16, 2020</w:t>
      </w:r>
    </w:p>
    <w:p w:rsidR="00822CE0" w14:paraId="05733265" w14:textId="77777777"/>
    <w:p w:rsidR="004C2EE3" w14:paraId="2F60F6A7" w14:textId="78169B4D">
      <w:pPr>
        <w:rPr>
          <w:spacing w:val="-2"/>
        </w:rPr>
      </w:pPr>
      <w:r>
        <w:t xml:space="preserve">By </w:t>
      </w:r>
      <w:r w:rsidR="004E4A22">
        <w:t>the</w:t>
      </w:r>
      <w:r w:rsidR="002A2D2E">
        <w:t xml:space="preserve"> </w:t>
      </w:r>
      <w:r w:rsidR="00C1410B">
        <w:rPr>
          <w:spacing w:val="-2"/>
        </w:rPr>
        <w:t xml:space="preserve">Deputy </w:t>
      </w:r>
      <w:bookmarkStart w:id="0" w:name="_GoBack"/>
      <w:bookmarkEnd w:id="0"/>
      <w:r w:rsidR="00403C5D">
        <w:rPr>
          <w:spacing w:val="-2"/>
        </w:rPr>
        <w:t>Chief, Satellite Division, International Bureau:</w:t>
      </w:r>
    </w:p>
    <w:p w:rsidR="00822CE0" w14:paraId="35E333B8" w14:textId="77777777">
      <w:pPr>
        <w:rPr>
          <w:spacing w:val="-2"/>
        </w:rPr>
      </w:pPr>
    </w:p>
    <w:p w:rsidR="00412FC5" w:rsidP="00127FD8" w14:paraId="6843E585" w14:textId="6330252A">
      <w:pPr>
        <w:pStyle w:val="ParaNum"/>
      </w:pPr>
      <w:r w:rsidRPr="00127FD8">
        <w:t>On November 6, 2020, Spectrum Five LLC (Spectrum Five) filed a document titled “Petition for Enforcement of Operational Limits and for Expedited Proceedings to Revoke Satellite Licenses.”</w:t>
      </w:r>
      <w:r>
        <w:rPr>
          <w:vertAlign w:val="superscript"/>
        </w:rPr>
        <w:footnoteReference w:id="3"/>
      </w:r>
      <w:r w:rsidRPr="00127FD8">
        <w:t xml:space="preserve">  The Petition relates to licenses for two space stations, Intelsat 30 (Call Sign S2887) and Intelsat 31 (Call Sign S2924), both held by Intelsat License LLC, as debtor in possession (Intelsat).</w:t>
      </w:r>
      <w:r>
        <w:rPr>
          <w:vertAlign w:val="superscript"/>
        </w:rPr>
        <w:footnoteReference w:id="4"/>
      </w:r>
    </w:p>
    <w:p w:rsidR="00127FD8" w:rsidP="00127FD8" w14:paraId="490E9E1D" w14:textId="6429F6CE">
      <w:pPr>
        <w:pStyle w:val="ParaNum"/>
      </w:pPr>
      <w:r w:rsidRPr="00127FD8">
        <w:t>Intelsat subsequently filed a Motion for Extension of Time for filing an opposition to the Petition.</w:t>
      </w:r>
      <w:r>
        <w:rPr>
          <w:vertAlign w:val="superscript"/>
        </w:rPr>
        <w:footnoteReference w:id="5"/>
      </w:r>
      <w:r w:rsidRPr="00127FD8">
        <w:t xml:space="preserve">  The International Bureau, Satellite Division granted the Intelsat Motion in part and extended the deadline for filing an opposition until December 8, 2020.</w:t>
      </w:r>
      <w:r>
        <w:rPr>
          <w:vertAlign w:val="superscript"/>
        </w:rPr>
        <w:footnoteReference w:id="6"/>
      </w:r>
      <w:r w:rsidRPr="00127FD8">
        <w:t xml:space="preserve">  Intelsat filed an Opposition to the Petition on December 8, 2020.</w:t>
      </w:r>
      <w:r>
        <w:rPr>
          <w:vertAlign w:val="superscript"/>
        </w:rPr>
        <w:footnoteReference w:id="7"/>
      </w:r>
      <w:r w:rsidRPr="00127FD8">
        <w:t xml:space="preserve">  AT&amp;T Services, Inc. also filed a response to the Petition on that same day.</w:t>
      </w:r>
      <w:r>
        <w:rPr>
          <w:vertAlign w:val="superscript"/>
        </w:rPr>
        <w:footnoteReference w:id="8"/>
      </w:r>
    </w:p>
    <w:p w:rsidR="00127FD8" w:rsidP="00127FD8" w14:paraId="26831BFD" w14:textId="77777777">
      <w:pPr>
        <w:pStyle w:val="ParaNum"/>
      </w:pPr>
      <w:r>
        <w:t>On December 14, 2020, Spectrum Five filed a Motion for Extension of Time</w:t>
      </w:r>
      <w:r w:rsidRPr="001D545F">
        <w:t xml:space="preserve"> </w:t>
      </w:r>
      <w:r>
        <w:t>until December 18, 2020 to reply to the Opposition.</w:t>
      </w:r>
      <w:r>
        <w:rPr>
          <w:rStyle w:val="FootnoteReference"/>
        </w:rPr>
        <w:footnoteReference w:id="9"/>
      </w:r>
      <w:r>
        <w:t xml:space="preserve">  Spectrum Five states that, given the length of Intelsat’s filing (46 pages), it requires more than the five days provided under the Commission’s rules to completely and accurately respond to the Opposition.</w:t>
      </w:r>
      <w:r>
        <w:rPr>
          <w:rStyle w:val="FootnoteReference"/>
        </w:rPr>
        <w:footnoteReference w:id="10"/>
      </w:r>
      <w:r>
        <w:t xml:space="preserve">  Spectrum Five also notes that the Commission previously granted an extension of time to Intelsat in this proceeding,</w:t>
      </w:r>
      <w:r>
        <w:rPr>
          <w:rStyle w:val="FootnoteReference"/>
        </w:rPr>
        <w:footnoteReference w:id="11"/>
      </w:r>
      <w:r>
        <w:t xml:space="preserve"> and that Intelsat does not object to the </w:t>
      </w:r>
      <w:r>
        <w:t>extension request.</w:t>
      </w:r>
      <w:r>
        <w:rPr>
          <w:rStyle w:val="FootnoteReference"/>
        </w:rPr>
        <w:footnoteReference w:id="12"/>
      </w:r>
      <w:r>
        <w:t xml:space="preserve">  The deadline to file a reply is December 15, 2020.</w:t>
      </w:r>
      <w:r>
        <w:rPr>
          <w:rStyle w:val="FootnoteReference"/>
        </w:rPr>
        <w:footnoteReference w:id="13"/>
      </w:r>
      <w:r>
        <w:t xml:space="preserve">  </w:t>
      </w:r>
    </w:p>
    <w:p w:rsidR="00127FD8" w:rsidP="00127FD8" w14:paraId="38EE3C11" w14:textId="18ADA064">
      <w:pPr>
        <w:pStyle w:val="ParaNum"/>
      </w:pPr>
      <w:r w:rsidRPr="00127FD8">
        <w:t>The public interest will be served by granting an extension of time for Spectrum Five to file a reply.  Although “extensions of time shall not be routinely granted,” a three-day extension will permit Spectrum Five additional time to respond to issues raised in the record and will facilitate a more robust record to inform the decision-making process.</w:t>
      </w:r>
      <w:r>
        <w:rPr>
          <w:vertAlign w:val="superscript"/>
        </w:rPr>
        <w:footnoteReference w:id="14"/>
      </w:r>
    </w:p>
    <w:p w:rsidR="00127FD8" w:rsidP="00127FD8" w14:paraId="57EEEBE7" w14:textId="4744F29E">
      <w:pPr>
        <w:pStyle w:val="ParaNum"/>
      </w:pPr>
      <w:r w:rsidRPr="00127FD8">
        <w:t>Accordingly, IT IS ORDERED that, pursuant to sections 0.261, 1.4, 1.45, and 1.46 of the Commission's rules, 47 C.F.R. §§ 0.261, 1.4, 1.45, and 1.46, Spectrum Five’s Motion is GRANTED, and the deadline for filing a reply to oppositions to the Petition IS EXTENDED to December 18, 2020.</w:t>
      </w:r>
    </w:p>
    <w:p w:rsidR="00127FD8" w:rsidP="00127FD8" w14:paraId="3B1C7F40" w14:textId="4F4A8AA6">
      <w:pPr>
        <w:pStyle w:val="ParaNum"/>
        <w:numPr>
          <w:ilvl w:val="0"/>
          <w:numId w:val="0"/>
        </w:numPr>
        <w:ind w:firstLine="720"/>
      </w:pPr>
    </w:p>
    <w:p w:rsidR="00127FD8" w:rsidRPr="00127FD8" w:rsidP="00127FD8" w14:paraId="1FF6290C" w14:textId="77777777">
      <w:pPr>
        <w:ind w:left="4320"/>
      </w:pPr>
      <w:bookmarkStart w:id="1" w:name="_Hlk59024550"/>
      <w:r w:rsidRPr="00127FD8">
        <w:t>FEDERAL COMMUNICATIONS COMMISSION</w:t>
      </w:r>
    </w:p>
    <w:p w:rsidR="00127FD8" w:rsidRPr="00127FD8" w:rsidP="00127FD8" w14:paraId="419177B8" w14:textId="77777777"/>
    <w:p w:rsidR="00127FD8" w:rsidP="00127FD8" w14:paraId="2773A72B" w14:textId="77777777">
      <w:r w:rsidRPr="00127FD8">
        <w:tab/>
      </w:r>
      <w:r w:rsidRPr="00127FD8">
        <w:tab/>
      </w:r>
      <w:r w:rsidRPr="00127FD8">
        <w:tab/>
      </w:r>
      <w:r w:rsidRPr="00127FD8">
        <w:tab/>
      </w:r>
      <w:r w:rsidRPr="00127FD8">
        <w:tab/>
      </w:r>
    </w:p>
    <w:p w:rsidR="00127FD8" w:rsidRPr="0070134C" w:rsidP="00127FD8" w14:paraId="04AA96D4" w14:textId="1CFCBDAD">
      <w:pPr>
        <w:ind w:left="4320"/>
      </w:pPr>
      <w:r>
        <w:t xml:space="preserve">Kerry E. Murray </w:t>
      </w:r>
    </w:p>
    <w:p w:rsidR="00127FD8" w:rsidRPr="0070134C" w:rsidP="00127FD8" w14:paraId="1F68F359" w14:textId="1EBDDFF4">
      <w:r w:rsidRPr="0070134C">
        <w:tab/>
      </w:r>
      <w:r w:rsidRPr="0070134C">
        <w:tab/>
      </w:r>
      <w:r w:rsidRPr="0070134C">
        <w:tab/>
      </w:r>
      <w:r w:rsidRPr="0070134C">
        <w:tab/>
      </w:r>
      <w:r w:rsidRPr="0070134C">
        <w:tab/>
      </w:r>
      <w:r w:rsidRPr="0070134C">
        <w:tab/>
      </w:r>
      <w:r w:rsidR="0070134C">
        <w:t>Deputy Chief, Satellite Division</w:t>
      </w:r>
    </w:p>
    <w:p w:rsidR="00127FD8" w:rsidRPr="00127FD8" w:rsidP="00127FD8" w14:paraId="184C56E1" w14:textId="3E8D95E4">
      <w:r w:rsidRPr="0070134C">
        <w:tab/>
      </w:r>
      <w:r w:rsidRPr="0070134C">
        <w:tab/>
      </w:r>
      <w:r w:rsidRPr="0070134C">
        <w:tab/>
      </w:r>
      <w:r w:rsidRPr="0070134C">
        <w:tab/>
      </w:r>
      <w:r w:rsidRPr="0070134C">
        <w:tab/>
      </w:r>
      <w:r w:rsidRPr="0070134C">
        <w:tab/>
        <w:t>International Bureau</w:t>
      </w:r>
    </w:p>
    <w:bookmarkEnd w:id="1"/>
    <w:p w:rsidR="00127FD8" w:rsidP="00127FD8" w14:paraId="79B5D852"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57616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4101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FC44B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88028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473F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23E2" w14:paraId="59B39D28" w14:textId="77777777">
      <w:r>
        <w:separator/>
      </w:r>
    </w:p>
  </w:footnote>
  <w:footnote w:type="continuationSeparator" w:id="1">
    <w:p w:rsidR="008723E2" w:rsidP="00C721AC" w14:paraId="68717100" w14:textId="77777777">
      <w:pPr>
        <w:spacing w:before="120"/>
        <w:rPr>
          <w:sz w:val="20"/>
        </w:rPr>
      </w:pPr>
      <w:r>
        <w:rPr>
          <w:sz w:val="20"/>
        </w:rPr>
        <w:t xml:space="preserve">(Continued from previous page)  </w:t>
      </w:r>
      <w:r>
        <w:rPr>
          <w:sz w:val="20"/>
        </w:rPr>
        <w:separator/>
      </w:r>
    </w:p>
  </w:footnote>
  <w:footnote w:type="continuationNotice" w:id="2">
    <w:p w:rsidR="008723E2" w:rsidP="00C721AC" w14:paraId="6C46C154" w14:textId="77777777">
      <w:pPr>
        <w:jc w:val="right"/>
        <w:rPr>
          <w:sz w:val="20"/>
        </w:rPr>
      </w:pPr>
      <w:r>
        <w:rPr>
          <w:sz w:val="20"/>
        </w:rPr>
        <w:t>(continued….)</w:t>
      </w:r>
    </w:p>
  </w:footnote>
  <w:footnote w:id="3">
    <w:p w:rsidR="00127FD8" w:rsidP="00127FD8" w14:paraId="764C8083" w14:textId="77777777">
      <w:pPr>
        <w:pStyle w:val="FootnoteText"/>
      </w:pPr>
      <w:r>
        <w:rPr>
          <w:rStyle w:val="FootnoteReference"/>
        </w:rPr>
        <w:footnoteRef/>
      </w:r>
      <w:r>
        <w:t xml:space="preserve"> Petition of Spectrum Five for Enforcement of Operational Limits and for Expedited Proceedings to Revoke Satellite Licenses, </w:t>
      </w:r>
      <w:r>
        <w:rPr>
          <w:spacing w:val="-2"/>
        </w:rPr>
        <w:t xml:space="preserve">Misc. Docket No. </w:t>
      </w:r>
      <w:r w:rsidRPr="00CA6671">
        <w:t>INBOX-1.41</w:t>
      </w:r>
      <w:r>
        <w:t xml:space="preserve"> (filed Nov. 6, 2020) (Petition).</w:t>
      </w:r>
    </w:p>
  </w:footnote>
  <w:footnote w:id="4">
    <w:p w:rsidR="00127FD8" w:rsidRPr="008943EB" w:rsidP="00127FD8" w14:paraId="6FEB2097" w14:textId="77777777">
      <w:pPr>
        <w:pStyle w:val="FootnoteText"/>
      </w:pPr>
      <w:r>
        <w:rPr>
          <w:rStyle w:val="FootnoteReference"/>
        </w:rPr>
        <w:footnoteRef/>
      </w:r>
      <w:r>
        <w:t xml:space="preserve"> </w:t>
      </w:r>
      <w:r>
        <w:rPr>
          <w:i/>
          <w:iCs/>
        </w:rPr>
        <w:t xml:space="preserve">See id. </w:t>
      </w:r>
      <w:r>
        <w:t>at 6.</w:t>
      </w:r>
    </w:p>
  </w:footnote>
  <w:footnote w:id="5">
    <w:p w:rsidR="00127FD8" w:rsidP="00127FD8" w14:paraId="22EFB89C" w14:textId="77777777">
      <w:pPr>
        <w:pStyle w:val="FootnoteText"/>
      </w:pPr>
      <w:r>
        <w:rPr>
          <w:rStyle w:val="FootnoteReference"/>
        </w:rPr>
        <w:footnoteRef/>
      </w:r>
      <w:r>
        <w:t xml:space="preserve"> Motion of Intelsat for Extension of Time, </w:t>
      </w:r>
      <w:r>
        <w:rPr>
          <w:spacing w:val="-2"/>
        </w:rPr>
        <w:t>Misc. Docket No. INBOX-1.41 (filed Nov. 12, 2020) (Intelsat Motion).</w:t>
      </w:r>
    </w:p>
  </w:footnote>
  <w:footnote w:id="6">
    <w:p w:rsidR="00127FD8" w:rsidP="00127FD8" w14:paraId="618A100A" w14:textId="77777777">
      <w:pPr>
        <w:pStyle w:val="FootnoteText"/>
      </w:pPr>
      <w:r>
        <w:rPr>
          <w:rStyle w:val="FootnoteReference"/>
        </w:rPr>
        <w:footnoteRef/>
      </w:r>
      <w:r>
        <w:t xml:space="preserve"> </w:t>
      </w:r>
      <w:r w:rsidRPr="00FC3DFA">
        <w:rPr>
          <w:i/>
          <w:iCs/>
        </w:rPr>
        <w:t>Spectrum Five LLC Petition for Enforcement of Operational Limits and for Expedited Proceedings to Revoke Satellite License</w:t>
      </w:r>
      <w:r>
        <w:t>, Order, IB Docket No. 20-399, DA 20-1428 (IB, Satellite Division Dec. 1, 2020).</w:t>
      </w:r>
    </w:p>
  </w:footnote>
  <w:footnote w:id="7">
    <w:p w:rsidR="00127FD8" w:rsidP="00127FD8" w14:paraId="08962D09" w14:textId="77777777">
      <w:pPr>
        <w:pStyle w:val="FootnoteText"/>
      </w:pPr>
      <w:r>
        <w:rPr>
          <w:rStyle w:val="FootnoteReference"/>
        </w:rPr>
        <w:footnoteRef/>
      </w:r>
      <w:r>
        <w:t xml:space="preserve"> Opposition of Intelsat License LLC to Petition of Spectrum Five LLC, IB Docket No. 20-399 (filed Dec. 8, 2020) (Opposition).</w:t>
      </w:r>
    </w:p>
  </w:footnote>
  <w:footnote w:id="8">
    <w:p w:rsidR="00127FD8" w:rsidP="00127FD8" w14:paraId="044A6287" w14:textId="77777777">
      <w:pPr>
        <w:pStyle w:val="FootnoteText"/>
      </w:pPr>
      <w:r>
        <w:rPr>
          <w:rStyle w:val="FootnoteReference"/>
        </w:rPr>
        <w:footnoteRef/>
      </w:r>
      <w:r>
        <w:t xml:space="preserve"> Letter in Response to Spectrum Five Petition, IB Docket No. 20-399 (filed Dec. 8, 2020).</w:t>
      </w:r>
    </w:p>
  </w:footnote>
  <w:footnote w:id="9">
    <w:p w:rsidR="00127FD8" w:rsidRPr="00777B4B" w:rsidP="00127FD8" w14:paraId="0ED57B26" w14:textId="77777777">
      <w:pPr>
        <w:pStyle w:val="FootnoteText"/>
      </w:pPr>
      <w:r>
        <w:rPr>
          <w:rStyle w:val="FootnoteReference"/>
        </w:rPr>
        <w:footnoteRef/>
      </w:r>
      <w:r>
        <w:t xml:space="preserve"> Motion for Extension of Time of Spectrum Five LLC, IB Docket No. 20-399 (filed Dec. 14, 2020) (Spectrum Five Motion). </w:t>
      </w:r>
    </w:p>
  </w:footnote>
  <w:footnote w:id="10">
    <w:p w:rsidR="00127FD8" w:rsidRPr="00576114" w:rsidP="00127FD8" w14:paraId="2EE22A29" w14:textId="77777777">
      <w:pPr>
        <w:pStyle w:val="FootnoteText"/>
      </w:pPr>
      <w:r>
        <w:rPr>
          <w:rStyle w:val="FootnoteReference"/>
        </w:rPr>
        <w:footnoteRef/>
      </w:r>
      <w:r>
        <w:t xml:space="preserve"> </w:t>
      </w:r>
      <w:r>
        <w:rPr>
          <w:i/>
          <w:iCs/>
        </w:rPr>
        <w:t xml:space="preserve">Id. </w:t>
      </w:r>
      <w:r>
        <w:t>at 2.</w:t>
      </w:r>
    </w:p>
  </w:footnote>
  <w:footnote w:id="11">
    <w:p w:rsidR="00127FD8" w:rsidRPr="001808D4" w:rsidP="00127FD8" w14:paraId="35783A11" w14:textId="77777777">
      <w:pPr>
        <w:pStyle w:val="FootnoteText"/>
      </w:pPr>
      <w:r>
        <w:rPr>
          <w:rStyle w:val="FootnoteReference"/>
        </w:rPr>
        <w:footnoteRef/>
      </w:r>
      <w:r>
        <w:t xml:space="preserve"> </w:t>
      </w:r>
      <w:r>
        <w:rPr>
          <w:i/>
          <w:iCs/>
        </w:rPr>
        <w:t xml:space="preserve">Id. </w:t>
      </w:r>
      <w:r>
        <w:t>at 2-3.</w:t>
      </w:r>
    </w:p>
  </w:footnote>
  <w:footnote w:id="12">
    <w:p w:rsidR="00127FD8" w:rsidRPr="00DD33D9" w:rsidP="00127FD8" w14:paraId="6058697A" w14:textId="77777777">
      <w:pPr>
        <w:pStyle w:val="FootnoteText"/>
      </w:pPr>
      <w:r>
        <w:rPr>
          <w:rStyle w:val="FootnoteReference"/>
        </w:rPr>
        <w:footnoteRef/>
      </w:r>
      <w:r>
        <w:t xml:space="preserve"> </w:t>
      </w:r>
      <w:r>
        <w:rPr>
          <w:i/>
          <w:iCs/>
        </w:rPr>
        <w:t xml:space="preserve">See </w:t>
      </w:r>
      <w:r>
        <w:t>Spectrum Five Motion at 2.</w:t>
      </w:r>
    </w:p>
  </w:footnote>
  <w:footnote w:id="13">
    <w:p w:rsidR="00127FD8" w:rsidRPr="00767541" w:rsidP="00127FD8" w14:paraId="3AD35C37" w14:textId="77777777">
      <w:pPr>
        <w:pStyle w:val="FootnoteText"/>
      </w:pPr>
      <w:r>
        <w:rPr>
          <w:rStyle w:val="FootnoteReference"/>
        </w:rPr>
        <w:footnoteRef/>
      </w:r>
      <w:r>
        <w:t xml:space="preserve"> </w:t>
      </w:r>
      <w:r>
        <w:rPr>
          <w:i/>
          <w:iCs/>
        </w:rPr>
        <w:t xml:space="preserve">See </w:t>
      </w:r>
      <w:r>
        <w:t>47 CFR §§ 1.4, 1.45.</w:t>
      </w:r>
    </w:p>
  </w:footnote>
  <w:footnote w:id="14">
    <w:p w:rsidR="00127FD8" w:rsidRPr="00767541" w:rsidP="00127FD8" w14:paraId="657B9159" w14:textId="77777777">
      <w:pPr>
        <w:pStyle w:val="FootnoteText"/>
      </w:pPr>
      <w:r>
        <w:rPr>
          <w:rStyle w:val="FootnoteReference"/>
        </w:rPr>
        <w:footnoteRef/>
      </w:r>
      <w:r>
        <w:t xml:space="preserve"> </w:t>
      </w:r>
      <w:r>
        <w:rPr>
          <w:i/>
          <w:iCs/>
        </w:rPr>
        <w:t xml:space="preserve">See id. </w:t>
      </w:r>
      <w:r>
        <w:t>at §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3B6054" w14:textId="5B9356C1">
    <w:pPr>
      <w:pStyle w:val="Header"/>
      <w:rPr>
        <w:b w:val="0"/>
      </w:rPr>
    </w:pPr>
    <w:r>
      <w:tab/>
      <w:t>Federal Communications Commission</w:t>
    </w:r>
    <w:r>
      <w:tab/>
    </w:r>
    <w:r w:rsidR="0070134C">
      <w:t>DA 20-1494</w:t>
    </w:r>
  </w:p>
  <w:p w:rsidR="00D25FB5" w14:paraId="25EB6C7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3AC743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DC1F63" w14:textId="77A7546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0134C">
      <w:rPr>
        <w:spacing w:val="-2"/>
      </w:rPr>
      <w:t>DA 20-1494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5D"/>
    <w:rsid w:val="00036039"/>
    <w:rsid w:val="00037F90"/>
    <w:rsid w:val="000875BF"/>
    <w:rsid w:val="00096D8C"/>
    <w:rsid w:val="000C0B65"/>
    <w:rsid w:val="000E05FE"/>
    <w:rsid w:val="000E3D42"/>
    <w:rsid w:val="00122BD5"/>
    <w:rsid w:val="00127FD8"/>
    <w:rsid w:val="00133F79"/>
    <w:rsid w:val="001808D4"/>
    <w:rsid w:val="00194A66"/>
    <w:rsid w:val="001D545F"/>
    <w:rsid w:val="001D6BCF"/>
    <w:rsid w:val="001E01CA"/>
    <w:rsid w:val="00275CF5"/>
    <w:rsid w:val="0028301F"/>
    <w:rsid w:val="00285017"/>
    <w:rsid w:val="002A2D2E"/>
    <w:rsid w:val="002C00E8"/>
    <w:rsid w:val="00343749"/>
    <w:rsid w:val="003660ED"/>
    <w:rsid w:val="003B0550"/>
    <w:rsid w:val="003B694F"/>
    <w:rsid w:val="003F171C"/>
    <w:rsid w:val="00403C5D"/>
    <w:rsid w:val="00412FC5"/>
    <w:rsid w:val="00422276"/>
    <w:rsid w:val="004242F1"/>
    <w:rsid w:val="00445A00"/>
    <w:rsid w:val="00451B0F"/>
    <w:rsid w:val="004C2EE3"/>
    <w:rsid w:val="004E4A22"/>
    <w:rsid w:val="00511968"/>
    <w:rsid w:val="0055614C"/>
    <w:rsid w:val="00566D06"/>
    <w:rsid w:val="00576114"/>
    <w:rsid w:val="005E14C2"/>
    <w:rsid w:val="00607BA5"/>
    <w:rsid w:val="0061180A"/>
    <w:rsid w:val="00626EB6"/>
    <w:rsid w:val="00655D03"/>
    <w:rsid w:val="00683388"/>
    <w:rsid w:val="00683F84"/>
    <w:rsid w:val="006A6A81"/>
    <w:rsid w:val="006F7393"/>
    <w:rsid w:val="0070134C"/>
    <w:rsid w:val="0070224F"/>
    <w:rsid w:val="007115F7"/>
    <w:rsid w:val="00767541"/>
    <w:rsid w:val="00777B4B"/>
    <w:rsid w:val="00785689"/>
    <w:rsid w:val="0079754B"/>
    <w:rsid w:val="007A1E6D"/>
    <w:rsid w:val="007B0EB2"/>
    <w:rsid w:val="00810B6F"/>
    <w:rsid w:val="00822CE0"/>
    <w:rsid w:val="00841AB1"/>
    <w:rsid w:val="008723E2"/>
    <w:rsid w:val="008943EB"/>
    <w:rsid w:val="008B0A10"/>
    <w:rsid w:val="008C68F1"/>
    <w:rsid w:val="00902DB9"/>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1410B"/>
    <w:rsid w:val="00C34006"/>
    <w:rsid w:val="00C36B4C"/>
    <w:rsid w:val="00C426B1"/>
    <w:rsid w:val="00C66160"/>
    <w:rsid w:val="00C721AC"/>
    <w:rsid w:val="00C90D6A"/>
    <w:rsid w:val="00CA247E"/>
    <w:rsid w:val="00CA6671"/>
    <w:rsid w:val="00CA6D21"/>
    <w:rsid w:val="00CC72B6"/>
    <w:rsid w:val="00D0218D"/>
    <w:rsid w:val="00D25FB5"/>
    <w:rsid w:val="00D44223"/>
    <w:rsid w:val="00DA2529"/>
    <w:rsid w:val="00DB130A"/>
    <w:rsid w:val="00DB2EBB"/>
    <w:rsid w:val="00DC10A1"/>
    <w:rsid w:val="00DC655F"/>
    <w:rsid w:val="00DD0B59"/>
    <w:rsid w:val="00DD33D9"/>
    <w:rsid w:val="00DD7EBD"/>
    <w:rsid w:val="00DF33C4"/>
    <w:rsid w:val="00DF62B6"/>
    <w:rsid w:val="00E07225"/>
    <w:rsid w:val="00E5409F"/>
    <w:rsid w:val="00EE6488"/>
    <w:rsid w:val="00F021FA"/>
    <w:rsid w:val="00F62E97"/>
    <w:rsid w:val="00F64209"/>
    <w:rsid w:val="00F93BF5"/>
    <w:rsid w:val="00FC3D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59DCEC7-7195-445A-ABE3-12EC9AB8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