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6AA0CA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4B48AF5" w14:textId="77777777">
      <w:pPr>
        <w:pStyle w:val="StyleBoldCentered"/>
      </w:pPr>
      <w:r>
        <w:t>F</w:t>
      </w:r>
      <w:r>
        <w:rPr>
          <w:caps w:val="0"/>
        </w:rPr>
        <w:t>ederal Communications Commission</w:t>
      </w:r>
    </w:p>
    <w:p w:rsidR="004C2EE3" w:rsidP="00096D8C" w14:paraId="5D43B17E" w14:textId="77777777">
      <w:pPr>
        <w:pStyle w:val="StyleBoldCentered"/>
      </w:pPr>
      <w:r>
        <w:rPr>
          <w:caps w:val="0"/>
        </w:rPr>
        <w:t>Washington, D.C. 20554</w:t>
      </w:r>
    </w:p>
    <w:p w:rsidR="004C2EE3" w:rsidP="0070224F" w14:paraId="08FD1C79" w14:textId="77777777"/>
    <w:p w:rsidR="004C2EE3" w:rsidP="0070224F" w14:paraId="7139FE6F" w14:textId="77777777"/>
    <w:tbl>
      <w:tblPr>
        <w:tblW w:w="0" w:type="auto"/>
        <w:tblLayout w:type="fixed"/>
        <w:tblLook w:val="0000"/>
      </w:tblPr>
      <w:tblGrid>
        <w:gridCol w:w="4698"/>
        <w:gridCol w:w="630"/>
        <w:gridCol w:w="4248"/>
      </w:tblGrid>
      <w:tr w14:paraId="0146DFFF" w14:textId="77777777">
        <w:tblPrEx>
          <w:tblW w:w="0" w:type="auto"/>
          <w:tblLayout w:type="fixed"/>
          <w:tblLook w:val="0000"/>
        </w:tblPrEx>
        <w:tc>
          <w:tcPr>
            <w:tcW w:w="4698" w:type="dxa"/>
          </w:tcPr>
          <w:p w:rsidR="004C2EE3" w14:paraId="58E2D62B" w14:textId="77777777">
            <w:pPr>
              <w:tabs>
                <w:tab w:val="center" w:pos="4680"/>
              </w:tabs>
              <w:suppressAutoHyphens/>
              <w:rPr>
                <w:spacing w:val="-2"/>
              </w:rPr>
            </w:pPr>
            <w:r>
              <w:rPr>
                <w:spacing w:val="-2"/>
              </w:rPr>
              <w:t>In the Matter of</w:t>
            </w:r>
          </w:p>
          <w:p w:rsidR="004C2EE3" w14:paraId="113F148D" w14:textId="77777777">
            <w:pPr>
              <w:tabs>
                <w:tab w:val="center" w:pos="4680"/>
              </w:tabs>
              <w:suppressAutoHyphens/>
              <w:rPr>
                <w:spacing w:val="-2"/>
              </w:rPr>
            </w:pPr>
          </w:p>
          <w:p w:rsidR="004C2EE3" w:rsidRPr="007115F7" w:rsidP="007115F7" w14:paraId="3C043266" w14:textId="50350DE1">
            <w:pPr>
              <w:tabs>
                <w:tab w:val="center" w:pos="4680"/>
              </w:tabs>
              <w:suppressAutoHyphens/>
              <w:rPr>
                <w:spacing w:val="-2"/>
              </w:rPr>
            </w:pPr>
            <w:r>
              <w:rPr>
                <w:spacing w:val="-2"/>
              </w:rPr>
              <w:t>Rates for Interstate Inmate Calling Services</w:t>
            </w:r>
          </w:p>
        </w:tc>
        <w:tc>
          <w:tcPr>
            <w:tcW w:w="630" w:type="dxa"/>
          </w:tcPr>
          <w:p w:rsidR="004C2EE3" w14:paraId="080E5058" w14:textId="77777777">
            <w:pPr>
              <w:tabs>
                <w:tab w:val="center" w:pos="4680"/>
              </w:tabs>
              <w:suppressAutoHyphens/>
              <w:rPr>
                <w:b/>
                <w:spacing w:val="-2"/>
              </w:rPr>
            </w:pPr>
            <w:r>
              <w:rPr>
                <w:b/>
                <w:spacing w:val="-2"/>
              </w:rPr>
              <w:t>)</w:t>
            </w:r>
          </w:p>
          <w:p w:rsidR="004C2EE3" w14:paraId="282CF8EB" w14:textId="77777777">
            <w:pPr>
              <w:tabs>
                <w:tab w:val="center" w:pos="4680"/>
              </w:tabs>
              <w:suppressAutoHyphens/>
              <w:rPr>
                <w:b/>
                <w:spacing w:val="-2"/>
              </w:rPr>
            </w:pPr>
            <w:r>
              <w:rPr>
                <w:b/>
                <w:spacing w:val="-2"/>
              </w:rPr>
              <w:t>)</w:t>
            </w:r>
          </w:p>
          <w:p w:rsidR="004C2EE3" w14:paraId="605604A5" w14:textId="77777777">
            <w:pPr>
              <w:tabs>
                <w:tab w:val="center" w:pos="4680"/>
              </w:tabs>
              <w:suppressAutoHyphens/>
              <w:rPr>
                <w:b/>
                <w:spacing w:val="-2"/>
              </w:rPr>
            </w:pPr>
            <w:r>
              <w:rPr>
                <w:b/>
                <w:spacing w:val="-2"/>
              </w:rPr>
              <w:t>)</w:t>
            </w:r>
          </w:p>
          <w:p w:rsidR="004C2EE3" w14:paraId="5EFD0D66" w14:textId="77777777">
            <w:pPr>
              <w:tabs>
                <w:tab w:val="center" w:pos="4680"/>
              </w:tabs>
              <w:suppressAutoHyphens/>
              <w:rPr>
                <w:b/>
                <w:spacing w:val="-2"/>
              </w:rPr>
            </w:pPr>
            <w:r>
              <w:rPr>
                <w:b/>
                <w:spacing w:val="-2"/>
              </w:rPr>
              <w:t>)</w:t>
            </w:r>
          </w:p>
          <w:p w:rsidR="004C2EE3" w14:paraId="6738A324" w14:textId="453ACF68">
            <w:pPr>
              <w:tabs>
                <w:tab w:val="center" w:pos="4680"/>
              </w:tabs>
              <w:suppressAutoHyphens/>
              <w:rPr>
                <w:spacing w:val="-2"/>
              </w:rPr>
            </w:pPr>
          </w:p>
        </w:tc>
        <w:tc>
          <w:tcPr>
            <w:tcW w:w="4248" w:type="dxa"/>
          </w:tcPr>
          <w:p w:rsidR="004C2EE3" w14:paraId="02D7965D" w14:textId="77777777">
            <w:pPr>
              <w:tabs>
                <w:tab w:val="center" w:pos="4680"/>
              </w:tabs>
              <w:suppressAutoHyphens/>
              <w:rPr>
                <w:spacing w:val="-2"/>
              </w:rPr>
            </w:pPr>
          </w:p>
          <w:p w:rsidR="004C2EE3" w14:paraId="23B0320C" w14:textId="77777777">
            <w:pPr>
              <w:pStyle w:val="TOAHeading"/>
              <w:tabs>
                <w:tab w:val="center" w:pos="4680"/>
                <w:tab w:val="clear" w:pos="9360"/>
              </w:tabs>
              <w:rPr>
                <w:spacing w:val="-2"/>
              </w:rPr>
            </w:pPr>
          </w:p>
          <w:p w:rsidR="004C2EE3" w14:paraId="397CBC0C" w14:textId="25926F9E">
            <w:pPr>
              <w:tabs>
                <w:tab w:val="center" w:pos="4680"/>
              </w:tabs>
              <w:suppressAutoHyphens/>
              <w:rPr>
                <w:spacing w:val="-2"/>
              </w:rPr>
            </w:pPr>
            <w:r>
              <w:rPr>
                <w:spacing w:val="-2"/>
              </w:rPr>
              <w:t>WC Docket No. 12-375</w:t>
            </w:r>
          </w:p>
        </w:tc>
      </w:tr>
    </w:tbl>
    <w:p w:rsidR="004C2EE3" w:rsidP="0070224F" w14:paraId="170BDFA1" w14:textId="77777777"/>
    <w:p w:rsidR="00841AB1" w:rsidP="00F021FA" w14:paraId="3D8EDA7D" w14:textId="19AFC787">
      <w:pPr>
        <w:pStyle w:val="StyleBoldCentered"/>
      </w:pPr>
      <w:r>
        <w:t>Order</w:t>
      </w:r>
    </w:p>
    <w:p w:rsidR="004C2EE3" w14:paraId="2C60B8D4" w14:textId="77777777">
      <w:pPr>
        <w:tabs>
          <w:tab w:val="left" w:pos="-720"/>
        </w:tabs>
        <w:suppressAutoHyphens/>
        <w:spacing w:line="227" w:lineRule="auto"/>
        <w:rPr>
          <w:spacing w:val="-2"/>
        </w:rPr>
      </w:pPr>
    </w:p>
    <w:p w:rsidR="004C2EE3" w:rsidP="00133F79" w14:paraId="159F5CDC" w14:textId="275E2C38">
      <w:pPr>
        <w:tabs>
          <w:tab w:val="left" w:pos="720"/>
          <w:tab w:val="right" w:pos="9360"/>
        </w:tabs>
        <w:suppressAutoHyphens/>
        <w:spacing w:line="227" w:lineRule="auto"/>
        <w:rPr>
          <w:spacing w:val="-2"/>
        </w:rPr>
      </w:pPr>
      <w:r>
        <w:rPr>
          <w:b/>
          <w:spacing w:val="-2"/>
        </w:rPr>
        <w:t xml:space="preserve">Adopted:  </w:t>
      </w:r>
      <w:r w:rsidR="009E4A56">
        <w:rPr>
          <w:b/>
          <w:spacing w:val="-2"/>
        </w:rPr>
        <w:t xml:space="preserve">December </w:t>
      </w:r>
      <w:r w:rsidR="008E5AB6">
        <w:rPr>
          <w:b/>
          <w:spacing w:val="-2"/>
        </w:rPr>
        <w:t>17</w:t>
      </w:r>
      <w:r w:rsidR="009E4A56">
        <w:rPr>
          <w:b/>
          <w:spacing w:val="-2"/>
        </w:rPr>
        <w:t>, 2020</w:t>
      </w:r>
      <w:r>
        <w:rPr>
          <w:b/>
          <w:spacing w:val="-2"/>
        </w:rPr>
        <w:tab/>
      </w:r>
      <w:r w:rsidR="00822CE0">
        <w:rPr>
          <w:b/>
          <w:spacing w:val="-2"/>
        </w:rPr>
        <w:t>Released</w:t>
      </w:r>
      <w:r>
        <w:rPr>
          <w:b/>
          <w:spacing w:val="-2"/>
        </w:rPr>
        <w:t>:</w:t>
      </w:r>
      <w:r w:rsidR="00822CE0">
        <w:rPr>
          <w:b/>
          <w:spacing w:val="-2"/>
        </w:rPr>
        <w:t xml:space="preserve"> </w:t>
      </w:r>
      <w:r w:rsidR="003413A8">
        <w:rPr>
          <w:b/>
          <w:spacing w:val="-2"/>
        </w:rPr>
        <w:t xml:space="preserve"> </w:t>
      </w:r>
      <w:r w:rsidR="009E4A56">
        <w:rPr>
          <w:b/>
          <w:spacing w:val="-2"/>
        </w:rPr>
        <w:t xml:space="preserve">December </w:t>
      </w:r>
      <w:r w:rsidR="008E5AB6">
        <w:rPr>
          <w:b/>
          <w:spacing w:val="-2"/>
        </w:rPr>
        <w:t>17</w:t>
      </w:r>
      <w:r w:rsidR="009E4A56">
        <w:rPr>
          <w:b/>
          <w:spacing w:val="-2"/>
        </w:rPr>
        <w:t>, 2020</w:t>
      </w:r>
    </w:p>
    <w:p w:rsidR="00822CE0" w14:paraId="1DBA0E1C" w14:textId="0EEC9752"/>
    <w:p w:rsidR="0072538A" w:rsidRPr="0072538A" w14:paraId="2575E441" w14:textId="2AEE05A9">
      <w:pPr>
        <w:rPr>
          <w:b/>
          <w:bCs/>
        </w:rPr>
      </w:pPr>
      <w:r>
        <w:rPr>
          <w:b/>
          <w:bCs/>
        </w:rPr>
        <w:t xml:space="preserve">Reply Comment Date: January </w:t>
      </w:r>
      <w:r w:rsidRPr="00C821E3">
        <w:rPr>
          <w:b/>
          <w:bCs/>
        </w:rPr>
        <w:t>15</w:t>
      </w:r>
      <w:r>
        <w:rPr>
          <w:b/>
          <w:bCs/>
        </w:rPr>
        <w:t>, 2021</w:t>
      </w:r>
    </w:p>
    <w:p w:rsidR="0072538A" w14:paraId="71D4E1F0" w14:textId="77777777"/>
    <w:p w:rsidR="004C2EE3" w14:paraId="05BC05C4" w14:textId="17DDBB74">
      <w:pPr>
        <w:rPr>
          <w:spacing w:val="-2"/>
        </w:rPr>
      </w:pPr>
      <w:r>
        <w:t xml:space="preserve">By </w:t>
      </w:r>
      <w:r w:rsidR="004E4A22">
        <w:t>the</w:t>
      </w:r>
      <w:r w:rsidR="002A2D2E">
        <w:t xml:space="preserve"> </w:t>
      </w:r>
      <w:r w:rsidR="009E4A56">
        <w:rPr>
          <w:spacing w:val="-2"/>
        </w:rPr>
        <w:t>Chief, Wireline Competition Bureau</w:t>
      </w:r>
      <w:r>
        <w:rPr>
          <w:spacing w:val="-2"/>
        </w:rPr>
        <w:t>:</w:t>
      </w:r>
    </w:p>
    <w:p w:rsidR="00822CE0" w14:paraId="1935EF85" w14:textId="77777777">
      <w:pPr>
        <w:rPr>
          <w:spacing w:val="-2"/>
        </w:rPr>
      </w:pPr>
    </w:p>
    <w:p w:rsidR="009E4A56" w:rsidP="009E4A56" w14:paraId="44202F12" w14:textId="239D6F54">
      <w:pPr>
        <w:pStyle w:val="ParaNum"/>
      </w:pPr>
      <w:r>
        <w:t>By this Order, the Wireline Competition Bureau (Bureau) of the Federal Communications Commission grants a</w:t>
      </w:r>
      <w:r w:rsidR="00CA08AD">
        <w:t>n</w:t>
      </w:r>
      <w:r>
        <w:t xml:space="preserve"> extension of time for filing reply comments on the </w:t>
      </w:r>
      <w:r w:rsidR="00042809">
        <w:rPr>
          <w:i/>
          <w:iCs/>
        </w:rPr>
        <w:t xml:space="preserve">ICS </w:t>
      </w:r>
      <w:r>
        <w:rPr>
          <w:i/>
          <w:iCs/>
        </w:rPr>
        <w:t xml:space="preserve">Fourth Further Notice </w:t>
      </w:r>
      <w:r>
        <w:t>in the above-captioned proceeding.</w:t>
      </w:r>
      <w:r>
        <w:rPr>
          <w:rStyle w:val="FootnoteReference"/>
        </w:rPr>
        <w:footnoteReference w:id="3"/>
      </w:r>
      <w:r>
        <w:t xml:space="preserve">  </w:t>
      </w:r>
      <w:r w:rsidR="00FE3781">
        <w:t>As a result, r</w:t>
      </w:r>
      <w:r>
        <w:t xml:space="preserve">eply comments are </w:t>
      </w:r>
      <w:r w:rsidR="00FE3781">
        <w:t xml:space="preserve">now </w:t>
      </w:r>
      <w:r>
        <w:t xml:space="preserve">due on January </w:t>
      </w:r>
      <w:r w:rsidRPr="00C821E3">
        <w:t>15</w:t>
      </w:r>
      <w:r>
        <w:t xml:space="preserve">, 2021.  </w:t>
      </w:r>
    </w:p>
    <w:p w:rsidR="009E4A56" w:rsidP="009E4A56" w14:paraId="54D7AF05" w14:textId="4908BEE9">
      <w:pPr>
        <w:pStyle w:val="ParaNum"/>
      </w:pPr>
      <w:r>
        <w:t>On</w:t>
      </w:r>
      <w:r w:rsidR="00681386">
        <w:t xml:space="preserve"> August 7, 2020, the Commission released the </w:t>
      </w:r>
      <w:r w:rsidR="00042809">
        <w:rPr>
          <w:i/>
          <w:iCs/>
        </w:rPr>
        <w:t xml:space="preserve">ICS </w:t>
      </w:r>
      <w:r w:rsidR="00681386">
        <w:rPr>
          <w:i/>
          <w:iCs/>
        </w:rPr>
        <w:t xml:space="preserve">Fourth Further Notice </w:t>
      </w:r>
      <w:r w:rsidR="00681386">
        <w:t>in this proceeding.</w:t>
      </w:r>
      <w:r>
        <w:rPr>
          <w:rStyle w:val="FootnoteReference"/>
        </w:rPr>
        <w:footnoteReference w:id="4"/>
      </w:r>
      <w:r w:rsidR="00681386">
        <w:t xml:space="preserve">  The </w:t>
      </w:r>
      <w:r w:rsidR="00042809">
        <w:rPr>
          <w:i/>
          <w:iCs/>
        </w:rPr>
        <w:t xml:space="preserve">ICS </w:t>
      </w:r>
      <w:r w:rsidR="00681386">
        <w:rPr>
          <w:i/>
          <w:iCs/>
        </w:rPr>
        <w:t xml:space="preserve">Fourth Further </w:t>
      </w:r>
      <w:r w:rsidRPr="0072538A" w:rsidR="00681386">
        <w:rPr>
          <w:i/>
          <w:iCs/>
        </w:rPr>
        <w:t>Notice</w:t>
      </w:r>
      <w:r w:rsidR="00681386">
        <w:t xml:space="preserve"> set deadlines for </w:t>
      </w:r>
      <w:r w:rsidR="00E44FFC">
        <w:t>filing</w:t>
      </w:r>
      <w:r w:rsidR="00681386">
        <w:t xml:space="preserve"> comments and reply comments at 30 and 60 days, respectively, after a summary of the item was published in the Federal Register.</w:t>
      </w:r>
      <w:r>
        <w:rPr>
          <w:rStyle w:val="FootnoteReference"/>
        </w:rPr>
        <w:footnoteReference w:id="5"/>
      </w:r>
      <w:r w:rsidR="00E44FFC">
        <w:t xml:space="preserve">  The Federal Register published that summary on October 23, 2020 and </w:t>
      </w:r>
      <w:r w:rsidR="00FE3781">
        <w:t xml:space="preserve">established </w:t>
      </w:r>
      <w:r w:rsidR="00E44FFC">
        <w:t xml:space="preserve">deadlines </w:t>
      </w:r>
      <w:r w:rsidR="004712C2">
        <w:t xml:space="preserve">of November 23, 2020 and December 22, 2020 </w:t>
      </w:r>
      <w:r w:rsidR="00E44FFC">
        <w:t>for filing comments and reply comments</w:t>
      </w:r>
      <w:r w:rsidR="004712C2">
        <w:t>,</w:t>
      </w:r>
      <w:r w:rsidR="00E44FFC">
        <w:t xml:space="preserve"> respectively.</w:t>
      </w:r>
      <w:r>
        <w:rPr>
          <w:rStyle w:val="FootnoteReference"/>
        </w:rPr>
        <w:footnoteReference w:id="6"/>
      </w:r>
      <w:r w:rsidR="00E44FFC">
        <w:t xml:space="preserve">  The Bureau released a Public Notice announcing th</w:t>
      </w:r>
      <w:r w:rsidR="00B545A7">
        <w:t>ose</w:t>
      </w:r>
      <w:r w:rsidR="00E44FFC">
        <w:t xml:space="preserve"> deadlines </w:t>
      </w:r>
      <w:r w:rsidR="00B545A7">
        <w:t>o</w:t>
      </w:r>
      <w:r w:rsidR="00E44FFC">
        <w:t>n October 23, 2020.</w:t>
      </w:r>
      <w:r>
        <w:rPr>
          <w:rStyle w:val="FootnoteReference"/>
        </w:rPr>
        <w:footnoteReference w:id="7"/>
      </w:r>
      <w:r w:rsidR="00681386">
        <w:t xml:space="preserve">  </w:t>
      </w:r>
    </w:p>
    <w:p w:rsidR="00E44FFC" w:rsidP="00AE32AA" w14:paraId="2122718B" w14:textId="133F01B6">
      <w:pPr>
        <w:pStyle w:val="ParaNum"/>
      </w:pPr>
      <w:r>
        <w:t xml:space="preserve">On December </w:t>
      </w:r>
      <w:r w:rsidR="00C821E3">
        <w:t>10</w:t>
      </w:r>
      <w:r>
        <w:t xml:space="preserve">, 2020, </w:t>
      </w:r>
      <w:r w:rsidR="00D05DC5">
        <w:t xml:space="preserve">the Wright Petitioners, Prison Policy Initiative, Public Knowledge, United Church of Christ, OC Inc., and Worth Rises (collectively, Movants) </w:t>
      </w:r>
      <w:r>
        <w:t>filed</w:t>
      </w:r>
      <w:r w:rsidR="003E38E3">
        <w:t xml:space="preserve"> </w:t>
      </w:r>
      <w:r w:rsidR="00D05DC5">
        <w:t xml:space="preserve">an </w:t>
      </w:r>
      <w:r w:rsidR="003E38E3">
        <w:t>Extension Request</w:t>
      </w:r>
      <w:r>
        <w:t xml:space="preserve"> </w:t>
      </w:r>
      <w:r w:rsidR="003E38E3">
        <w:t>seeking</w:t>
      </w:r>
      <w:r>
        <w:t xml:space="preserve"> to extend the reply comment deadline to January </w:t>
      </w:r>
      <w:r w:rsidRPr="00C821E3">
        <w:t>15</w:t>
      </w:r>
      <w:r>
        <w:t>, 2021.</w:t>
      </w:r>
      <w:r>
        <w:rPr>
          <w:rStyle w:val="FootnoteReference"/>
        </w:rPr>
        <w:footnoteReference w:id="8"/>
      </w:r>
      <w:r>
        <w:t xml:space="preserve">  Movants </w:t>
      </w:r>
      <w:r w:rsidR="00FE3781">
        <w:t xml:space="preserve">explain </w:t>
      </w:r>
      <w:r w:rsidR="00804834">
        <w:t xml:space="preserve">that “[m]any of the advocacy organizations that support incarcerated people and submitted comments in response to the </w:t>
      </w:r>
      <w:r w:rsidR="00804834">
        <w:rPr>
          <w:i/>
          <w:iCs/>
        </w:rPr>
        <w:t>Further Notice</w:t>
      </w:r>
      <w:r w:rsidR="00804834">
        <w:t xml:space="preserve"> are . . . devoting their limited resources to ensuring that every incarcerated person can communicate with loved ones” during the holiday season, which is “especially complicated” this year “because most jails and prisons have prohibited in-person visitation” due to the novel </w:t>
      </w:r>
      <w:r w:rsidR="00804834">
        <w:t>coronavirus (COVID-19)</w:t>
      </w:r>
      <w:r w:rsidR="00B6441C">
        <w:t xml:space="preserve"> pandemic</w:t>
      </w:r>
      <w:r w:rsidR="00804834">
        <w:t>.</w:t>
      </w:r>
      <w:r>
        <w:rPr>
          <w:rStyle w:val="FootnoteReference"/>
        </w:rPr>
        <w:footnoteReference w:id="9"/>
      </w:r>
      <w:r w:rsidR="00804834">
        <w:t xml:space="preserve">  Movants </w:t>
      </w:r>
      <w:r w:rsidR="008E3218">
        <w:t>assert</w:t>
      </w:r>
      <w:r w:rsidR="00804834">
        <w:t xml:space="preserve"> that “[a]n extension will enable </w:t>
      </w:r>
      <w:r w:rsidR="00D849B7">
        <w:t xml:space="preserve">[these] </w:t>
      </w:r>
      <w:r w:rsidR="00804834">
        <w:t>resource-constrained advocacy organizations to continue participating in this proceeding”</w:t>
      </w:r>
      <w:r w:rsidR="00CB17B5">
        <w:t xml:space="preserve"> and</w:t>
      </w:r>
      <w:r w:rsidR="00804834">
        <w:t xml:space="preserve"> “enable commenters to create a robust record</w:t>
      </w:r>
      <w:r w:rsidR="003E38E3">
        <w:t>.</w:t>
      </w:r>
      <w:r w:rsidR="00563B58">
        <w:t>”</w:t>
      </w:r>
      <w:r>
        <w:rPr>
          <w:rStyle w:val="FootnoteReference"/>
        </w:rPr>
        <w:footnoteReference w:id="10"/>
      </w:r>
      <w:r>
        <w:t xml:space="preserve">  </w:t>
      </w:r>
      <w:bookmarkStart w:id="2" w:name="_GoBack"/>
      <w:bookmarkEnd w:id="2"/>
    </w:p>
    <w:p w:rsidR="00252AE9" w:rsidP="00BA5EA8" w14:paraId="5670F78F" w14:textId="69D2817B">
      <w:pPr>
        <w:pStyle w:val="ParaNum"/>
      </w:pPr>
      <w:r>
        <w:t>As set forth in section 1.46 of the Commission’s rules, it is the policy of the Commission that extensions of time shall not be routinely granted.</w:t>
      </w:r>
      <w:r>
        <w:rPr>
          <w:rStyle w:val="FootnoteReference"/>
        </w:rPr>
        <w:footnoteReference w:id="11"/>
      </w:r>
      <w:r w:rsidR="00FE3781">
        <w:t xml:space="preserve"> </w:t>
      </w:r>
      <w:r w:rsidR="0072538A">
        <w:t xml:space="preserve"> Nevertheless, we find that Movants have shown good cause for an extension of the reply comment deadline and that the public interest will be served by extending that deadline</w:t>
      </w:r>
      <w:r w:rsidR="00214DDC">
        <w:t xml:space="preserve"> to </w:t>
      </w:r>
      <w:r w:rsidR="00BA5EA8">
        <w:t>January 15, 2021</w:t>
      </w:r>
      <w:r w:rsidR="0072538A">
        <w:t xml:space="preserve">.  </w:t>
      </w:r>
      <w:r w:rsidR="00AE32AA">
        <w:t xml:space="preserve">Movants </w:t>
      </w:r>
      <w:r w:rsidR="003E38E3">
        <w:t xml:space="preserve">assert </w:t>
      </w:r>
      <w:r w:rsidR="00AE32AA">
        <w:t>that</w:t>
      </w:r>
      <w:r w:rsidR="00984355">
        <w:t xml:space="preserve"> “[n]o party will be prejudiced or harmed” by an extension</w:t>
      </w:r>
      <w:r w:rsidR="00AE32AA">
        <w:t>.</w:t>
      </w:r>
      <w:r>
        <w:rPr>
          <w:rStyle w:val="FootnoteReference"/>
        </w:rPr>
        <w:footnoteReference w:id="12"/>
      </w:r>
      <w:r w:rsidR="00AE32AA">
        <w:t xml:space="preserve">  Movants explain that they contacted </w:t>
      </w:r>
      <w:r w:rsidR="003865B5">
        <w:t xml:space="preserve">certain </w:t>
      </w:r>
      <w:r w:rsidR="00AE32AA">
        <w:t xml:space="preserve">commenters in this proceeding regarding the </w:t>
      </w:r>
      <w:r w:rsidR="00FE0659">
        <w:t>E</w:t>
      </w:r>
      <w:r w:rsidR="00AE32AA">
        <w:t xml:space="preserve">xtension </w:t>
      </w:r>
      <w:r w:rsidR="00FE0659">
        <w:t>R</w:t>
      </w:r>
      <w:r w:rsidR="00AE32AA">
        <w:t>equest and “no party raised concerns.”</w:t>
      </w:r>
      <w:r>
        <w:rPr>
          <w:rStyle w:val="FootnoteReference"/>
        </w:rPr>
        <w:footnoteReference w:id="13"/>
      </w:r>
      <w:r w:rsidR="00AE32AA">
        <w:t xml:space="preserve">  </w:t>
      </w:r>
      <w:r w:rsidR="003B229B">
        <w:t xml:space="preserve">Finally, Movants emphasize that an extension will not delay the Commission in moving forward with this proceeding and that </w:t>
      </w:r>
      <w:r w:rsidR="00EA5104">
        <w:t xml:space="preserve">a </w:t>
      </w:r>
      <w:r w:rsidR="003B229B">
        <w:t xml:space="preserve">January 15, 2021 </w:t>
      </w:r>
      <w:r w:rsidR="00EC313D">
        <w:t xml:space="preserve">reply comment </w:t>
      </w:r>
      <w:r w:rsidR="003B229B">
        <w:t xml:space="preserve">deadline </w:t>
      </w:r>
      <w:r w:rsidR="004C3F50">
        <w:t xml:space="preserve">would be </w:t>
      </w:r>
      <w:r w:rsidR="003B229B">
        <w:t xml:space="preserve">consistent with the </w:t>
      </w:r>
      <w:r w:rsidR="004C3F50">
        <w:t xml:space="preserve">pleading cycle the </w:t>
      </w:r>
      <w:r w:rsidR="003B229B">
        <w:t>Bureau</w:t>
      </w:r>
      <w:r w:rsidR="00F310C4">
        <w:t xml:space="preserve"> </w:t>
      </w:r>
      <w:r w:rsidR="009B45C9">
        <w:t>has</w:t>
      </w:r>
      <w:r w:rsidR="003B229B">
        <w:t xml:space="preserve"> establish</w:t>
      </w:r>
      <w:r w:rsidR="009B45C9">
        <w:t xml:space="preserve">ed on </w:t>
      </w:r>
      <w:r w:rsidR="003B229B">
        <w:t>GTL’s petition for reconsideration</w:t>
      </w:r>
      <w:r w:rsidR="00A34D56">
        <w:t xml:space="preserve"> of </w:t>
      </w:r>
      <w:r w:rsidR="008A52A0">
        <w:t xml:space="preserve">the </w:t>
      </w:r>
      <w:r w:rsidR="00042809">
        <w:rPr>
          <w:i/>
          <w:iCs/>
        </w:rPr>
        <w:t xml:space="preserve">ICS </w:t>
      </w:r>
      <w:r w:rsidR="008A52A0">
        <w:rPr>
          <w:i/>
          <w:iCs/>
        </w:rPr>
        <w:t>Report and Order on Remand</w:t>
      </w:r>
      <w:r w:rsidR="008D301E">
        <w:t>.</w:t>
      </w:r>
      <w:r>
        <w:rPr>
          <w:rStyle w:val="FootnoteReference"/>
        </w:rPr>
        <w:footnoteReference w:id="14"/>
      </w:r>
      <w:r>
        <w:t xml:space="preserve">  </w:t>
      </w:r>
    </w:p>
    <w:p w:rsidR="00E44FFC" w:rsidP="00252AE9" w14:paraId="7326F08A" w14:textId="308A0879">
      <w:pPr>
        <w:pStyle w:val="ParaNum"/>
      </w:pPr>
      <w:r>
        <w:t>Under these circumstance</w:t>
      </w:r>
      <w:r w:rsidR="00252AE9">
        <w:t>s</w:t>
      </w:r>
      <w:r>
        <w:t xml:space="preserve">, and in the interest of allowing </w:t>
      </w:r>
      <w:r w:rsidR="00B12F3A">
        <w:t xml:space="preserve">all </w:t>
      </w:r>
      <w:r w:rsidR="00252AE9">
        <w:t xml:space="preserve">parties </w:t>
      </w:r>
      <w:r w:rsidR="00B545A7">
        <w:t>a</w:t>
      </w:r>
      <w:r w:rsidR="00B12F3A">
        <w:t>n</w:t>
      </w:r>
      <w:r w:rsidR="00B545A7">
        <w:t xml:space="preserve"> </w:t>
      </w:r>
      <w:r>
        <w:t>opportunity to fully and meaningfully respond to</w:t>
      </w:r>
      <w:r w:rsidR="00B545A7">
        <w:t xml:space="preserve"> </w:t>
      </w:r>
      <w:r w:rsidR="00DE04CA">
        <w:t xml:space="preserve">the </w:t>
      </w:r>
      <w:r w:rsidR="00B545A7">
        <w:t xml:space="preserve">comments </w:t>
      </w:r>
      <w:r w:rsidR="003B229B">
        <w:t xml:space="preserve">and expert reports </w:t>
      </w:r>
      <w:r w:rsidR="00B545A7">
        <w:t>filed in response to</w:t>
      </w:r>
      <w:r>
        <w:t xml:space="preserve"> the </w:t>
      </w:r>
      <w:r w:rsidRPr="00042809" w:rsidR="00042809">
        <w:rPr>
          <w:i/>
          <w:iCs/>
        </w:rPr>
        <w:t>ICS</w:t>
      </w:r>
      <w:r w:rsidR="00042809">
        <w:rPr>
          <w:i/>
          <w:iCs/>
        </w:rPr>
        <w:t xml:space="preserve"> </w:t>
      </w:r>
      <w:r w:rsidRPr="00042809">
        <w:rPr>
          <w:i/>
          <w:iCs/>
        </w:rPr>
        <w:t>Fourth</w:t>
      </w:r>
      <w:r w:rsidRPr="00252AE9">
        <w:rPr>
          <w:i/>
          <w:iCs/>
        </w:rPr>
        <w:t xml:space="preserve"> Further Notice</w:t>
      </w:r>
      <w:r>
        <w:t>, we agree tha</w:t>
      </w:r>
      <w:r w:rsidR="00CB17B5">
        <w:t>t</w:t>
      </w:r>
      <w:r>
        <w:t xml:space="preserve"> an extension of the reply comment deadline is warranted.  </w:t>
      </w:r>
    </w:p>
    <w:p w:rsidR="0072538A" w:rsidP="009E4A56" w14:paraId="1DA26EB7" w14:textId="586B99DF">
      <w:pPr>
        <w:pStyle w:val="ParaNum"/>
      </w:pPr>
      <w:r>
        <w:t>Accordingly, IT IS ORDERED, pursuant to sections 0.204, 0.291, and 1.46 of the Commission’s rules, 47 CFR §§</w:t>
      </w:r>
      <w:r w:rsidR="008E5AB6">
        <w:t> </w:t>
      </w:r>
      <w:r>
        <w:t xml:space="preserve">0.204, 0.291, 1.46, that the </w:t>
      </w:r>
      <w:r w:rsidR="00B12F3A">
        <w:t xml:space="preserve">Motion for </w:t>
      </w:r>
      <w:r w:rsidR="00695835">
        <w:t xml:space="preserve">Extension </w:t>
      </w:r>
      <w:r w:rsidR="00B12F3A">
        <w:t xml:space="preserve">of Time </w:t>
      </w:r>
      <w:r>
        <w:t xml:space="preserve">filed by the Movants on December </w:t>
      </w:r>
      <w:r w:rsidR="00AE32AA">
        <w:t>10</w:t>
      </w:r>
      <w:r>
        <w:t xml:space="preserve">, 2020 is GRANTED. </w:t>
      </w:r>
    </w:p>
    <w:p w:rsidR="0072538A" w:rsidP="009E4A56" w14:paraId="0C89B769" w14:textId="01129913">
      <w:pPr>
        <w:pStyle w:val="ParaNum"/>
      </w:pPr>
      <w:r>
        <w:t xml:space="preserve">IT IS </w:t>
      </w:r>
      <w:r w:rsidR="00695835">
        <w:t xml:space="preserve">FURTHER </w:t>
      </w:r>
      <w:r>
        <w:t xml:space="preserve">ORDERED that the date for filing reply comments on the </w:t>
      </w:r>
      <w:r w:rsidR="00042809">
        <w:rPr>
          <w:i/>
          <w:iCs/>
        </w:rPr>
        <w:t xml:space="preserve">ICS </w:t>
      </w:r>
      <w:r>
        <w:rPr>
          <w:i/>
          <w:iCs/>
        </w:rPr>
        <w:t>Fourth Further Notice</w:t>
      </w:r>
      <w:r>
        <w:t xml:space="preserve"> is EXTENDED to January</w:t>
      </w:r>
      <w:r w:rsidR="00AE32AA">
        <w:t xml:space="preserve"> </w:t>
      </w:r>
      <w:r w:rsidRPr="00AE32AA">
        <w:t>15</w:t>
      </w:r>
      <w:r>
        <w:t xml:space="preserve">, 2021. </w:t>
      </w:r>
    </w:p>
    <w:p w:rsidR="00B545A7" w:rsidP="009E4A56" w14:paraId="290F8FAD" w14:textId="34521411">
      <w:pPr>
        <w:pStyle w:val="ParaNum"/>
      </w:pPr>
      <w:r>
        <w:t xml:space="preserve">To request materials in accessible formats (such as Braille, large print, electronic files, or audio format), send an email to: </w:t>
      </w:r>
      <w:hyperlink r:id="rId5" w:history="1">
        <w:r w:rsidRPr="00873011">
          <w:rPr>
            <w:rStyle w:val="Hyperlink"/>
          </w:rPr>
          <w:t>fcc504@fcc.gov</w:t>
        </w:r>
      </w:hyperlink>
      <w:r>
        <w:t xml:space="preserve">, or call the Consumer and Governmental Affairs Bureau at (202) 418-0530 (voice) or (202) 418-0432 (TTY).  </w:t>
      </w:r>
    </w:p>
    <w:p w:rsidR="0072538A" w:rsidP="009E4A56" w14:paraId="2F48A18C" w14:textId="12B94C3C">
      <w:pPr>
        <w:pStyle w:val="ParaNum"/>
      </w:pPr>
      <w:r>
        <w:t>For further information concerning this proceeding, please contact Peter Bean</w:t>
      </w:r>
      <w:r w:rsidR="00B545A7">
        <w:t xml:space="preserve"> of the Wireline Competition Bureau, Pricing Policy Division, at (202) 418-0786 or </w:t>
      </w:r>
      <w:hyperlink r:id="rId6" w:history="1">
        <w:r w:rsidRPr="00873011" w:rsidR="00B545A7">
          <w:rPr>
            <w:rStyle w:val="Hyperlink"/>
          </w:rPr>
          <w:t>peter.bean@fcc.gov</w:t>
        </w:r>
      </w:hyperlink>
      <w:r w:rsidR="00B545A7">
        <w:t xml:space="preserve">. </w:t>
      </w:r>
    </w:p>
    <w:p w:rsidR="00B545A7" w:rsidP="006B1285" w14:paraId="335ADA98" w14:textId="318E3CC9">
      <w:pPr>
        <w:pStyle w:val="ParaNum"/>
        <w:numPr>
          <w:ilvl w:val="0"/>
          <w:numId w:val="0"/>
        </w:numPr>
        <w:ind w:left="3600" w:firstLine="720"/>
      </w:pPr>
      <w:r>
        <w:t>FEDERAL COMMUNICATIONS COMMISSION</w:t>
      </w:r>
    </w:p>
    <w:p w:rsidR="00B545A7" w:rsidP="00B545A7" w14:paraId="0D312163" w14:textId="30DA9A26">
      <w:pPr>
        <w:pStyle w:val="ParaNum"/>
        <w:numPr>
          <w:ilvl w:val="0"/>
          <w:numId w:val="0"/>
        </w:numPr>
        <w:ind w:left="4320"/>
      </w:pPr>
    </w:p>
    <w:p w:rsidR="00B545A7" w:rsidP="00B545A7" w14:paraId="4D586CB6" w14:textId="544F51D7">
      <w:pPr>
        <w:pStyle w:val="ParaNum"/>
        <w:numPr>
          <w:ilvl w:val="0"/>
          <w:numId w:val="0"/>
        </w:numPr>
        <w:ind w:left="4320"/>
      </w:pPr>
    </w:p>
    <w:p w:rsidR="006B1285" w:rsidP="00223C1C" w14:paraId="0A643FBE" w14:textId="77777777">
      <w:pPr>
        <w:pStyle w:val="ParaNum"/>
        <w:numPr>
          <w:ilvl w:val="0"/>
          <w:numId w:val="0"/>
        </w:numPr>
      </w:pPr>
    </w:p>
    <w:p w:rsidR="00B545A7" w:rsidP="00B545A7" w14:paraId="05422405" w14:textId="302BBC71">
      <w:pPr>
        <w:pStyle w:val="ParaNum"/>
        <w:numPr>
          <w:ilvl w:val="0"/>
          <w:numId w:val="0"/>
        </w:numPr>
        <w:spacing w:after="0"/>
        <w:ind w:left="4320"/>
      </w:pPr>
      <w:r>
        <w:t>Kris Anne Monteith</w:t>
      </w:r>
    </w:p>
    <w:p w:rsidR="00B545A7" w:rsidP="00B545A7" w14:paraId="18E8FDE4" w14:textId="6C20E317">
      <w:pPr>
        <w:pStyle w:val="ParaNum"/>
        <w:numPr>
          <w:ilvl w:val="0"/>
          <w:numId w:val="0"/>
        </w:numPr>
        <w:spacing w:after="0"/>
        <w:ind w:left="4320"/>
      </w:pPr>
      <w:r>
        <w:t>Chief</w:t>
      </w:r>
    </w:p>
    <w:p w:rsidR="00B545A7" w:rsidRPr="009E4A56" w:rsidP="00B545A7" w14:paraId="44B4E0B7" w14:textId="33E713A1">
      <w:pPr>
        <w:pStyle w:val="ParaNum"/>
        <w:numPr>
          <w:ilvl w:val="0"/>
          <w:numId w:val="0"/>
        </w:numPr>
        <w:spacing w:after="0"/>
        <w:ind w:left="4320"/>
      </w:pPr>
      <w:r>
        <w:t>Wireline Competition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CEDD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1EE8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8D274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CD4939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F5A5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3E1C" w14:paraId="027F4DF4" w14:textId="77777777">
      <w:r>
        <w:separator/>
      </w:r>
    </w:p>
  </w:footnote>
  <w:footnote w:type="continuationSeparator" w:id="1">
    <w:p w:rsidR="00203E1C" w:rsidP="00C721AC" w14:paraId="3006C325" w14:textId="77777777">
      <w:pPr>
        <w:spacing w:before="120"/>
        <w:rPr>
          <w:sz w:val="20"/>
        </w:rPr>
      </w:pPr>
      <w:r>
        <w:rPr>
          <w:sz w:val="20"/>
        </w:rPr>
        <w:t xml:space="preserve">(Continued from previous page)  </w:t>
      </w:r>
      <w:r>
        <w:rPr>
          <w:sz w:val="20"/>
        </w:rPr>
        <w:separator/>
      </w:r>
    </w:p>
  </w:footnote>
  <w:footnote w:type="continuationNotice" w:id="2">
    <w:p w:rsidR="00203E1C" w:rsidP="00C721AC" w14:paraId="5961267A" w14:textId="77777777">
      <w:pPr>
        <w:jc w:val="right"/>
        <w:rPr>
          <w:sz w:val="20"/>
        </w:rPr>
      </w:pPr>
      <w:r>
        <w:rPr>
          <w:sz w:val="20"/>
        </w:rPr>
        <w:t>(continued….)</w:t>
      </w:r>
    </w:p>
  </w:footnote>
  <w:footnote w:id="3">
    <w:p w:rsidR="00FE3781" w14:paraId="18F373EC" w14:textId="32FAD8BA">
      <w:pPr>
        <w:pStyle w:val="FootnoteText"/>
      </w:pPr>
      <w:r>
        <w:rPr>
          <w:rStyle w:val="FootnoteReference"/>
        </w:rPr>
        <w:footnoteRef/>
      </w:r>
      <w:r w:rsidR="003F6347">
        <w:t xml:space="preserve"> </w:t>
      </w:r>
      <w:r w:rsidR="00D05DC5">
        <w:t xml:space="preserve">Reply </w:t>
      </w:r>
      <w:r w:rsidR="003F6347">
        <w:t>c</w:t>
      </w:r>
      <w:r w:rsidR="00D05DC5">
        <w:t xml:space="preserve">omments were originally due on December 22, 2020. </w:t>
      </w:r>
      <w:r w:rsidR="005228F7">
        <w:t xml:space="preserve"> </w:t>
      </w:r>
      <w:r w:rsidRPr="003F6347" w:rsidR="00D05DC5">
        <w:rPr>
          <w:i/>
          <w:iCs/>
        </w:rPr>
        <w:t>See</w:t>
      </w:r>
      <w:r w:rsidR="00D05DC5">
        <w:t xml:space="preserve"> </w:t>
      </w:r>
      <w:r w:rsidR="00D05DC5">
        <w:rPr>
          <w:i/>
          <w:iCs/>
        </w:rPr>
        <w:t>Wireline Competition Bureau Announces Comment Dates in Response to Fourth Further Notice of Proposed Rulemaking Regarding Inmate Calling Services</w:t>
      </w:r>
      <w:r w:rsidR="00D05DC5">
        <w:t xml:space="preserve">, WC Docket No. 12-375, Public Notice, DA 20-1256 (WCB Oct. 23, 2020) </w:t>
      </w:r>
      <w:bookmarkStart w:id="0" w:name="_Hlk58853480"/>
      <w:r w:rsidR="00D05DC5">
        <w:t>(</w:t>
      </w:r>
      <w:r w:rsidRPr="003F6347" w:rsidR="00D05DC5">
        <w:rPr>
          <w:i/>
          <w:iCs/>
        </w:rPr>
        <w:t xml:space="preserve">ICS </w:t>
      </w:r>
      <w:r w:rsidR="00D05DC5">
        <w:rPr>
          <w:i/>
          <w:iCs/>
        </w:rPr>
        <w:t xml:space="preserve">Fourth </w:t>
      </w:r>
      <w:r w:rsidRPr="003F6347" w:rsidR="00D05DC5">
        <w:rPr>
          <w:i/>
          <w:iCs/>
        </w:rPr>
        <w:t>Further Notice Comment Cycle PN</w:t>
      </w:r>
      <w:r w:rsidR="00D05DC5">
        <w:t xml:space="preserve">). </w:t>
      </w:r>
      <w:bookmarkEnd w:id="0"/>
    </w:p>
  </w:footnote>
  <w:footnote w:id="4">
    <w:p w:rsidR="00681386" w14:paraId="4478785D" w14:textId="1B2BF0CD">
      <w:pPr>
        <w:pStyle w:val="FootnoteText"/>
      </w:pPr>
      <w:r>
        <w:rPr>
          <w:rStyle w:val="FootnoteReference"/>
        </w:rPr>
        <w:footnoteRef/>
      </w:r>
      <w:r>
        <w:t xml:space="preserve"> </w:t>
      </w:r>
      <w:r w:rsidR="006B1285">
        <w:rPr>
          <w:i/>
          <w:iCs/>
        </w:rPr>
        <w:t xml:space="preserve">See </w:t>
      </w:r>
      <w:r w:rsidR="005228F7">
        <w:rPr>
          <w:i/>
          <w:iCs/>
        </w:rPr>
        <w:t>Rates for Interstate Inmate Calling Services</w:t>
      </w:r>
      <w:r w:rsidR="005228F7">
        <w:t xml:space="preserve">, WC Docket No. 12-375, Report and Order on Remand and Fourth Further Notice of Proposed Rulemaking, 35 FCC </w:t>
      </w:r>
      <w:r w:rsidR="005228F7">
        <w:t>Rcd</w:t>
      </w:r>
      <w:r w:rsidR="005228F7">
        <w:t xml:space="preserve"> 8485 (2020) (</w:t>
      </w:r>
      <w:r w:rsidR="00042809">
        <w:rPr>
          <w:i/>
          <w:iCs/>
        </w:rPr>
        <w:t xml:space="preserve">ICS </w:t>
      </w:r>
      <w:r w:rsidR="003865B5">
        <w:rPr>
          <w:i/>
          <w:iCs/>
        </w:rPr>
        <w:t>Report and Order on Remand or</w:t>
      </w:r>
      <w:r w:rsidR="00042809">
        <w:rPr>
          <w:i/>
          <w:iCs/>
        </w:rPr>
        <w:t xml:space="preserve"> ICS </w:t>
      </w:r>
      <w:r w:rsidR="006B1285">
        <w:rPr>
          <w:i/>
          <w:iCs/>
        </w:rPr>
        <w:t xml:space="preserve">Fourth Further </w:t>
      </w:r>
      <w:r w:rsidRPr="006B1285" w:rsidR="006B1285">
        <w:rPr>
          <w:i/>
          <w:iCs/>
        </w:rPr>
        <w:t>Notice</w:t>
      </w:r>
      <w:r w:rsidR="003865B5">
        <w:rPr>
          <w:i/>
          <w:iCs/>
        </w:rPr>
        <w:t xml:space="preserve"> or Further </w:t>
      </w:r>
      <w:r w:rsidRPr="006B1285" w:rsidR="003865B5">
        <w:rPr>
          <w:i/>
          <w:iCs/>
        </w:rPr>
        <w:t>Notice</w:t>
      </w:r>
      <w:r w:rsidRPr="003865B5" w:rsidR="005228F7">
        <w:t>)</w:t>
      </w:r>
      <w:r w:rsidR="006B1285">
        <w:t xml:space="preserve">.  </w:t>
      </w:r>
    </w:p>
  </w:footnote>
  <w:footnote w:id="5">
    <w:p w:rsidR="00E44FFC" w:rsidRPr="00E44FFC" w14:paraId="2F900BCA" w14:textId="2DBFD2A6">
      <w:pPr>
        <w:pStyle w:val="FootnoteText"/>
      </w:pPr>
      <w:r>
        <w:rPr>
          <w:rStyle w:val="FootnoteReference"/>
        </w:rPr>
        <w:footnoteRef/>
      </w:r>
      <w:r>
        <w:t xml:space="preserve"> </w:t>
      </w:r>
      <w:r w:rsidRPr="00042809" w:rsidR="00042809">
        <w:rPr>
          <w:i/>
          <w:iCs/>
        </w:rPr>
        <w:t xml:space="preserve">ICS </w:t>
      </w:r>
      <w:r w:rsidRPr="00042809">
        <w:rPr>
          <w:i/>
          <w:iCs/>
        </w:rPr>
        <w:t>Fourth</w:t>
      </w:r>
      <w:r>
        <w:rPr>
          <w:i/>
          <w:iCs/>
        </w:rPr>
        <w:t xml:space="preserve"> Further Notice</w:t>
      </w:r>
      <w:r>
        <w:t xml:space="preserve">, 35 FCC </w:t>
      </w:r>
      <w:r>
        <w:t>Rcd</w:t>
      </w:r>
      <w:r>
        <w:t xml:space="preserve"> at 8485.  </w:t>
      </w:r>
    </w:p>
  </w:footnote>
  <w:footnote w:id="6">
    <w:p w:rsidR="00E44FFC" w:rsidRPr="00E44FFC" w14:paraId="65314DD2" w14:textId="4FBD0874">
      <w:pPr>
        <w:pStyle w:val="FootnoteText"/>
      </w:pPr>
      <w:r>
        <w:rPr>
          <w:rStyle w:val="FootnoteReference"/>
        </w:rPr>
        <w:footnoteRef/>
      </w:r>
      <w:r>
        <w:t xml:space="preserve"> Federal Communications Commission, Rates for Interstate Inmate Calling Services, 85 Fed. Reg. 67480 (Oct. 23, 2020).  </w:t>
      </w:r>
    </w:p>
  </w:footnote>
  <w:footnote w:id="7">
    <w:p w:rsidR="00E44FFC" w:rsidRPr="00E44FFC" w14:paraId="4095B6BA" w14:textId="237AA3D7">
      <w:pPr>
        <w:pStyle w:val="FootnoteText"/>
      </w:pPr>
      <w:r>
        <w:rPr>
          <w:rStyle w:val="FootnoteReference"/>
        </w:rPr>
        <w:footnoteRef/>
      </w:r>
      <w:r>
        <w:t xml:space="preserve"> </w:t>
      </w:r>
      <w:r w:rsidRPr="00983655" w:rsidR="005228F7">
        <w:rPr>
          <w:i/>
          <w:iCs/>
        </w:rPr>
        <w:t>ICS</w:t>
      </w:r>
      <w:r w:rsidR="005228F7">
        <w:t xml:space="preserve"> </w:t>
      </w:r>
      <w:r>
        <w:rPr>
          <w:i/>
          <w:iCs/>
        </w:rPr>
        <w:t>Fourth Further Notice</w:t>
      </w:r>
      <w:r w:rsidRPr="005228F7" w:rsidR="005228F7">
        <w:rPr>
          <w:i/>
          <w:iCs/>
        </w:rPr>
        <w:t xml:space="preserve"> </w:t>
      </w:r>
      <w:r w:rsidRPr="00983655" w:rsidR="005228F7">
        <w:rPr>
          <w:i/>
          <w:iCs/>
        </w:rPr>
        <w:t>Comment Cycle PN</w:t>
      </w:r>
      <w:r w:rsidRPr="003F6347" w:rsidR="005228F7">
        <w:t>.</w:t>
      </w:r>
    </w:p>
  </w:footnote>
  <w:footnote w:id="8">
    <w:p w:rsidR="00E44FFC" w14:paraId="3BCF6045" w14:textId="32EC304B">
      <w:pPr>
        <w:pStyle w:val="FootnoteText"/>
      </w:pPr>
      <w:r>
        <w:rPr>
          <w:rStyle w:val="FootnoteReference"/>
        </w:rPr>
        <w:footnoteRef/>
      </w:r>
      <w:r>
        <w:t xml:space="preserve"> </w:t>
      </w:r>
      <w:r w:rsidR="005228F7">
        <w:t>The Wright Petitioners, Prison Policy Initiative, Public Knowledge, United Church of Christ, OC Inc., and Worth Rises, Motion for Extension of Time to Reply, WC Docket No. 12-375</w:t>
      </w:r>
      <w:r w:rsidR="003F6347">
        <w:t>,</w:t>
      </w:r>
      <w:r w:rsidR="005228F7">
        <w:t xml:space="preserve"> at 1 (filed Dec. 10, 2020) (</w:t>
      </w:r>
      <w:r w:rsidR="003E38E3">
        <w:t>Extension Request</w:t>
      </w:r>
      <w:r w:rsidR="005228F7">
        <w:t>)</w:t>
      </w:r>
      <w:r w:rsidR="003E38E3">
        <w:t xml:space="preserve">.  </w:t>
      </w:r>
      <w:r>
        <w:t xml:space="preserve">  </w:t>
      </w:r>
    </w:p>
  </w:footnote>
  <w:footnote w:id="9">
    <w:p w:rsidR="00804834" w14:paraId="0CCA3A10" w14:textId="072071DF">
      <w:pPr>
        <w:pStyle w:val="FootnoteText"/>
      </w:pPr>
      <w:r>
        <w:rPr>
          <w:rStyle w:val="FootnoteReference"/>
        </w:rPr>
        <w:footnoteRef/>
      </w:r>
      <w:r>
        <w:t xml:space="preserve"> </w:t>
      </w:r>
      <w:bookmarkStart w:id="1" w:name="_Hlk58854113"/>
      <w:r w:rsidR="003F6347">
        <w:rPr>
          <w:i/>
        </w:rPr>
        <w:t>Id.</w:t>
      </w:r>
      <w:r>
        <w:t xml:space="preserve"> </w:t>
      </w:r>
      <w:bookmarkEnd w:id="1"/>
      <w:r>
        <w:t xml:space="preserve">at 2-3.  </w:t>
      </w:r>
    </w:p>
  </w:footnote>
  <w:footnote w:id="10">
    <w:p w:rsidR="00804834" w14:paraId="7E3C2960" w14:textId="2CEF9823">
      <w:pPr>
        <w:pStyle w:val="FootnoteText"/>
      </w:pPr>
      <w:r>
        <w:rPr>
          <w:rStyle w:val="FootnoteReference"/>
        </w:rPr>
        <w:footnoteRef/>
      </w:r>
      <w:r>
        <w:t xml:space="preserve"> </w:t>
      </w:r>
      <w:r w:rsidR="003F6347">
        <w:rPr>
          <w:i/>
          <w:iCs/>
        </w:rPr>
        <w:t>Id.</w:t>
      </w:r>
      <w:r w:rsidR="00AE32AA">
        <w:t xml:space="preserve"> at </w:t>
      </w:r>
      <w:r w:rsidR="006B1285">
        <w:t xml:space="preserve">2, </w:t>
      </w:r>
      <w:r w:rsidR="00AE32AA">
        <w:t xml:space="preserve">4.  </w:t>
      </w:r>
    </w:p>
  </w:footnote>
  <w:footnote w:id="11">
    <w:p w:rsidR="00FE3781" w:rsidP="00FE3781" w14:paraId="4854F3DF" w14:textId="77777777">
      <w:pPr>
        <w:pStyle w:val="FootnoteText"/>
      </w:pPr>
      <w:r>
        <w:rPr>
          <w:rStyle w:val="FootnoteReference"/>
        </w:rPr>
        <w:footnoteRef/>
      </w:r>
      <w:r>
        <w:t xml:space="preserve"> 47 CFR § 1.46.  </w:t>
      </w:r>
    </w:p>
  </w:footnote>
  <w:footnote w:id="12">
    <w:p w:rsidR="00AA159F" w14:paraId="0E3B6C52" w14:textId="605BEB6A">
      <w:pPr>
        <w:pStyle w:val="FootnoteText"/>
      </w:pPr>
      <w:r>
        <w:rPr>
          <w:rStyle w:val="FootnoteReference"/>
        </w:rPr>
        <w:footnoteRef/>
      </w:r>
      <w:r>
        <w:t xml:space="preserve"> Extension Request at 3.  </w:t>
      </w:r>
    </w:p>
  </w:footnote>
  <w:footnote w:id="13">
    <w:p w:rsidR="00AE32AA" w14:paraId="1255D20D" w14:textId="29C9330F">
      <w:pPr>
        <w:pStyle w:val="FootnoteText"/>
      </w:pPr>
      <w:r>
        <w:rPr>
          <w:rStyle w:val="FootnoteReference"/>
        </w:rPr>
        <w:footnoteRef/>
      </w:r>
      <w:r>
        <w:t xml:space="preserve"> </w:t>
      </w:r>
      <w:r w:rsidR="003F6347">
        <w:rPr>
          <w:i/>
          <w:iCs/>
        </w:rPr>
        <w:t>Id.</w:t>
      </w:r>
      <w:r>
        <w:t xml:space="preserve"> at 3 </w:t>
      </w:r>
      <w:r w:rsidR="004C5689">
        <w:t>&amp;</w:t>
      </w:r>
      <w:r>
        <w:t xml:space="preserve"> n.9.  </w:t>
      </w:r>
      <w:r w:rsidR="0086347B">
        <w:t xml:space="preserve">Movants </w:t>
      </w:r>
      <w:r w:rsidR="00F3064B">
        <w:t xml:space="preserve">specify </w:t>
      </w:r>
      <w:r w:rsidR="0086347B">
        <w:t>that four parties to this proceeding—</w:t>
      </w:r>
      <w:r w:rsidR="0086347B">
        <w:rPr>
          <w:szCs w:val="22"/>
        </w:rPr>
        <w:t>Securus Technologies, LLC, Global Tel*Link C</w:t>
      </w:r>
      <w:r w:rsidR="0086347B">
        <w:rPr>
          <w:rFonts w:ascii="TimesNewRomanPSMT" w:hAnsi="TimesNewRomanPSMT" w:cs="TimesNewRomanPSMT"/>
          <w:szCs w:val="22"/>
        </w:rPr>
        <w:t xml:space="preserve">orporation (GTL), Pay Tel </w:t>
      </w:r>
      <w:r w:rsidR="0086347B">
        <w:rPr>
          <w:szCs w:val="22"/>
        </w:rPr>
        <w:t>Communications, Inc., and NCIC Inmate Communications—have indicated that they will not oppose an extension to January 15, 202</w:t>
      </w:r>
      <w:r w:rsidR="008E3218">
        <w:rPr>
          <w:szCs w:val="22"/>
        </w:rPr>
        <w:t>1</w:t>
      </w:r>
      <w:r w:rsidR="0086347B">
        <w:rPr>
          <w:szCs w:val="22"/>
        </w:rPr>
        <w:t xml:space="preserve">.  </w:t>
      </w:r>
      <w:r w:rsidR="0086347B">
        <w:rPr>
          <w:i/>
          <w:iCs/>
          <w:szCs w:val="22"/>
        </w:rPr>
        <w:t xml:space="preserve">Id. </w:t>
      </w:r>
      <w:r w:rsidR="0086347B">
        <w:rPr>
          <w:szCs w:val="22"/>
        </w:rPr>
        <w:t>at 3 n.9.</w:t>
      </w:r>
    </w:p>
  </w:footnote>
  <w:footnote w:id="14">
    <w:p w:rsidR="003B229B" w14:paraId="6BC5B47B" w14:textId="1072BABC">
      <w:pPr>
        <w:pStyle w:val="FootnoteText"/>
      </w:pPr>
      <w:r>
        <w:rPr>
          <w:rStyle w:val="FootnoteReference"/>
        </w:rPr>
        <w:footnoteRef/>
      </w:r>
      <w:r>
        <w:t xml:space="preserve"> </w:t>
      </w:r>
      <w:r w:rsidR="00E92ACB">
        <w:rPr>
          <w:i/>
          <w:iCs/>
        </w:rPr>
        <w:t>Id.</w:t>
      </w:r>
      <w:r>
        <w:t xml:space="preserve"> at 3</w:t>
      </w:r>
      <w:r w:rsidR="00252AE9">
        <w:t xml:space="preserve"> </w:t>
      </w:r>
      <w:r w:rsidR="004C5689">
        <w:t>&amp;</w:t>
      </w:r>
      <w:r w:rsidR="00252AE9">
        <w:t xml:space="preserve"> n.10; </w:t>
      </w:r>
      <w:r w:rsidR="00252AE9">
        <w:rPr>
          <w:i/>
          <w:iCs/>
        </w:rPr>
        <w:t>Petition for Reconsideration of the 2020 Inmate Calling Services Report and Order on Remand</w:t>
      </w:r>
      <w:r w:rsidR="00252AE9">
        <w:t>, WC Docket No. 12-375, Public Notice, DA 20-1446 (WCB Dec. 3, 2020)</w:t>
      </w:r>
      <w:r w:rsidR="00A34D56">
        <w:t xml:space="preserve"> (</w:t>
      </w:r>
      <w:r w:rsidR="00BB11D0">
        <w:t>specifying that oppositions to GTL</w:t>
      </w:r>
      <w:r w:rsidR="00FE0659">
        <w:t>’s</w:t>
      </w:r>
      <w:r w:rsidR="00BB11D0">
        <w:t xml:space="preserve"> </w:t>
      </w:r>
      <w:r w:rsidR="00B9791D">
        <w:t>petition for reconsideration shall be filed no later than</w:t>
      </w:r>
      <w:r w:rsidR="0093114C">
        <w:t xml:space="preserve"> </w:t>
      </w:r>
      <w:r w:rsidR="00BB11D0">
        <w:t>January</w:t>
      </w:r>
      <w:r w:rsidR="006E6C09">
        <w:t xml:space="preserve"> 11, 2021 and that replies to such oppositions shall be filed no later than </w:t>
      </w:r>
      <w:r w:rsidR="008963A6">
        <w:t>January 21, 2021</w:t>
      </w:r>
      <w:r w:rsidR="00034280">
        <w:t>)</w:t>
      </w:r>
      <w:r w:rsidR="00C2533A">
        <w:t>.</w:t>
      </w:r>
      <w:r w:rsidR="00252AE9">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805657" w14:textId="1F482ECF">
    <w:pPr>
      <w:pStyle w:val="Header"/>
      <w:rPr>
        <w:b w:val="0"/>
      </w:rPr>
    </w:pPr>
    <w:r>
      <w:tab/>
      <w:t>Federal Communications Commission</w:t>
    </w:r>
    <w:r>
      <w:tab/>
    </w:r>
    <w:r w:rsidR="006B242B">
      <w:t>DA 20-1499</w:t>
    </w:r>
  </w:p>
  <w:p w:rsidR="00D25FB5" w14:paraId="1F7D257E" w14:textId="793A704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F141D1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D67B03" w14:textId="1BC24D6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E4A56">
      <w:rPr>
        <w:spacing w:val="-2"/>
      </w:rPr>
      <w:t>DA 20-</w:t>
    </w:r>
    <w:r w:rsidR="006B242B">
      <w:rPr>
        <w:spacing w:val="-2"/>
      </w:rPr>
      <w:t>1499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56"/>
    <w:rsid w:val="00034280"/>
    <w:rsid w:val="00036039"/>
    <w:rsid w:val="0003622A"/>
    <w:rsid w:val="00037F90"/>
    <w:rsid w:val="00042809"/>
    <w:rsid w:val="000875BF"/>
    <w:rsid w:val="00087655"/>
    <w:rsid w:val="00096D8C"/>
    <w:rsid w:val="000A141E"/>
    <w:rsid w:val="000C0B65"/>
    <w:rsid w:val="000C6926"/>
    <w:rsid w:val="000E05FE"/>
    <w:rsid w:val="000E2BE5"/>
    <w:rsid w:val="000E3D42"/>
    <w:rsid w:val="000F407F"/>
    <w:rsid w:val="00105043"/>
    <w:rsid w:val="0010712C"/>
    <w:rsid w:val="00112115"/>
    <w:rsid w:val="00112571"/>
    <w:rsid w:val="001212F8"/>
    <w:rsid w:val="00122BD5"/>
    <w:rsid w:val="00133F79"/>
    <w:rsid w:val="001533DF"/>
    <w:rsid w:val="001801AF"/>
    <w:rsid w:val="00194A66"/>
    <w:rsid w:val="001D6BCF"/>
    <w:rsid w:val="001E01CA"/>
    <w:rsid w:val="001E1903"/>
    <w:rsid w:val="001E3B01"/>
    <w:rsid w:val="00203E1C"/>
    <w:rsid w:val="002119AF"/>
    <w:rsid w:val="00214DDC"/>
    <w:rsid w:val="00223C1C"/>
    <w:rsid w:val="0024559B"/>
    <w:rsid w:val="00251B94"/>
    <w:rsid w:val="00252AE9"/>
    <w:rsid w:val="00275CF5"/>
    <w:rsid w:val="0028301F"/>
    <w:rsid w:val="00285017"/>
    <w:rsid w:val="002A2D2E"/>
    <w:rsid w:val="002A3BD6"/>
    <w:rsid w:val="002B7CC8"/>
    <w:rsid w:val="002C00E8"/>
    <w:rsid w:val="002C172B"/>
    <w:rsid w:val="002E2E44"/>
    <w:rsid w:val="002F65A4"/>
    <w:rsid w:val="00301328"/>
    <w:rsid w:val="00326ADD"/>
    <w:rsid w:val="003413A8"/>
    <w:rsid w:val="00343749"/>
    <w:rsid w:val="003660ED"/>
    <w:rsid w:val="00366163"/>
    <w:rsid w:val="00372115"/>
    <w:rsid w:val="003865B5"/>
    <w:rsid w:val="00390D3F"/>
    <w:rsid w:val="003B0550"/>
    <w:rsid w:val="003B229B"/>
    <w:rsid w:val="003B694F"/>
    <w:rsid w:val="003E02A2"/>
    <w:rsid w:val="003E08D2"/>
    <w:rsid w:val="003E38E3"/>
    <w:rsid w:val="003F171C"/>
    <w:rsid w:val="003F5151"/>
    <w:rsid w:val="003F6347"/>
    <w:rsid w:val="003F7773"/>
    <w:rsid w:val="00412FC5"/>
    <w:rsid w:val="004139DF"/>
    <w:rsid w:val="00422276"/>
    <w:rsid w:val="004238AF"/>
    <w:rsid w:val="004242F1"/>
    <w:rsid w:val="00425743"/>
    <w:rsid w:val="00430C95"/>
    <w:rsid w:val="0043217B"/>
    <w:rsid w:val="00445A00"/>
    <w:rsid w:val="00450015"/>
    <w:rsid w:val="00451B0F"/>
    <w:rsid w:val="004712C2"/>
    <w:rsid w:val="00484BFE"/>
    <w:rsid w:val="004C2EE3"/>
    <w:rsid w:val="004C37DD"/>
    <w:rsid w:val="004C3F50"/>
    <w:rsid w:val="004C5689"/>
    <w:rsid w:val="004D0216"/>
    <w:rsid w:val="004E4A22"/>
    <w:rsid w:val="00511968"/>
    <w:rsid w:val="005228F7"/>
    <w:rsid w:val="0055614C"/>
    <w:rsid w:val="00563B58"/>
    <w:rsid w:val="00566D06"/>
    <w:rsid w:val="005A1B6B"/>
    <w:rsid w:val="005D6561"/>
    <w:rsid w:val="005E14C2"/>
    <w:rsid w:val="00607BA5"/>
    <w:rsid w:val="0061180A"/>
    <w:rsid w:val="00612199"/>
    <w:rsid w:val="00626EB6"/>
    <w:rsid w:val="006421CB"/>
    <w:rsid w:val="00655D03"/>
    <w:rsid w:val="00681386"/>
    <w:rsid w:val="00683388"/>
    <w:rsid w:val="00683F84"/>
    <w:rsid w:val="006934AB"/>
    <w:rsid w:val="00693F62"/>
    <w:rsid w:val="00695835"/>
    <w:rsid w:val="006974E5"/>
    <w:rsid w:val="006A6A81"/>
    <w:rsid w:val="006B1285"/>
    <w:rsid w:val="006B242B"/>
    <w:rsid w:val="006E6C09"/>
    <w:rsid w:val="006F0445"/>
    <w:rsid w:val="006F7393"/>
    <w:rsid w:val="0070224F"/>
    <w:rsid w:val="00702863"/>
    <w:rsid w:val="007056F3"/>
    <w:rsid w:val="007115F7"/>
    <w:rsid w:val="00713F62"/>
    <w:rsid w:val="0071467A"/>
    <w:rsid w:val="0072538A"/>
    <w:rsid w:val="00742F10"/>
    <w:rsid w:val="0074729D"/>
    <w:rsid w:val="00753C94"/>
    <w:rsid w:val="007549B6"/>
    <w:rsid w:val="00763871"/>
    <w:rsid w:val="00773A28"/>
    <w:rsid w:val="00780A00"/>
    <w:rsid w:val="00785689"/>
    <w:rsid w:val="0079754B"/>
    <w:rsid w:val="007A11D7"/>
    <w:rsid w:val="007A1E6D"/>
    <w:rsid w:val="007B0EB2"/>
    <w:rsid w:val="007D75BC"/>
    <w:rsid w:val="007E1405"/>
    <w:rsid w:val="007F273A"/>
    <w:rsid w:val="00804834"/>
    <w:rsid w:val="00810B6F"/>
    <w:rsid w:val="00822CE0"/>
    <w:rsid w:val="00841AB1"/>
    <w:rsid w:val="0086347B"/>
    <w:rsid w:val="00865413"/>
    <w:rsid w:val="00873011"/>
    <w:rsid w:val="008833FC"/>
    <w:rsid w:val="008963A6"/>
    <w:rsid w:val="008A28C3"/>
    <w:rsid w:val="008A52A0"/>
    <w:rsid w:val="008B1E89"/>
    <w:rsid w:val="008C68F1"/>
    <w:rsid w:val="008D1481"/>
    <w:rsid w:val="008D25B8"/>
    <w:rsid w:val="008D28B2"/>
    <w:rsid w:val="008D301E"/>
    <w:rsid w:val="008D5C89"/>
    <w:rsid w:val="008E3218"/>
    <w:rsid w:val="008E5AB6"/>
    <w:rsid w:val="008F358E"/>
    <w:rsid w:val="00921803"/>
    <w:rsid w:val="00924127"/>
    <w:rsid w:val="00926503"/>
    <w:rsid w:val="00930DDA"/>
    <w:rsid w:val="0093114C"/>
    <w:rsid w:val="0093773B"/>
    <w:rsid w:val="00972136"/>
    <w:rsid w:val="009726D8"/>
    <w:rsid w:val="00983655"/>
    <w:rsid w:val="00984355"/>
    <w:rsid w:val="00996FBE"/>
    <w:rsid w:val="00997DD3"/>
    <w:rsid w:val="009B034F"/>
    <w:rsid w:val="009B45C9"/>
    <w:rsid w:val="009D7308"/>
    <w:rsid w:val="009E4A56"/>
    <w:rsid w:val="009F45BA"/>
    <w:rsid w:val="009F76DB"/>
    <w:rsid w:val="00A029B2"/>
    <w:rsid w:val="00A07853"/>
    <w:rsid w:val="00A14787"/>
    <w:rsid w:val="00A249A2"/>
    <w:rsid w:val="00A32C3B"/>
    <w:rsid w:val="00A34D56"/>
    <w:rsid w:val="00A45F4F"/>
    <w:rsid w:val="00A50C79"/>
    <w:rsid w:val="00A52478"/>
    <w:rsid w:val="00A542A0"/>
    <w:rsid w:val="00A600A9"/>
    <w:rsid w:val="00A66EA1"/>
    <w:rsid w:val="00A70668"/>
    <w:rsid w:val="00AA159F"/>
    <w:rsid w:val="00AA55B7"/>
    <w:rsid w:val="00AA59C7"/>
    <w:rsid w:val="00AA5B9E"/>
    <w:rsid w:val="00AB2407"/>
    <w:rsid w:val="00AB53DF"/>
    <w:rsid w:val="00AE32AA"/>
    <w:rsid w:val="00B04035"/>
    <w:rsid w:val="00B07E5C"/>
    <w:rsid w:val="00B11214"/>
    <w:rsid w:val="00B12F3A"/>
    <w:rsid w:val="00B4191C"/>
    <w:rsid w:val="00B545A7"/>
    <w:rsid w:val="00B60A8D"/>
    <w:rsid w:val="00B6441C"/>
    <w:rsid w:val="00B6466E"/>
    <w:rsid w:val="00B64ADD"/>
    <w:rsid w:val="00B811F7"/>
    <w:rsid w:val="00B9791D"/>
    <w:rsid w:val="00BA5DC6"/>
    <w:rsid w:val="00BA5EA8"/>
    <w:rsid w:val="00BA6196"/>
    <w:rsid w:val="00BB11D0"/>
    <w:rsid w:val="00BC6D8C"/>
    <w:rsid w:val="00BC7C40"/>
    <w:rsid w:val="00BE5E67"/>
    <w:rsid w:val="00C105EF"/>
    <w:rsid w:val="00C11EF7"/>
    <w:rsid w:val="00C2533A"/>
    <w:rsid w:val="00C34006"/>
    <w:rsid w:val="00C36B4C"/>
    <w:rsid w:val="00C426B1"/>
    <w:rsid w:val="00C66160"/>
    <w:rsid w:val="00C721AC"/>
    <w:rsid w:val="00C821E3"/>
    <w:rsid w:val="00C90D6A"/>
    <w:rsid w:val="00C97D8E"/>
    <w:rsid w:val="00CA08AD"/>
    <w:rsid w:val="00CA247E"/>
    <w:rsid w:val="00CA6D21"/>
    <w:rsid w:val="00CB17B5"/>
    <w:rsid w:val="00CC72B6"/>
    <w:rsid w:val="00CD031A"/>
    <w:rsid w:val="00CE5964"/>
    <w:rsid w:val="00CF2519"/>
    <w:rsid w:val="00D0218D"/>
    <w:rsid w:val="00D05DC5"/>
    <w:rsid w:val="00D25E54"/>
    <w:rsid w:val="00D25FB5"/>
    <w:rsid w:val="00D2784D"/>
    <w:rsid w:val="00D44223"/>
    <w:rsid w:val="00D502CB"/>
    <w:rsid w:val="00D674D2"/>
    <w:rsid w:val="00D849B7"/>
    <w:rsid w:val="00DA2529"/>
    <w:rsid w:val="00DB130A"/>
    <w:rsid w:val="00DB2EBB"/>
    <w:rsid w:val="00DC10A1"/>
    <w:rsid w:val="00DC655F"/>
    <w:rsid w:val="00DD0B59"/>
    <w:rsid w:val="00DD7EBD"/>
    <w:rsid w:val="00DE04CA"/>
    <w:rsid w:val="00DF62B6"/>
    <w:rsid w:val="00E00019"/>
    <w:rsid w:val="00E0255D"/>
    <w:rsid w:val="00E07225"/>
    <w:rsid w:val="00E07BFF"/>
    <w:rsid w:val="00E23EB7"/>
    <w:rsid w:val="00E44FFC"/>
    <w:rsid w:val="00E5409F"/>
    <w:rsid w:val="00E92ACB"/>
    <w:rsid w:val="00EA5104"/>
    <w:rsid w:val="00EC313D"/>
    <w:rsid w:val="00EE0CF4"/>
    <w:rsid w:val="00EE6488"/>
    <w:rsid w:val="00F021FA"/>
    <w:rsid w:val="00F3064B"/>
    <w:rsid w:val="00F310C4"/>
    <w:rsid w:val="00F62E97"/>
    <w:rsid w:val="00F64209"/>
    <w:rsid w:val="00F653B2"/>
    <w:rsid w:val="00F93BF5"/>
    <w:rsid w:val="00FC18B5"/>
    <w:rsid w:val="00FE0659"/>
    <w:rsid w:val="00FE3781"/>
    <w:rsid w:val="00FE5DD2"/>
    <w:rsid w:val="00FF38D1"/>
    <w:rsid w:val="00FF45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ED088FD-AEAF-4ABD-847B-FB8BC73A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B545A7"/>
    <w:rPr>
      <w:color w:val="605E5C"/>
      <w:shd w:val="clear" w:color="auto" w:fill="E1DFDD"/>
    </w:rPr>
  </w:style>
  <w:style w:type="paragraph" w:styleId="BalloonText">
    <w:name w:val="Balloon Text"/>
    <w:basedOn w:val="Normal"/>
    <w:link w:val="BalloonTextChar"/>
    <w:rsid w:val="009F45BA"/>
    <w:rPr>
      <w:rFonts w:ascii="Segoe UI" w:hAnsi="Segoe UI" w:cs="Segoe UI"/>
      <w:sz w:val="18"/>
      <w:szCs w:val="18"/>
    </w:rPr>
  </w:style>
  <w:style w:type="character" w:customStyle="1" w:styleId="BalloonTextChar">
    <w:name w:val="Balloon Text Char"/>
    <w:link w:val="BalloonText"/>
    <w:rsid w:val="009F45BA"/>
    <w:rPr>
      <w:rFonts w:ascii="Segoe UI" w:hAnsi="Segoe UI" w:cs="Segoe UI"/>
      <w:snapToGrid w:val="0"/>
      <w:kern w:val="28"/>
      <w:sz w:val="18"/>
      <w:szCs w:val="18"/>
    </w:rPr>
  </w:style>
  <w:style w:type="character" w:styleId="CommentReference">
    <w:name w:val="annotation reference"/>
    <w:rsid w:val="00C105EF"/>
    <w:rPr>
      <w:sz w:val="16"/>
      <w:szCs w:val="16"/>
    </w:rPr>
  </w:style>
  <w:style w:type="paragraph" w:styleId="CommentText">
    <w:name w:val="annotation text"/>
    <w:basedOn w:val="Normal"/>
    <w:link w:val="CommentTextChar"/>
    <w:rsid w:val="00C105EF"/>
    <w:rPr>
      <w:sz w:val="20"/>
    </w:rPr>
  </w:style>
  <w:style w:type="character" w:customStyle="1" w:styleId="CommentTextChar">
    <w:name w:val="Comment Text Char"/>
    <w:link w:val="CommentText"/>
    <w:rsid w:val="00C105EF"/>
    <w:rPr>
      <w:snapToGrid w:val="0"/>
      <w:kern w:val="28"/>
    </w:rPr>
  </w:style>
  <w:style w:type="paragraph" w:styleId="CommentSubject">
    <w:name w:val="annotation subject"/>
    <w:basedOn w:val="CommentText"/>
    <w:next w:val="CommentText"/>
    <w:link w:val="CommentSubjectChar"/>
    <w:rsid w:val="00C105EF"/>
    <w:rPr>
      <w:b/>
      <w:bCs/>
    </w:rPr>
  </w:style>
  <w:style w:type="character" w:customStyle="1" w:styleId="CommentSubjectChar">
    <w:name w:val="Comment Subject Char"/>
    <w:link w:val="CommentSubject"/>
    <w:rsid w:val="00C105EF"/>
    <w:rPr>
      <w:b/>
      <w:bCs/>
      <w:snapToGrid w:val="0"/>
      <w:kern w:val="28"/>
    </w:rPr>
  </w:style>
  <w:style w:type="paragraph" w:styleId="Revision">
    <w:name w:val="Revision"/>
    <w:hidden/>
    <w:uiPriority w:val="99"/>
    <w:semiHidden/>
    <w:rsid w:val="00F310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peter.bea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