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B2954" w:rsidRPr="00352544" w:rsidP="00913DF1" w14:paraId="390BC0E7" w14:textId="77777777">
      <w:pPr>
        <w:tabs>
          <w:tab w:val="left" w:pos="7920"/>
          <w:tab w:val="right" w:pos="9360"/>
        </w:tabs>
        <w:rPr>
          <w:b/>
          <w:color w:val="000000" w:themeColor="text1"/>
          <w:szCs w:val="22"/>
        </w:rPr>
      </w:pPr>
      <w:r w:rsidRPr="00352544">
        <w:rPr>
          <w:b/>
          <w:color w:val="000000" w:themeColor="text1"/>
          <w:szCs w:val="22"/>
        </w:rPr>
        <w:tab/>
      </w:r>
      <w:r w:rsidRPr="00352544">
        <w:rPr>
          <w:b/>
          <w:color w:val="000000" w:themeColor="text1"/>
          <w:szCs w:val="22"/>
        </w:rPr>
        <w:tab/>
      </w:r>
    </w:p>
    <w:p w:rsidR="00013A8B" w:rsidRPr="00352544" w:rsidP="00913DF1" w14:paraId="12F427E0" w14:textId="250664D6">
      <w:pPr>
        <w:tabs>
          <w:tab w:val="left" w:pos="7920"/>
          <w:tab w:val="right" w:pos="9360"/>
        </w:tabs>
        <w:rPr>
          <w:b/>
          <w:color w:val="000000" w:themeColor="text1"/>
          <w:szCs w:val="22"/>
        </w:rPr>
      </w:pPr>
      <w:r w:rsidRPr="00352544">
        <w:rPr>
          <w:b/>
          <w:color w:val="000000" w:themeColor="text1"/>
          <w:szCs w:val="22"/>
        </w:rPr>
        <w:tab/>
      </w:r>
      <w:r w:rsidRPr="00352544">
        <w:rPr>
          <w:b/>
          <w:color w:val="000000" w:themeColor="text1"/>
          <w:szCs w:val="22"/>
        </w:rPr>
        <w:tab/>
      </w:r>
      <w:r w:rsidRPr="00352544" w:rsidR="00031D2D">
        <w:rPr>
          <w:b/>
          <w:color w:val="000000" w:themeColor="text1"/>
          <w:szCs w:val="22"/>
        </w:rPr>
        <w:t xml:space="preserve">DA </w:t>
      </w:r>
      <w:r w:rsidRPr="00352544" w:rsidR="00292F35">
        <w:rPr>
          <w:b/>
          <w:color w:val="000000" w:themeColor="text1"/>
          <w:szCs w:val="22"/>
        </w:rPr>
        <w:t>2</w:t>
      </w:r>
      <w:r w:rsidR="00CF7CCF">
        <w:rPr>
          <w:b/>
          <w:color w:val="000000" w:themeColor="text1"/>
          <w:szCs w:val="22"/>
        </w:rPr>
        <w:t>0</w:t>
      </w:r>
      <w:r w:rsidRPr="00352544" w:rsidR="00031D2D">
        <w:rPr>
          <w:b/>
          <w:color w:val="000000" w:themeColor="text1"/>
          <w:szCs w:val="22"/>
        </w:rPr>
        <w:t>-</w:t>
      </w:r>
      <w:r w:rsidR="00CF7CCF">
        <w:rPr>
          <w:b/>
          <w:color w:val="000000" w:themeColor="text1"/>
          <w:szCs w:val="22"/>
        </w:rPr>
        <w:t>1515</w:t>
      </w:r>
    </w:p>
    <w:p w:rsidR="00013A8B" w:rsidRPr="00352544" w:rsidP="00913DF1" w14:paraId="3BAA7A91" w14:textId="0E88316E">
      <w:pPr>
        <w:jc w:val="right"/>
        <w:rPr>
          <w:b/>
          <w:color w:val="000000" w:themeColor="text1"/>
          <w:szCs w:val="22"/>
        </w:rPr>
      </w:pPr>
      <w:r w:rsidRPr="00352544">
        <w:rPr>
          <w:b/>
          <w:color w:val="000000" w:themeColor="text1"/>
          <w:szCs w:val="22"/>
        </w:rPr>
        <w:t>Released:</w:t>
      </w:r>
      <w:r w:rsidRPr="00352544" w:rsidR="003364FD">
        <w:rPr>
          <w:b/>
          <w:color w:val="000000" w:themeColor="text1"/>
          <w:szCs w:val="22"/>
        </w:rPr>
        <w:t xml:space="preserve">  </w:t>
      </w:r>
      <w:r w:rsidR="00CF7CCF">
        <w:rPr>
          <w:b/>
          <w:color w:val="000000" w:themeColor="text1"/>
          <w:szCs w:val="22"/>
        </w:rPr>
        <w:t>December 31, 2020</w:t>
      </w:r>
    </w:p>
    <w:p w:rsidR="00013A8B" w:rsidRPr="00352544" w:rsidP="00013A8B" w14:paraId="162CDD60" w14:textId="77777777">
      <w:pPr>
        <w:jc w:val="right"/>
        <w:rPr>
          <w:color w:val="000000" w:themeColor="text1"/>
          <w:szCs w:val="22"/>
        </w:rPr>
      </w:pPr>
    </w:p>
    <w:p w:rsidR="009E2AA7" w:rsidRPr="00352544" w:rsidP="00DA0A0F" w14:paraId="52357767" w14:textId="77777777">
      <w:pPr>
        <w:pStyle w:val="Default"/>
        <w:jc w:val="center"/>
        <w:rPr>
          <w:color w:val="000000" w:themeColor="text1"/>
          <w:sz w:val="22"/>
          <w:szCs w:val="22"/>
        </w:rPr>
      </w:pPr>
      <w:r w:rsidRPr="00352544">
        <w:rPr>
          <w:b/>
          <w:caps/>
          <w:color w:val="000000" w:themeColor="text1"/>
          <w:sz w:val="22"/>
          <w:szCs w:val="22"/>
        </w:rPr>
        <w:t>Office of Engineering and technology SEEKS COMMENT ON</w:t>
      </w:r>
    </w:p>
    <w:p w:rsidR="001E62F6" w:rsidRPr="00352544" w:rsidP="001E62F6" w14:paraId="683287DA" w14:textId="63876D5D">
      <w:pPr>
        <w:jc w:val="center"/>
        <w:rPr>
          <w:b/>
          <w:color w:val="000000" w:themeColor="text1"/>
          <w:szCs w:val="22"/>
        </w:rPr>
      </w:pPr>
      <w:r w:rsidRPr="00352544">
        <w:rPr>
          <w:color w:val="000000" w:themeColor="text1"/>
          <w:szCs w:val="22"/>
        </w:rPr>
        <w:t xml:space="preserve"> </w:t>
      </w:r>
      <w:r w:rsidRPr="00352544" w:rsidR="008F29F0">
        <w:rPr>
          <w:b/>
          <w:color w:val="000000" w:themeColor="text1"/>
          <w:szCs w:val="22"/>
        </w:rPr>
        <w:t>IEE SENSING,</w:t>
      </w:r>
      <w:r w:rsidRPr="00352544" w:rsidR="000145B0">
        <w:rPr>
          <w:b/>
          <w:color w:val="000000" w:themeColor="text1"/>
          <w:szCs w:val="22"/>
        </w:rPr>
        <w:t xml:space="preserve"> INC.</w:t>
      </w:r>
      <w:r w:rsidRPr="00352544">
        <w:rPr>
          <w:b/>
          <w:color w:val="000000" w:themeColor="text1"/>
          <w:szCs w:val="22"/>
        </w:rPr>
        <w:t xml:space="preserve"> </w:t>
      </w:r>
      <w:r w:rsidRPr="00352544" w:rsidR="0053244B">
        <w:rPr>
          <w:b/>
          <w:caps/>
          <w:color w:val="000000" w:themeColor="text1"/>
          <w:szCs w:val="22"/>
        </w:rPr>
        <w:t xml:space="preserve">request for </w:t>
      </w:r>
      <w:r w:rsidRPr="00352544" w:rsidR="00292F35">
        <w:rPr>
          <w:b/>
          <w:color w:val="000000" w:themeColor="text1"/>
          <w:szCs w:val="22"/>
        </w:rPr>
        <w:t>WAIVER OF SECTION</w:t>
      </w:r>
      <w:r w:rsidRPr="00352544" w:rsidR="008F29F0">
        <w:rPr>
          <w:b/>
          <w:color w:val="000000" w:themeColor="text1"/>
          <w:szCs w:val="22"/>
        </w:rPr>
        <w:t>S</w:t>
      </w:r>
      <w:r w:rsidRPr="00352544" w:rsidR="00292F35">
        <w:rPr>
          <w:b/>
          <w:color w:val="000000" w:themeColor="text1"/>
          <w:szCs w:val="22"/>
        </w:rPr>
        <w:t xml:space="preserve"> 15.255</w:t>
      </w:r>
      <w:r w:rsidRPr="00352544" w:rsidR="00BE3BA4">
        <w:rPr>
          <w:b/>
          <w:color w:val="000000" w:themeColor="text1"/>
          <w:szCs w:val="22"/>
        </w:rPr>
        <w:t>(</w:t>
      </w:r>
      <w:r w:rsidRPr="00352544" w:rsidR="000145B0">
        <w:rPr>
          <w:b/>
          <w:color w:val="000000" w:themeColor="text1"/>
          <w:szCs w:val="22"/>
        </w:rPr>
        <w:t>c</w:t>
      </w:r>
      <w:r w:rsidRPr="00352544" w:rsidR="00BE3BA4">
        <w:rPr>
          <w:b/>
          <w:color w:val="000000" w:themeColor="text1"/>
          <w:szCs w:val="22"/>
        </w:rPr>
        <w:t>)(</w:t>
      </w:r>
      <w:r w:rsidRPr="00352544" w:rsidR="008F29F0">
        <w:rPr>
          <w:b/>
          <w:color w:val="000000" w:themeColor="text1"/>
          <w:szCs w:val="22"/>
        </w:rPr>
        <w:t>2</w:t>
      </w:r>
      <w:r w:rsidRPr="00352544" w:rsidR="00BE3BA4">
        <w:rPr>
          <w:b/>
          <w:color w:val="000000" w:themeColor="text1"/>
          <w:szCs w:val="22"/>
        </w:rPr>
        <w:t>)</w:t>
      </w:r>
      <w:r w:rsidRPr="00352544" w:rsidR="008F29F0">
        <w:rPr>
          <w:b/>
          <w:color w:val="000000" w:themeColor="text1"/>
          <w:szCs w:val="22"/>
        </w:rPr>
        <w:t xml:space="preserve"> and</w:t>
      </w:r>
      <w:r w:rsidRPr="00352544" w:rsidR="005E4C35">
        <w:rPr>
          <w:b/>
          <w:color w:val="000000" w:themeColor="text1"/>
          <w:szCs w:val="22"/>
        </w:rPr>
        <w:t>/or</w:t>
      </w:r>
      <w:r w:rsidRPr="00352544" w:rsidR="008F29F0">
        <w:rPr>
          <w:b/>
          <w:color w:val="000000" w:themeColor="text1"/>
          <w:szCs w:val="22"/>
        </w:rPr>
        <w:t xml:space="preserve"> 15.255(c)(3)</w:t>
      </w:r>
      <w:r w:rsidRPr="00352544" w:rsidR="00292F35">
        <w:rPr>
          <w:b/>
          <w:color w:val="000000" w:themeColor="text1"/>
          <w:szCs w:val="22"/>
        </w:rPr>
        <w:t xml:space="preserve"> OF THE COMMISSION’S RULES </w:t>
      </w:r>
      <w:r w:rsidRPr="00352544">
        <w:rPr>
          <w:b/>
          <w:color w:val="000000" w:themeColor="text1"/>
          <w:szCs w:val="22"/>
        </w:rPr>
        <w:t xml:space="preserve">FOR IN-VEHICLE </w:t>
      </w:r>
      <w:r w:rsidRPr="00352544" w:rsidR="00C3614A">
        <w:rPr>
          <w:b/>
          <w:color w:val="000000" w:themeColor="text1"/>
          <w:szCs w:val="22"/>
        </w:rPr>
        <w:t>RADAR</w:t>
      </w:r>
      <w:r w:rsidRPr="00352544">
        <w:rPr>
          <w:b/>
          <w:color w:val="000000" w:themeColor="text1"/>
          <w:szCs w:val="22"/>
        </w:rPr>
        <w:t xml:space="preserve"> OPERATION IN THE</w:t>
      </w:r>
    </w:p>
    <w:p w:rsidR="00013A8B" w:rsidRPr="00352544" w:rsidP="001E62F6" w14:paraId="7592A370" w14:textId="08019161">
      <w:pPr>
        <w:spacing w:after="240"/>
        <w:jc w:val="center"/>
        <w:rPr>
          <w:b/>
          <w:caps/>
          <w:color w:val="000000" w:themeColor="text1"/>
          <w:szCs w:val="22"/>
        </w:rPr>
      </w:pPr>
      <w:r w:rsidRPr="00352544">
        <w:rPr>
          <w:b/>
          <w:color w:val="000000" w:themeColor="text1"/>
          <w:szCs w:val="22"/>
        </w:rPr>
        <w:t>60</w:t>
      </w:r>
      <w:r w:rsidRPr="00352544" w:rsidR="001E554E">
        <w:rPr>
          <w:b/>
          <w:color w:val="000000" w:themeColor="text1"/>
          <w:szCs w:val="22"/>
        </w:rPr>
        <w:t>-64 GHZ BAND</w:t>
      </w:r>
    </w:p>
    <w:p w:rsidR="00013A8B" w:rsidRPr="00352544" w:rsidP="00013A8B" w14:paraId="1594F973" w14:textId="7F5C5928">
      <w:pPr>
        <w:jc w:val="center"/>
        <w:rPr>
          <w:b/>
          <w:color w:val="000000" w:themeColor="text1"/>
          <w:szCs w:val="22"/>
        </w:rPr>
      </w:pPr>
      <w:r w:rsidRPr="00352544">
        <w:rPr>
          <w:b/>
          <w:color w:val="000000" w:themeColor="text1"/>
          <w:szCs w:val="22"/>
        </w:rPr>
        <w:t xml:space="preserve">ET Docket No. </w:t>
      </w:r>
      <w:r w:rsidRPr="00352544" w:rsidR="00292F35">
        <w:rPr>
          <w:b/>
          <w:color w:val="000000" w:themeColor="text1"/>
          <w:szCs w:val="22"/>
        </w:rPr>
        <w:t>2</w:t>
      </w:r>
      <w:r w:rsidR="00CF7CCF">
        <w:rPr>
          <w:b/>
          <w:color w:val="000000" w:themeColor="text1"/>
          <w:szCs w:val="22"/>
        </w:rPr>
        <w:t>0</w:t>
      </w:r>
      <w:r w:rsidRPr="00352544" w:rsidR="00DA0A0F">
        <w:rPr>
          <w:b/>
          <w:color w:val="000000" w:themeColor="text1"/>
          <w:szCs w:val="22"/>
        </w:rPr>
        <w:t>-</w:t>
      </w:r>
      <w:r w:rsidR="00CF7CCF">
        <w:rPr>
          <w:b/>
          <w:color w:val="000000" w:themeColor="text1"/>
          <w:szCs w:val="22"/>
        </w:rPr>
        <w:t>435</w:t>
      </w:r>
    </w:p>
    <w:p w:rsidR="00DA0A0F" w:rsidRPr="00352544" w:rsidP="00013A8B" w14:paraId="0F326AB3" w14:textId="77777777">
      <w:pPr>
        <w:jc w:val="center"/>
        <w:rPr>
          <w:b/>
          <w:color w:val="000000" w:themeColor="text1"/>
          <w:szCs w:val="22"/>
        </w:rPr>
      </w:pPr>
    </w:p>
    <w:p w:rsidR="00F96F63" w:rsidRPr="00352544" w:rsidP="00F96F63" w14:paraId="1C34182A" w14:textId="023621E8">
      <w:pPr>
        <w:rPr>
          <w:b/>
          <w:color w:val="000000" w:themeColor="text1"/>
          <w:szCs w:val="22"/>
        </w:rPr>
      </w:pPr>
      <w:bookmarkStart w:id="0" w:name="TOChere"/>
      <w:r w:rsidRPr="00352544">
        <w:rPr>
          <w:b/>
          <w:color w:val="000000" w:themeColor="text1"/>
          <w:szCs w:val="22"/>
        </w:rPr>
        <w:t>Comment Date:</w:t>
      </w:r>
      <w:r w:rsidRPr="00352544" w:rsidR="003364FD">
        <w:rPr>
          <w:b/>
          <w:color w:val="000000" w:themeColor="text1"/>
          <w:szCs w:val="22"/>
        </w:rPr>
        <w:t xml:space="preserve"> </w:t>
      </w:r>
      <w:r w:rsidRPr="00352544" w:rsidR="0023416C">
        <w:rPr>
          <w:b/>
          <w:color w:val="000000" w:themeColor="text1"/>
          <w:szCs w:val="22"/>
        </w:rPr>
        <w:t xml:space="preserve"> </w:t>
      </w:r>
      <w:r w:rsidR="00CF7CCF">
        <w:rPr>
          <w:b/>
          <w:color w:val="000000" w:themeColor="text1"/>
          <w:szCs w:val="22"/>
        </w:rPr>
        <w:t>February 1</w:t>
      </w:r>
      <w:r w:rsidRPr="00352544">
        <w:rPr>
          <w:b/>
          <w:color w:val="000000" w:themeColor="text1"/>
          <w:szCs w:val="22"/>
        </w:rPr>
        <w:t>, 20</w:t>
      </w:r>
      <w:r w:rsidRPr="00352544" w:rsidR="006C4899">
        <w:rPr>
          <w:b/>
          <w:color w:val="000000" w:themeColor="text1"/>
          <w:szCs w:val="22"/>
        </w:rPr>
        <w:t>2</w:t>
      </w:r>
      <w:r w:rsidR="00E53322">
        <w:rPr>
          <w:b/>
          <w:color w:val="000000" w:themeColor="text1"/>
          <w:szCs w:val="22"/>
        </w:rPr>
        <w:t>1</w:t>
      </w:r>
    </w:p>
    <w:p w:rsidR="005A42C3" w:rsidRPr="00352544" w:rsidP="00F96F63" w14:paraId="158FD382" w14:textId="38EFDFED">
      <w:pPr>
        <w:rPr>
          <w:b/>
          <w:color w:val="000000" w:themeColor="text1"/>
          <w:szCs w:val="22"/>
        </w:rPr>
      </w:pPr>
      <w:r w:rsidRPr="00352544">
        <w:rPr>
          <w:b/>
          <w:color w:val="000000" w:themeColor="text1"/>
          <w:szCs w:val="22"/>
        </w:rPr>
        <w:t>Reply Comment Date:</w:t>
      </w:r>
      <w:r w:rsidRPr="00352544" w:rsidR="003364FD">
        <w:rPr>
          <w:b/>
          <w:color w:val="000000" w:themeColor="text1"/>
          <w:szCs w:val="22"/>
        </w:rPr>
        <w:t xml:space="preserve">  </w:t>
      </w:r>
      <w:r w:rsidR="00CF7CCF">
        <w:rPr>
          <w:b/>
          <w:color w:val="000000" w:themeColor="text1"/>
          <w:szCs w:val="22"/>
        </w:rPr>
        <w:t>February 16</w:t>
      </w:r>
      <w:r w:rsidRPr="00352544">
        <w:rPr>
          <w:b/>
          <w:color w:val="000000" w:themeColor="text1"/>
          <w:szCs w:val="22"/>
        </w:rPr>
        <w:t>, 20</w:t>
      </w:r>
      <w:r w:rsidRPr="00352544" w:rsidR="006C4899">
        <w:rPr>
          <w:b/>
          <w:color w:val="000000" w:themeColor="text1"/>
          <w:szCs w:val="22"/>
        </w:rPr>
        <w:t>2</w:t>
      </w:r>
      <w:r w:rsidR="00E53322">
        <w:rPr>
          <w:b/>
          <w:color w:val="000000" w:themeColor="text1"/>
          <w:szCs w:val="22"/>
        </w:rPr>
        <w:t>1</w:t>
      </w:r>
    </w:p>
    <w:p w:rsidR="005B02C3" w:rsidRPr="00352544" w:rsidP="00F96F63" w14:paraId="49B1EA4F" w14:textId="77777777">
      <w:pPr>
        <w:rPr>
          <w:color w:val="000000" w:themeColor="text1"/>
          <w:szCs w:val="22"/>
        </w:rPr>
      </w:pPr>
    </w:p>
    <w:p w:rsidR="003A01DE" w:rsidRPr="00352544" w:rsidP="00E5255A" w14:paraId="4976A87F" w14:textId="7FC1EA1A">
      <w:pPr>
        <w:pStyle w:val="Default"/>
        <w:ind w:firstLine="720"/>
        <w:rPr>
          <w:color w:val="000000" w:themeColor="text1"/>
          <w:sz w:val="22"/>
          <w:szCs w:val="22"/>
        </w:rPr>
      </w:pPr>
      <w:r w:rsidRPr="00352544">
        <w:rPr>
          <w:color w:val="000000" w:themeColor="text1"/>
          <w:sz w:val="22"/>
          <w:szCs w:val="22"/>
        </w:rPr>
        <w:t xml:space="preserve">On </w:t>
      </w:r>
      <w:r w:rsidRPr="00352544" w:rsidR="00697177">
        <w:rPr>
          <w:color w:val="000000" w:themeColor="text1"/>
          <w:sz w:val="22"/>
          <w:szCs w:val="22"/>
        </w:rPr>
        <w:t>November 16</w:t>
      </w:r>
      <w:r w:rsidRPr="00352544" w:rsidR="0020456C">
        <w:rPr>
          <w:color w:val="000000" w:themeColor="text1"/>
          <w:sz w:val="22"/>
          <w:szCs w:val="22"/>
        </w:rPr>
        <w:t>, 2020</w:t>
      </w:r>
      <w:r w:rsidRPr="00352544">
        <w:rPr>
          <w:color w:val="000000" w:themeColor="text1"/>
          <w:sz w:val="22"/>
          <w:szCs w:val="22"/>
        </w:rPr>
        <w:t xml:space="preserve">, </w:t>
      </w:r>
      <w:r w:rsidRPr="00352544" w:rsidR="00546F23">
        <w:rPr>
          <w:color w:val="000000" w:themeColor="text1"/>
          <w:sz w:val="22"/>
          <w:szCs w:val="22"/>
        </w:rPr>
        <w:t>IEE Sensing</w:t>
      </w:r>
      <w:r w:rsidRPr="00352544" w:rsidR="0020456C">
        <w:rPr>
          <w:color w:val="000000" w:themeColor="text1"/>
          <w:sz w:val="22"/>
          <w:szCs w:val="22"/>
        </w:rPr>
        <w:t>, Inc.</w:t>
      </w:r>
      <w:r w:rsidRPr="00352544" w:rsidR="00DA0A0F">
        <w:rPr>
          <w:color w:val="000000" w:themeColor="text1"/>
          <w:sz w:val="22"/>
          <w:szCs w:val="22"/>
        </w:rPr>
        <w:t xml:space="preserve"> (</w:t>
      </w:r>
      <w:r w:rsidRPr="00352544" w:rsidR="00546F23">
        <w:rPr>
          <w:color w:val="000000" w:themeColor="text1"/>
          <w:sz w:val="22"/>
          <w:szCs w:val="22"/>
        </w:rPr>
        <w:t>IEE Sensing</w:t>
      </w:r>
      <w:r w:rsidRPr="00352544" w:rsidR="00DA0A0F">
        <w:rPr>
          <w:color w:val="000000" w:themeColor="text1"/>
          <w:sz w:val="22"/>
          <w:szCs w:val="22"/>
        </w:rPr>
        <w:t xml:space="preserve">) </w:t>
      </w:r>
      <w:r w:rsidRPr="00352544">
        <w:rPr>
          <w:color w:val="000000" w:themeColor="text1"/>
          <w:sz w:val="22"/>
          <w:szCs w:val="22"/>
        </w:rPr>
        <w:t>filed a request for waiver of</w:t>
      </w:r>
      <w:r w:rsidRPr="00352544" w:rsidR="00A1359A">
        <w:rPr>
          <w:color w:val="000000" w:themeColor="text1"/>
          <w:sz w:val="22"/>
          <w:szCs w:val="22"/>
        </w:rPr>
        <w:t xml:space="preserve"> s</w:t>
      </w:r>
      <w:r w:rsidRPr="00352544">
        <w:rPr>
          <w:color w:val="000000" w:themeColor="text1"/>
          <w:sz w:val="22"/>
          <w:szCs w:val="22"/>
        </w:rPr>
        <w:t>ection</w:t>
      </w:r>
      <w:r w:rsidRPr="00352544" w:rsidR="00697177">
        <w:rPr>
          <w:color w:val="000000" w:themeColor="text1"/>
          <w:sz w:val="22"/>
          <w:szCs w:val="22"/>
        </w:rPr>
        <w:t>s</w:t>
      </w:r>
      <w:r w:rsidRPr="00352544">
        <w:rPr>
          <w:color w:val="000000" w:themeColor="text1"/>
          <w:sz w:val="22"/>
          <w:szCs w:val="22"/>
        </w:rPr>
        <w:t xml:space="preserve"> 15.</w:t>
      </w:r>
      <w:r w:rsidRPr="00352544" w:rsidR="00DA0A0F">
        <w:rPr>
          <w:color w:val="000000" w:themeColor="text1"/>
          <w:sz w:val="22"/>
          <w:szCs w:val="22"/>
        </w:rPr>
        <w:t>2</w:t>
      </w:r>
      <w:r w:rsidRPr="00352544" w:rsidR="006C4899">
        <w:rPr>
          <w:color w:val="000000" w:themeColor="text1"/>
          <w:sz w:val="22"/>
          <w:szCs w:val="22"/>
        </w:rPr>
        <w:t>5</w:t>
      </w:r>
      <w:r w:rsidRPr="00352544" w:rsidR="00DA0A0F">
        <w:rPr>
          <w:color w:val="000000" w:themeColor="text1"/>
          <w:sz w:val="22"/>
          <w:szCs w:val="22"/>
        </w:rPr>
        <w:t>5</w:t>
      </w:r>
      <w:r w:rsidRPr="00352544" w:rsidR="00EE7D96">
        <w:rPr>
          <w:color w:val="000000" w:themeColor="text1"/>
          <w:sz w:val="22"/>
          <w:szCs w:val="22"/>
        </w:rPr>
        <w:t>(</w:t>
      </w:r>
      <w:r w:rsidRPr="00352544" w:rsidR="006C4899">
        <w:rPr>
          <w:color w:val="000000" w:themeColor="text1"/>
          <w:sz w:val="22"/>
          <w:szCs w:val="22"/>
        </w:rPr>
        <w:t>c</w:t>
      </w:r>
      <w:r w:rsidRPr="00352544" w:rsidR="00EE7D96">
        <w:rPr>
          <w:color w:val="000000" w:themeColor="text1"/>
          <w:sz w:val="22"/>
          <w:szCs w:val="22"/>
        </w:rPr>
        <w:t>)</w:t>
      </w:r>
      <w:r w:rsidRPr="00352544" w:rsidR="006C4899">
        <w:rPr>
          <w:color w:val="000000" w:themeColor="text1"/>
          <w:sz w:val="22"/>
          <w:szCs w:val="22"/>
        </w:rPr>
        <w:t>(</w:t>
      </w:r>
      <w:r w:rsidRPr="00352544" w:rsidR="00697177">
        <w:rPr>
          <w:color w:val="000000" w:themeColor="text1"/>
          <w:sz w:val="22"/>
          <w:szCs w:val="22"/>
        </w:rPr>
        <w:t>2</w:t>
      </w:r>
      <w:r w:rsidRPr="00352544" w:rsidR="006C4899">
        <w:rPr>
          <w:color w:val="000000" w:themeColor="text1"/>
          <w:sz w:val="22"/>
          <w:szCs w:val="22"/>
        </w:rPr>
        <w:t>)</w:t>
      </w:r>
      <w:r w:rsidRPr="00352544">
        <w:rPr>
          <w:color w:val="000000" w:themeColor="text1"/>
          <w:sz w:val="22"/>
          <w:szCs w:val="22"/>
        </w:rPr>
        <w:t xml:space="preserve"> </w:t>
      </w:r>
      <w:r w:rsidRPr="00352544" w:rsidR="00697177">
        <w:rPr>
          <w:color w:val="000000" w:themeColor="text1"/>
          <w:sz w:val="22"/>
          <w:szCs w:val="22"/>
        </w:rPr>
        <w:t>and</w:t>
      </w:r>
      <w:r w:rsidRPr="00352544" w:rsidR="00273878">
        <w:rPr>
          <w:color w:val="000000" w:themeColor="text1"/>
          <w:sz w:val="22"/>
          <w:szCs w:val="22"/>
        </w:rPr>
        <w:t>/</w:t>
      </w:r>
      <w:r w:rsidRPr="00352544" w:rsidR="00697177">
        <w:rPr>
          <w:color w:val="000000" w:themeColor="text1"/>
          <w:sz w:val="22"/>
          <w:szCs w:val="22"/>
        </w:rPr>
        <w:t xml:space="preserve">or 15.255(c)(3) </w:t>
      </w:r>
      <w:r w:rsidRPr="00352544">
        <w:rPr>
          <w:color w:val="000000" w:themeColor="text1"/>
          <w:sz w:val="22"/>
          <w:szCs w:val="22"/>
        </w:rPr>
        <w:t>of the Commission’s rules</w:t>
      </w:r>
      <w:r>
        <w:rPr>
          <w:rStyle w:val="FootnoteReference"/>
          <w:color w:val="000000" w:themeColor="text1"/>
          <w:szCs w:val="22"/>
        </w:rPr>
        <w:footnoteReference w:id="2"/>
      </w:r>
      <w:r w:rsidRPr="00352544">
        <w:rPr>
          <w:color w:val="000000" w:themeColor="text1"/>
          <w:sz w:val="22"/>
          <w:szCs w:val="22"/>
        </w:rPr>
        <w:t xml:space="preserve"> to allow </w:t>
      </w:r>
      <w:r w:rsidRPr="00352544" w:rsidR="00697177">
        <w:rPr>
          <w:color w:val="000000" w:themeColor="text1"/>
          <w:sz w:val="22"/>
          <w:szCs w:val="22"/>
        </w:rPr>
        <w:t>IEE Sensing</w:t>
      </w:r>
      <w:r w:rsidRPr="00352544">
        <w:rPr>
          <w:color w:val="000000" w:themeColor="text1"/>
          <w:sz w:val="22"/>
          <w:szCs w:val="22"/>
        </w:rPr>
        <w:t xml:space="preserve"> </w:t>
      </w:r>
      <w:r w:rsidRPr="00352544" w:rsidR="007F0460">
        <w:rPr>
          <w:color w:val="000000" w:themeColor="text1"/>
          <w:sz w:val="22"/>
          <w:szCs w:val="22"/>
        </w:rPr>
        <w:t>to obtain a grant of equipment authorization</w:t>
      </w:r>
      <w:r w:rsidRPr="00352544">
        <w:rPr>
          <w:color w:val="000000" w:themeColor="text1"/>
          <w:sz w:val="22"/>
          <w:szCs w:val="22"/>
        </w:rPr>
        <w:t xml:space="preserve"> </w:t>
      </w:r>
      <w:r w:rsidRPr="00352544" w:rsidR="007F0460">
        <w:rPr>
          <w:color w:val="000000" w:themeColor="text1"/>
          <w:sz w:val="22"/>
          <w:szCs w:val="22"/>
        </w:rPr>
        <w:t xml:space="preserve">for </w:t>
      </w:r>
      <w:r w:rsidRPr="00352544" w:rsidR="00A40953">
        <w:rPr>
          <w:color w:val="000000" w:themeColor="text1"/>
          <w:sz w:val="22"/>
          <w:szCs w:val="22"/>
        </w:rPr>
        <w:t>its Vita</w:t>
      </w:r>
      <w:r w:rsidR="002B7B3F">
        <w:rPr>
          <w:color w:val="000000" w:themeColor="text1"/>
          <w:sz w:val="22"/>
          <w:szCs w:val="22"/>
        </w:rPr>
        <w:t>S</w:t>
      </w:r>
      <w:r w:rsidRPr="00352544" w:rsidR="00A40953">
        <w:rPr>
          <w:color w:val="000000" w:themeColor="text1"/>
          <w:sz w:val="22"/>
          <w:szCs w:val="22"/>
        </w:rPr>
        <w:t xml:space="preserve">ense </w:t>
      </w:r>
      <w:r w:rsidRPr="00352544" w:rsidR="005303BC">
        <w:rPr>
          <w:color w:val="000000" w:themeColor="text1"/>
          <w:sz w:val="22"/>
          <w:szCs w:val="22"/>
        </w:rPr>
        <w:t>s</w:t>
      </w:r>
      <w:r w:rsidRPr="00352544" w:rsidR="00A40953">
        <w:rPr>
          <w:color w:val="000000" w:themeColor="text1"/>
          <w:sz w:val="22"/>
          <w:szCs w:val="22"/>
        </w:rPr>
        <w:t xml:space="preserve">ensor, a </w:t>
      </w:r>
      <w:r w:rsidRPr="00352544" w:rsidR="006D3D10">
        <w:rPr>
          <w:color w:val="000000" w:themeColor="text1"/>
          <w:sz w:val="22"/>
          <w:szCs w:val="22"/>
        </w:rPr>
        <w:t>radar</w:t>
      </w:r>
      <w:r w:rsidRPr="00352544" w:rsidR="00697177">
        <w:rPr>
          <w:color w:val="000000" w:themeColor="text1"/>
          <w:sz w:val="22"/>
          <w:szCs w:val="22"/>
        </w:rPr>
        <w:t xml:space="preserve"> </w:t>
      </w:r>
      <w:r w:rsidRPr="00352544" w:rsidR="00BF2EEA">
        <w:rPr>
          <w:color w:val="000000" w:themeColor="text1"/>
          <w:sz w:val="22"/>
          <w:szCs w:val="22"/>
        </w:rPr>
        <w:t xml:space="preserve">operating </w:t>
      </w:r>
      <w:r w:rsidRPr="00352544">
        <w:rPr>
          <w:color w:val="000000" w:themeColor="text1"/>
          <w:sz w:val="22"/>
          <w:szCs w:val="22"/>
        </w:rPr>
        <w:t xml:space="preserve">in the </w:t>
      </w:r>
      <w:r w:rsidRPr="00352544" w:rsidR="00697177">
        <w:rPr>
          <w:color w:val="000000" w:themeColor="text1"/>
          <w:sz w:val="22"/>
          <w:szCs w:val="22"/>
        </w:rPr>
        <w:t>60</w:t>
      </w:r>
      <w:r w:rsidRPr="00352544" w:rsidR="006C4899">
        <w:rPr>
          <w:color w:val="000000" w:themeColor="text1"/>
          <w:sz w:val="22"/>
          <w:szCs w:val="22"/>
        </w:rPr>
        <w:noBreakHyphen/>
        <w:t>64 G</w:t>
      </w:r>
      <w:r w:rsidRPr="00352544">
        <w:rPr>
          <w:color w:val="000000" w:themeColor="text1"/>
          <w:sz w:val="22"/>
          <w:szCs w:val="22"/>
        </w:rPr>
        <w:t>Hz band</w:t>
      </w:r>
      <w:r w:rsidR="0023013B">
        <w:rPr>
          <w:color w:val="000000" w:themeColor="text1"/>
          <w:sz w:val="22"/>
          <w:szCs w:val="22"/>
        </w:rPr>
        <w:t>,</w:t>
      </w:r>
      <w:r w:rsidRPr="00352544">
        <w:rPr>
          <w:color w:val="000000" w:themeColor="text1"/>
          <w:sz w:val="22"/>
          <w:szCs w:val="22"/>
        </w:rPr>
        <w:t xml:space="preserve"> at a higher power than specified in the rule</w:t>
      </w:r>
      <w:r w:rsidRPr="00352544" w:rsidR="00A66F88">
        <w:rPr>
          <w:color w:val="000000" w:themeColor="text1"/>
          <w:sz w:val="22"/>
          <w:szCs w:val="22"/>
        </w:rPr>
        <w:t>, limited to operation within automotive vehicle cabins</w:t>
      </w:r>
      <w:r w:rsidRPr="00352544" w:rsidR="00F915F8">
        <w:rPr>
          <w:color w:val="000000" w:themeColor="text1"/>
          <w:sz w:val="22"/>
          <w:szCs w:val="22"/>
        </w:rPr>
        <w:t>.</w:t>
      </w:r>
      <w:r>
        <w:rPr>
          <w:rStyle w:val="FootnoteReference"/>
          <w:color w:val="000000" w:themeColor="text1"/>
          <w:szCs w:val="22"/>
        </w:rPr>
        <w:footnoteReference w:id="3"/>
      </w:r>
      <w:r w:rsidR="000706E3">
        <w:rPr>
          <w:color w:val="000000" w:themeColor="text1"/>
          <w:sz w:val="22"/>
          <w:szCs w:val="22"/>
        </w:rPr>
        <w:t xml:space="preserve">  </w:t>
      </w:r>
      <w:r w:rsidRPr="00352544" w:rsidR="00AC1CE9">
        <w:rPr>
          <w:color w:val="000000" w:themeColor="text1"/>
          <w:sz w:val="22"/>
          <w:szCs w:val="22"/>
        </w:rPr>
        <w:t xml:space="preserve"> </w:t>
      </w:r>
    </w:p>
    <w:p w:rsidR="003A01DE" w:rsidRPr="00352544" w:rsidP="00E5255A" w14:paraId="682AFB22" w14:textId="77777777">
      <w:pPr>
        <w:pStyle w:val="Default"/>
        <w:ind w:firstLine="720"/>
        <w:rPr>
          <w:color w:val="000000" w:themeColor="text1"/>
          <w:sz w:val="22"/>
          <w:szCs w:val="22"/>
        </w:rPr>
      </w:pPr>
    </w:p>
    <w:p w:rsidR="005E4126" w:rsidRPr="00352544" w:rsidP="00E5255A" w14:paraId="53F12FE0" w14:textId="4BD77CB0">
      <w:pPr>
        <w:pStyle w:val="Default"/>
        <w:ind w:firstLine="720"/>
        <w:rPr>
          <w:color w:val="000000" w:themeColor="text1"/>
          <w:sz w:val="22"/>
          <w:szCs w:val="22"/>
        </w:rPr>
      </w:pPr>
      <w:r>
        <w:rPr>
          <w:color w:val="000000" w:themeColor="text1"/>
          <w:sz w:val="22"/>
          <w:szCs w:val="22"/>
        </w:rPr>
        <w:t xml:space="preserve">According to </w:t>
      </w:r>
      <w:r w:rsidRPr="00352544" w:rsidR="00AC1CE9">
        <w:rPr>
          <w:color w:val="000000" w:themeColor="text1"/>
          <w:sz w:val="22"/>
          <w:szCs w:val="22"/>
        </w:rPr>
        <w:t>IEE Sensing</w:t>
      </w:r>
      <w:r>
        <w:rPr>
          <w:color w:val="000000" w:themeColor="text1"/>
          <w:sz w:val="22"/>
          <w:szCs w:val="22"/>
        </w:rPr>
        <w:t>,</w:t>
      </w:r>
      <w:r w:rsidRPr="00352544" w:rsidR="00AC1CE9">
        <w:rPr>
          <w:color w:val="000000" w:themeColor="text1"/>
          <w:sz w:val="22"/>
          <w:szCs w:val="22"/>
        </w:rPr>
        <w:t xml:space="preserve"> the VitaSense </w:t>
      </w:r>
      <w:r>
        <w:rPr>
          <w:color w:val="000000" w:themeColor="text1"/>
          <w:sz w:val="22"/>
          <w:szCs w:val="22"/>
        </w:rPr>
        <w:t xml:space="preserve">is designed to </w:t>
      </w:r>
      <w:r w:rsidRPr="00352544" w:rsidR="001D649A">
        <w:rPr>
          <w:color w:val="000000" w:themeColor="text1"/>
          <w:sz w:val="22"/>
          <w:szCs w:val="22"/>
        </w:rPr>
        <w:t>detect the breathing</w:t>
      </w:r>
      <w:r>
        <w:rPr>
          <w:color w:val="000000" w:themeColor="text1"/>
          <w:sz w:val="22"/>
          <w:szCs w:val="22"/>
        </w:rPr>
        <w:t xml:space="preserve"> and </w:t>
      </w:r>
      <w:r w:rsidRPr="00352544" w:rsidR="007F0460">
        <w:rPr>
          <w:color w:val="000000" w:themeColor="text1"/>
          <w:sz w:val="22"/>
          <w:szCs w:val="22"/>
        </w:rPr>
        <w:t>movements</w:t>
      </w:r>
      <w:r w:rsidRPr="00352544" w:rsidR="001D649A">
        <w:rPr>
          <w:color w:val="000000" w:themeColor="text1"/>
          <w:sz w:val="22"/>
          <w:szCs w:val="22"/>
        </w:rPr>
        <w:t xml:space="preserve"> of children </w:t>
      </w:r>
      <w:r>
        <w:rPr>
          <w:color w:val="000000" w:themeColor="text1"/>
          <w:sz w:val="22"/>
          <w:szCs w:val="22"/>
        </w:rPr>
        <w:t xml:space="preserve">inadvertently </w:t>
      </w:r>
      <w:r w:rsidRPr="00352544" w:rsidR="001D649A">
        <w:rPr>
          <w:color w:val="000000" w:themeColor="text1"/>
          <w:sz w:val="22"/>
          <w:szCs w:val="22"/>
        </w:rPr>
        <w:t xml:space="preserve">left in </w:t>
      </w:r>
      <w:r>
        <w:rPr>
          <w:color w:val="000000" w:themeColor="text1"/>
          <w:sz w:val="22"/>
          <w:szCs w:val="22"/>
        </w:rPr>
        <w:t>an automobile</w:t>
      </w:r>
      <w:r w:rsidRPr="00352544" w:rsidR="001D649A">
        <w:rPr>
          <w:color w:val="000000" w:themeColor="text1"/>
          <w:sz w:val="22"/>
          <w:szCs w:val="22"/>
        </w:rPr>
        <w:t xml:space="preserve"> to alert the vehicle’s alarm system.  IEE Sensing states that the VitaSense </w:t>
      </w:r>
      <w:r w:rsidRPr="00352544" w:rsidR="00AC1CE9">
        <w:rPr>
          <w:color w:val="000000" w:themeColor="text1"/>
          <w:sz w:val="22"/>
          <w:szCs w:val="22"/>
        </w:rPr>
        <w:t>is intended to be integrated into the vehicle by the vehicle manufacturers and not as an after</w:t>
      </w:r>
      <w:r>
        <w:rPr>
          <w:color w:val="000000" w:themeColor="text1"/>
          <w:sz w:val="22"/>
          <w:szCs w:val="22"/>
        </w:rPr>
        <w:t>-</w:t>
      </w:r>
      <w:r w:rsidRPr="00352544" w:rsidR="00AC1CE9">
        <w:rPr>
          <w:color w:val="000000" w:themeColor="text1"/>
          <w:sz w:val="22"/>
          <w:szCs w:val="22"/>
        </w:rPr>
        <w:t>market product.</w:t>
      </w:r>
      <w:r>
        <w:rPr>
          <w:rStyle w:val="FootnoteReference"/>
          <w:color w:val="000000" w:themeColor="text1"/>
          <w:szCs w:val="22"/>
        </w:rPr>
        <w:footnoteReference w:id="4"/>
      </w:r>
      <w:r w:rsidRPr="00352544" w:rsidR="00AC1CE9">
        <w:rPr>
          <w:color w:val="000000" w:themeColor="text1"/>
          <w:sz w:val="22"/>
          <w:szCs w:val="22"/>
        </w:rPr>
        <w:t xml:space="preserve">  </w:t>
      </w:r>
      <w:r w:rsidRPr="00352544" w:rsidR="00697177">
        <w:rPr>
          <w:color w:val="000000" w:themeColor="text1"/>
          <w:sz w:val="22"/>
          <w:szCs w:val="22"/>
        </w:rPr>
        <w:t>IEE Sensing</w:t>
      </w:r>
      <w:r w:rsidRPr="00352544" w:rsidR="001E554E">
        <w:rPr>
          <w:color w:val="000000" w:themeColor="text1"/>
          <w:sz w:val="22"/>
          <w:szCs w:val="22"/>
        </w:rPr>
        <w:t xml:space="preserve"> indicates that its device would </w:t>
      </w:r>
      <w:r w:rsidRPr="00352544" w:rsidR="007A1F31">
        <w:rPr>
          <w:color w:val="000000" w:themeColor="text1"/>
          <w:sz w:val="22"/>
          <w:szCs w:val="22"/>
        </w:rPr>
        <w:t>detect</w:t>
      </w:r>
      <w:r w:rsidRPr="00352544" w:rsidR="00956A4A">
        <w:rPr>
          <w:color w:val="000000" w:themeColor="text1"/>
          <w:sz w:val="22"/>
          <w:szCs w:val="22"/>
        </w:rPr>
        <w:t xml:space="preserve"> </w:t>
      </w:r>
      <w:r w:rsidRPr="00352544" w:rsidR="00A40953">
        <w:rPr>
          <w:color w:val="000000" w:themeColor="text1"/>
          <w:sz w:val="22"/>
          <w:szCs w:val="22"/>
        </w:rPr>
        <w:t>unattended child</w:t>
      </w:r>
      <w:r w:rsidRPr="00352544" w:rsidR="007A1F31">
        <w:rPr>
          <w:color w:val="000000" w:themeColor="text1"/>
          <w:sz w:val="22"/>
          <w:szCs w:val="22"/>
        </w:rPr>
        <w:t>ren</w:t>
      </w:r>
      <w:r w:rsidRPr="00352544" w:rsidR="00A40953">
        <w:rPr>
          <w:color w:val="000000" w:themeColor="text1"/>
          <w:sz w:val="22"/>
          <w:szCs w:val="22"/>
        </w:rPr>
        <w:t xml:space="preserve"> while the vehicle is completely stopped</w:t>
      </w:r>
      <w:r w:rsidRPr="00352544" w:rsidR="00E60E67">
        <w:rPr>
          <w:color w:val="000000" w:themeColor="text1"/>
          <w:sz w:val="22"/>
          <w:szCs w:val="22"/>
        </w:rPr>
        <w:t xml:space="preserve">, thus it considers the VitaSense to be a fixed </w:t>
      </w:r>
      <w:r w:rsidRPr="00352544" w:rsidR="007F0460">
        <w:rPr>
          <w:color w:val="000000" w:themeColor="text1"/>
          <w:sz w:val="22"/>
          <w:szCs w:val="22"/>
        </w:rPr>
        <w:t>radar</w:t>
      </w:r>
      <w:r w:rsidRPr="00352544" w:rsidR="00E60E67">
        <w:rPr>
          <w:color w:val="000000" w:themeColor="text1"/>
          <w:sz w:val="22"/>
          <w:szCs w:val="22"/>
        </w:rPr>
        <w:t xml:space="preserve"> under the provisions of section 15.255</w:t>
      </w:r>
      <w:r w:rsidRPr="00352544" w:rsidR="00956A4A">
        <w:rPr>
          <w:color w:val="000000" w:themeColor="text1"/>
          <w:sz w:val="22"/>
          <w:szCs w:val="22"/>
        </w:rPr>
        <w:t>.</w:t>
      </w:r>
      <w:r>
        <w:rPr>
          <w:rStyle w:val="FootnoteReference"/>
          <w:color w:val="000000" w:themeColor="text1"/>
          <w:szCs w:val="22"/>
        </w:rPr>
        <w:footnoteReference w:id="5"/>
      </w:r>
    </w:p>
    <w:p w:rsidR="000A1CE9" w:rsidRPr="00352544" w:rsidP="00E5255A" w14:paraId="66C68D1F" w14:textId="77777777">
      <w:pPr>
        <w:pStyle w:val="Default"/>
        <w:ind w:firstLine="720"/>
        <w:rPr>
          <w:color w:val="000000" w:themeColor="text1"/>
          <w:sz w:val="22"/>
          <w:szCs w:val="22"/>
        </w:rPr>
      </w:pPr>
    </w:p>
    <w:p w:rsidR="001E17C6" w:rsidRPr="00352544" w:rsidP="008357A1" w14:paraId="292CF39D" w14:textId="1E199EEC">
      <w:pPr>
        <w:pStyle w:val="Default"/>
        <w:ind w:firstLine="720"/>
        <w:rPr>
          <w:color w:val="000000" w:themeColor="text1"/>
          <w:sz w:val="22"/>
          <w:szCs w:val="22"/>
        </w:rPr>
      </w:pPr>
      <w:r w:rsidRPr="00352544">
        <w:rPr>
          <w:color w:val="000000" w:themeColor="text1"/>
          <w:sz w:val="22"/>
          <w:szCs w:val="22"/>
        </w:rPr>
        <w:t xml:space="preserve">IEE Sensing states that the VitaSense needs a bandwidth of </w:t>
      </w:r>
      <w:r w:rsidR="00BD4AA8">
        <w:rPr>
          <w:color w:val="000000" w:themeColor="text1"/>
          <w:sz w:val="22"/>
          <w:szCs w:val="22"/>
        </w:rPr>
        <w:t>four</w:t>
      </w:r>
      <w:r w:rsidRPr="00352544" w:rsidR="00BD4AA8">
        <w:rPr>
          <w:color w:val="000000" w:themeColor="text1"/>
          <w:sz w:val="22"/>
          <w:szCs w:val="22"/>
        </w:rPr>
        <w:t xml:space="preserve"> </w:t>
      </w:r>
      <w:r w:rsidRPr="00352544">
        <w:rPr>
          <w:color w:val="000000" w:themeColor="text1"/>
          <w:sz w:val="22"/>
          <w:szCs w:val="22"/>
        </w:rPr>
        <w:t xml:space="preserve">gigahertz to eliminate errors in detection, thus it requests </w:t>
      </w:r>
      <w:r w:rsidR="00BD4AA8">
        <w:rPr>
          <w:color w:val="000000" w:themeColor="text1"/>
          <w:sz w:val="22"/>
          <w:szCs w:val="22"/>
        </w:rPr>
        <w:t xml:space="preserve">a </w:t>
      </w:r>
      <w:r w:rsidRPr="00352544">
        <w:rPr>
          <w:color w:val="000000" w:themeColor="text1"/>
          <w:sz w:val="22"/>
          <w:szCs w:val="22"/>
        </w:rPr>
        <w:t xml:space="preserve">waiver of the 500-megahertz bandwidth requirement in section 15.255(c)(2). This rule </w:t>
      </w:r>
      <w:r w:rsidRPr="00352544" w:rsidR="002576E2">
        <w:rPr>
          <w:color w:val="000000" w:themeColor="text1"/>
          <w:sz w:val="22"/>
          <w:szCs w:val="22"/>
        </w:rPr>
        <w:t xml:space="preserve">requires </w:t>
      </w:r>
      <w:r w:rsidRPr="00352544" w:rsidR="006D3D10">
        <w:rPr>
          <w:color w:val="000000" w:themeColor="text1"/>
          <w:sz w:val="22"/>
          <w:szCs w:val="22"/>
        </w:rPr>
        <w:t xml:space="preserve">fixed field disturbance </w:t>
      </w:r>
      <w:r w:rsidRPr="00352544" w:rsidR="00E60E67">
        <w:rPr>
          <w:color w:val="000000" w:themeColor="text1"/>
          <w:sz w:val="22"/>
          <w:szCs w:val="22"/>
        </w:rPr>
        <w:t xml:space="preserve">sensors/radars </w:t>
      </w:r>
      <w:r w:rsidRPr="00352544" w:rsidR="001E554E">
        <w:rPr>
          <w:color w:val="000000" w:themeColor="text1"/>
          <w:sz w:val="22"/>
          <w:szCs w:val="22"/>
        </w:rPr>
        <w:t xml:space="preserve">to comply with a </w:t>
      </w:r>
      <w:r w:rsidRPr="00352544">
        <w:rPr>
          <w:color w:val="000000" w:themeColor="text1"/>
          <w:sz w:val="22"/>
          <w:szCs w:val="22"/>
        </w:rPr>
        <w:t>500</w:t>
      </w:r>
      <w:r w:rsidRPr="00352544" w:rsidR="00E60E67">
        <w:rPr>
          <w:color w:val="000000" w:themeColor="text1"/>
          <w:sz w:val="22"/>
          <w:szCs w:val="22"/>
        </w:rPr>
        <w:t>-</w:t>
      </w:r>
      <w:r w:rsidRPr="00352544">
        <w:rPr>
          <w:color w:val="000000" w:themeColor="text1"/>
          <w:sz w:val="22"/>
          <w:szCs w:val="22"/>
        </w:rPr>
        <w:t xml:space="preserve">megahertz bandwidth contained within the 61.0-61.5 GHz band, and limits </w:t>
      </w:r>
      <w:r w:rsidRPr="00352544" w:rsidR="00E60E67">
        <w:rPr>
          <w:color w:val="000000" w:themeColor="text1"/>
          <w:sz w:val="22"/>
          <w:szCs w:val="22"/>
        </w:rPr>
        <w:t xml:space="preserve">equivalent isotropically radiated power (EIRP) </w:t>
      </w:r>
      <w:r w:rsidRPr="00352544">
        <w:rPr>
          <w:color w:val="000000" w:themeColor="text1"/>
          <w:sz w:val="22"/>
          <w:szCs w:val="22"/>
        </w:rPr>
        <w:t xml:space="preserve">levels outside of this band </w:t>
      </w:r>
      <w:r w:rsidRPr="00352544" w:rsidR="00E60E67">
        <w:rPr>
          <w:color w:val="000000" w:themeColor="text1"/>
          <w:sz w:val="22"/>
          <w:szCs w:val="22"/>
        </w:rPr>
        <w:t>(but within the 57</w:t>
      </w:r>
      <w:r w:rsidRPr="00352544" w:rsidR="00E60E67">
        <w:rPr>
          <w:color w:val="000000" w:themeColor="text1"/>
          <w:sz w:val="22"/>
          <w:szCs w:val="22"/>
        </w:rPr>
        <w:noBreakHyphen/>
        <w:t xml:space="preserve">71 GHz band) </w:t>
      </w:r>
      <w:r w:rsidRPr="00352544">
        <w:rPr>
          <w:color w:val="000000" w:themeColor="text1"/>
          <w:sz w:val="22"/>
          <w:szCs w:val="22"/>
        </w:rPr>
        <w:t>to +10 dBm</w:t>
      </w:r>
      <w:r w:rsidRPr="00352544" w:rsidR="00E60E67">
        <w:rPr>
          <w:color w:val="000000" w:themeColor="text1"/>
          <w:sz w:val="22"/>
          <w:szCs w:val="22"/>
        </w:rPr>
        <w:t xml:space="preserve"> average EIRP and +13 dBm peak EIRP. </w:t>
      </w:r>
      <w:r w:rsidRPr="00352544" w:rsidR="00C11FAC">
        <w:rPr>
          <w:color w:val="000000" w:themeColor="text1"/>
          <w:sz w:val="22"/>
          <w:szCs w:val="22"/>
        </w:rPr>
        <w:t xml:space="preserve"> IEE Sensing affirms that the VitaSense compl</w:t>
      </w:r>
      <w:r w:rsidRPr="00352544" w:rsidR="00AB1A9D">
        <w:rPr>
          <w:color w:val="000000" w:themeColor="text1"/>
          <w:sz w:val="22"/>
          <w:szCs w:val="22"/>
        </w:rPr>
        <w:t>ies</w:t>
      </w:r>
      <w:r w:rsidRPr="00352544" w:rsidR="00C11FAC">
        <w:rPr>
          <w:color w:val="000000" w:themeColor="text1"/>
          <w:sz w:val="22"/>
          <w:szCs w:val="22"/>
        </w:rPr>
        <w:t xml:space="preserve"> with the EIRP limits of this </w:t>
      </w:r>
      <w:r w:rsidRPr="00352544" w:rsidR="00E74EC9">
        <w:rPr>
          <w:color w:val="000000" w:themeColor="text1"/>
          <w:sz w:val="22"/>
          <w:szCs w:val="22"/>
        </w:rPr>
        <w:t xml:space="preserve">rule </w:t>
      </w:r>
      <w:r w:rsidRPr="00352544" w:rsidR="00C11FAC">
        <w:rPr>
          <w:color w:val="000000" w:themeColor="text1"/>
          <w:sz w:val="22"/>
          <w:szCs w:val="22"/>
        </w:rPr>
        <w:t>section</w:t>
      </w:r>
      <w:r w:rsidRPr="00352544" w:rsidR="00F821A7">
        <w:rPr>
          <w:color w:val="000000" w:themeColor="text1"/>
          <w:sz w:val="22"/>
          <w:szCs w:val="22"/>
        </w:rPr>
        <w:t xml:space="preserve"> across its </w:t>
      </w:r>
      <w:r w:rsidR="00BD4AA8">
        <w:rPr>
          <w:color w:val="000000" w:themeColor="text1"/>
          <w:sz w:val="22"/>
          <w:szCs w:val="22"/>
        </w:rPr>
        <w:t xml:space="preserve">proposed </w:t>
      </w:r>
      <w:r w:rsidRPr="00352544" w:rsidR="00F821A7">
        <w:rPr>
          <w:color w:val="000000" w:themeColor="text1"/>
          <w:sz w:val="22"/>
          <w:szCs w:val="22"/>
        </w:rPr>
        <w:t>operating 60</w:t>
      </w:r>
      <w:r w:rsidRPr="00352544" w:rsidR="00F821A7">
        <w:rPr>
          <w:color w:val="000000" w:themeColor="text1"/>
          <w:sz w:val="22"/>
          <w:szCs w:val="22"/>
        </w:rPr>
        <w:noBreakHyphen/>
        <w:t>64 GHz frequency band</w:t>
      </w:r>
      <w:r w:rsidRPr="00352544" w:rsidR="00E60E67">
        <w:rPr>
          <w:color w:val="000000" w:themeColor="text1"/>
          <w:sz w:val="22"/>
          <w:szCs w:val="22"/>
        </w:rPr>
        <w:t xml:space="preserve">.  </w:t>
      </w:r>
    </w:p>
    <w:p w:rsidR="001E17C6" w:rsidRPr="00352544" w:rsidP="008357A1" w14:paraId="2C40747D" w14:textId="77777777">
      <w:pPr>
        <w:pStyle w:val="Default"/>
        <w:ind w:firstLine="720"/>
        <w:rPr>
          <w:color w:val="000000" w:themeColor="text1"/>
          <w:sz w:val="22"/>
          <w:szCs w:val="22"/>
        </w:rPr>
      </w:pPr>
    </w:p>
    <w:p w:rsidR="00955C6E" w:rsidRPr="00352544" w:rsidP="008357A1" w14:paraId="6A20DBEA" w14:textId="746F918D">
      <w:pPr>
        <w:pStyle w:val="Default"/>
        <w:ind w:firstLine="720"/>
        <w:rPr>
          <w:color w:val="000000" w:themeColor="text1"/>
          <w:sz w:val="22"/>
          <w:szCs w:val="22"/>
        </w:rPr>
      </w:pPr>
      <w:r w:rsidRPr="00352544">
        <w:rPr>
          <w:color w:val="000000" w:themeColor="text1"/>
          <w:sz w:val="22"/>
          <w:szCs w:val="22"/>
        </w:rPr>
        <w:t>In the alternative, if waiver of the above bandwidth is not possible, IEE Sensing requests waiver of s</w:t>
      </w:r>
      <w:r w:rsidRPr="00352544" w:rsidR="00E60E67">
        <w:rPr>
          <w:color w:val="000000" w:themeColor="text1"/>
          <w:sz w:val="22"/>
          <w:szCs w:val="22"/>
        </w:rPr>
        <w:t xml:space="preserve">ection 15.255(c)(3) </w:t>
      </w:r>
      <w:r w:rsidRPr="00352544" w:rsidR="00031060">
        <w:rPr>
          <w:color w:val="000000" w:themeColor="text1"/>
          <w:sz w:val="22"/>
          <w:szCs w:val="22"/>
        </w:rPr>
        <w:t xml:space="preserve">to allow the VitaSense to operate </w:t>
      </w:r>
      <w:r w:rsidRPr="00352544" w:rsidR="00084D9D">
        <w:rPr>
          <w:color w:val="000000" w:themeColor="text1"/>
          <w:sz w:val="22"/>
          <w:szCs w:val="22"/>
        </w:rPr>
        <w:t xml:space="preserve">as a short-range interactive motion sensing </w:t>
      </w:r>
      <w:r w:rsidRPr="00352544" w:rsidR="00084D9D">
        <w:rPr>
          <w:color w:val="000000" w:themeColor="text1"/>
          <w:sz w:val="22"/>
          <w:szCs w:val="22"/>
        </w:rPr>
        <w:t xml:space="preserve">device with the </w:t>
      </w:r>
      <w:r w:rsidRPr="00352544" w:rsidR="007F0460">
        <w:rPr>
          <w:color w:val="000000" w:themeColor="text1"/>
          <w:sz w:val="22"/>
          <w:szCs w:val="22"/>
        </w:rPr>
        <w:t xml:space="preserve">same technical parameters </w:t>
      </w:r>
      <w:r w:rsidRPr="00352544" w:rsidR="00435563">
        <w:rPr>
          <w:color w:val="000000" w:themeColor="text1"/>
          <w:sz w:val="22"/>
          <w:szCs w:val="22"/>
        </w:rPr>
        <w:t>as those we granted to Google in a 2018 waiver order.</w:t>
      </w:r>
      <w:r>
        <w:rPr>
          <w:rStyle w:val="FootnoteReference"/>
          <w:color w:val="000000" w:themeColor="text1"/>
          <w:szCs w:val="22"/>
        </w:rPr>
        <w:footnoteReference w:id="6"/>
      </w:r>
      <w:r w:rsidRPr="00352544" w:rsidR="00435563">
        <w:rPr>
          <w:color w:val="000000" w:themeColor="text1"/>
          <w:sz w:val="22"/>
          <w:szCs w:val="22"/>
        </w:rPr>
        <w:t xml:space="preserve">  Under that waiver, we permitted Google to deploy its Soli sensor technology to enable touchless control of device functions or features (such as its Pixel phone) at +10 dBm peak transmitter conducted output power, +13 dBm peak EIRP level, and +13 dBm/MHz peak power spectral density, with a 10</w:t>
      </w:r>
      <w:r w:rsidR="004A23B0">
        <w:rPr>
          <w:color w:val="000000" w:themeColor="text1"/>
          <w:sz w:val="22"/>
          <w:szCs w:val="22"/>
        </w:rPr>
        <w:t>%</w:t>
      </w:r>
      <w:r w:rsidRPr="00352544" w:rsidR="00435563">
        <w:rPr>
          <w:color w:val="000000" w:themeColor="text1"/>
          <w:sz w:val="22"/>
          <w:szCs w:val="22"/>
        </w:rPr>
        <w:t xml:space="preserve"> duty cycle in any 33 milliseconds (ms) interval.</w:t>
      </w:r>
      <w:r>
        <w:rPr>
          <w:rStyle w:val="FootnoteReference"/>
          <w:szCs w:val="22"/>
        </w:rPr>
        <w:footnoteReference w:id="7"/>
      </w:r>
      <w:r w:rsidRPr="00352544" w:rsidR="00435563">
        <w:rPr>
          <w:color w:val="000000" w:themeColor="text1"/>
          <w:sz w:val="22"/>
          <w:szCs w:val="22"/>
        </w:rPr>
        <w:t xml:space="preserve">  </w:t>
      </w:r>
      <w:r w:rsidRPr="00352544" w:rsidR="00031060">
        <w:rPr>
          <w:color w:val="000000" w:themeColor="text1"/>
          <w:sz w:val="22"/>
          <w:szCs w:val="22"/>
        </w:rPr>
        <w:t xml:space="preserve">Section 15.255(c)(3) </w:t>
      </w:r>
      <w:r w:rsidRPr="00352544" w:rsidR="00E60E67">
        <w:rPr>
          <w:color w:val="000000" w:themeColor="text1"/>
          <w:sz w:val="22"/>
          <w:szCs w:val="22"/>
        </w:rPr>
        <w:t xml:space="preserve">requires </w:t>
      </w:r>
      <w:r w:rsidRPr="00352544" w:rsidR="00AB1A9D">
        <w:rPr>
          <w:color w:val="000000" w:themeColor="text1"/>
          <w:sz w:val="22"/>
          <w:szCs w:val="22"/>
        </w:rPr>
        <w:t>field disturbance sensors</w:t>
      </w:r>
      <w:r w:rsidRPr="00352544" w:rsidR="00AC1CE9">
        <w:rPr>
          <w:color w:val="000000" w:themeColor="text1"/>
          <w:sz w:val="22"/>
          <w:szCs w:val="22"/>
        </w:rPr>
        <w:t xml:space="preserve">/radars </w:t>
      </w:r>
      <w:r w:rsidRPr="00352544" w:rsidR="00031060">
        <w:rPr>
          <w:color w:val="000000" w:themeColor="text1"/>
          <w:sz w:val="22"/>
          <w:szCs w:val="22"/>
        </w:rPr>
        <w:t>operating across the 57</w:t>
      </w:r>
      <w:r w:rsidRPr="00352544" w:rsidR="00031060">
        <w:rPr>
          <w:color w:val="000000" w:themeColor="text1"/>
          <w:sz w:val="22"/>
          <w:szCs w:val="22"/>
        </w:rPr>
        <w:noBreakHyphen/>
        <w:t xml:space="preserve">71 GHz band </w:t>
      </w:r>
      <w:r w:rsidRPr="00352544" w:rsidR="00AC1CE9">
        <w:rPr>
          <w:color w:val="000000" w:themeColor="text1"/>
          <w:sz w:val="22"/>
          <w:szCs w:val="22"/>
        </w:rPr>
        <w:t xml:space="preserve">to comply with a </w:t>
      </w:r>
      <w:r w:rsidRPr="00352544" w:rsidR="001E554E">
        <w:rPr>
          <w:color w:val="000000" w:themeColor="text1"/>
          <w:sz w:val="22"/>
          <w:szCs w:val="22"/>
        </w:rPr>
        <w:t xml:space="preserve">peak transmitter conducted output power limit of -10 dBm and a peak </w:t>
      </w:r>
      <w:r w:rsidRPr="00352544" w:rsidR="00AC1CE9">
        <w:rPr>
          <w:color w:val="000000" w:themeColor="text1"/>
          <w:sz w:val="22"/>
          <w:szCs w:val="22"/>
        </w:rPr>
        <w:t xml:space="preserve">EIRP </w:t>
      </w:r>
      <w:r w:rsidRPr="00352544" w:rsidR="001E554E">
        <w:rPr>
          <w:color w:val="000000" w:themeColor="text1"/>
          <w:sz w:val="22"/>
          <w:szCs w:val="22"/>
        </w:rPr>
        <w:t>limit of +10 dBm.</w:t>
      </w:r>
      <w:r>
        <w:rPr>
          <w:rStyle w:val="FootnoteReference"/>
          <w:color w:val="000000" w:themeColor="text1"/>
          <w:szCs w:val="22"/>
        </w:rPr>
        <w:footnoteReference w:id="8"/>
      </w:r>
      <w:r w:rsidRPr="00352544" w:rsidR="000A1CE9">
        <w:rPr>
          <w:color w:val="000000" w:themeColor="text1"/>
          <w:sz w:val="22"/>
          <w:szCs w:val="22"/>
        </w:rPr>
        <w:t xml:space="preserve">  </w:t>
      </w:r>
    </w:p>
    <w:p w:rsidR="00580248" w:rsidRPr="00352544" w:rsidP="00D965DB" w14:paraId="09A1914E" w14:textId="77777777">
      <w:pPr>
        <w:pStyle w:val="Default"/>
        <w:ind w:firstLine="720"/>
        <w:rPr>
          <w:color w:val="000000" w:themeColor="text1"/>
          <w:sz w:val="22"/>
          <w:szCs w:val="22"/>
        </w:rPr>
      </w:pPr>
    </w:p>
    <w:p w:rsidR="008C60B9" w:rsidRPr="00352544" w:rsidP="00C56F82" w14:paraId="4CDAEC9D" w14:textId="5A857835">
      <w:pPr>
        <w:pStyle w:val="Default"/>
        <w:rPr>
          <w:color w:val="000000" w:themeColor="text1"/>
          <w:sz w:val="22"/>
          <w:szCs w:val="22"/>
        </w:rPr>
      </w:pPr>
      <w:r w:rsidRPr="00352544">
        <w:rPr>
          <w:color w:val="000000" w:themeColor="text1"/>
          <w:sz w:val="22"/>
          <w:szCs w:val="22"/>
        </w:rPr>
        <w:tab/>
        <w:t>T</w:t>
      </w:r>
      <w:r w:rsidRPr="00352544" w:rsidR="00031D2D">
        <w:rPr>
          <w:color w:val="000000" w:themeColor="text1"/>
          <w:sz w:val="22"/>
          <w:szCs w:val="22"/>
        </w:rPr>
        <w:t xml:space="preserve">o develop a complete record on the issues presented by this request, </w:t>
      </w:r>
      <w:r w:rsidRPr="00352544" w:rsidR="00AB642D">
        <w:rPr>
          <w:color w:val="000000" w:themeColor="text1"/>
          <w:sz w:val="22"/>
          <w:szCs w:val="22"/>
        </w:rPr>
        <w:t>the</w:t>
      </w:r>
      <w:r w:rsidRPr="00352544" w:rsidR="00031D2D">
        <w:rPr>
          <w:color w:val="000000" w:themeColor="text1"/>
          <w:sz w:val="22"/>
          <w:szCs w:val="22"/>
        </w:rPr>
        <w:t xml:space="preserve"> proceeding will be treated, for </w:t>
      </w:r>
      <w:r w:rsidRPr="00352544" w:rsidR="00031D2D">
        <w:rPr>
          <w:i/>
          <w:color w:val="000000" w:themeColor="text1"/>
          <w:sz w:val="22"/>
          <w:szCs w:val="22"/>
        </w:rPr>
        <w:t>ex parte</w:t>
      </w:r>
      <w:r w:rsidRPr="00352544" w:rsidR="00031D2D">
        <w:rPr>
          <w:color w:val="000000" w:themeColor="text1"/>
          <w:sz w:val="22"/>
          <w:szCs w:val="22"/>
        </w:rPr>
        <w:t xml:space="preserve"> purposes, as a “permit-but-disclose” </w:t>
      </w:r>
      <w:r w:rsidRPr="00352544" w:rsidR="00580248">
        <w:rPr>
          <w:color w:val="000000" w:themeColor="text1"/>
          <w:sz w:val="22"/>
          <w:szCs w:val="22"/>
        </w:rPr>
        <w:t xml:space="preserve">proceeding </w:t>
      </w:r>
      <w:r w:rsidRPr="00352544" w:rsidR="00031D2D">
        <w:rPr>
          <w:color w:val="000000" w:themeColor="text1"/>
          <w:sz w:val="22"/>
          <w:szCs w:val="22"/>
        </w:rPr>
        <w:t>in accordance with Section 1.1200(a) of the Commission’s rules, subject to the requirements under Section 1.1206(b).</w:t>
      </w:r>
      <w:r w:rsidRPr="00352544" w:rsidR="00580248">
        <w:rPr>
          <w:color w:val="000000" w:themeColor="text1"/>
          <w:sz w:val="22"/>
          <w:szCs w:val="22"/>
        </w:rPr>
        <w:t xml:space="preserve">  </w:t>
      </w:r>
      <w:r w:rsidRPr="00352544" w:rsidR="003A0D58">
        <w:rPr>
          <w:color w:val="000000" w:themeColor="text1"/>
          <w:sz w:val="22"/>
          <w:szCs w:val="22"/>
        </w:rPr>
        <w:t xml:space="preserve">IEE Sensing filed its petition </w:t>
      </w:r>
      <w:r w:rsidR="000706E3">
        <w:rPr>
          <w:color w:val="000000" w:themeColor="text1"/>
          <w:sz w:val="22"/>
          <w:szCs w:val="22"/>
        </w:rPr>
        <w:t xml:space="preserve">and subsequent clarification </w:t>
      </w:r>
      <w:r w:rsidRPr="00352544" w:rsidR="003A0D58">
        <w:rPr>
          <w:color w:val="000000" w:themeColor="text1"/>
          <w:sz w:val="22"/>
          <w:szCs w:val="22"/>
        </w:rPr>
        <w:t>electronically as a non-docketed proceeding in the Commission’s Electronic Comment Filing System</w:t>
      </w:r>
      <w:r w:rsidR="00F14A71">
        <w:rPr>
          <w:color w:val="000000" w:themeColor="text1"/>
          <w:sz w:val="22"/>
          <w:szCs w:val="22"/>
        </w:rPr>
        <w:t>.</w:t>
      </w:r>
      <w:r>
        <w:rPr>
          <w:rStyle w:val="FootnoteReference"/>
          <w:color w:val="000000" w:themeColor="text1"/>
          <w:szCs w:val="22"/>
        </w:rPr>
        <w:footnoteReference w:id="9"/>
      </w:r>
      <w:r w:rsidRPr="00352544" w:rsidR="003A0D58">
        <w:rPr>
          <w:color w:val="000000" w:themeColor="text1"/>
          <w:sz w:val="22"/>
          <w:szCs w:val="22"/>
        </w:rPr>
        <w:t xml:space="preserve"> </w:t>
      </w:r>
      <w:r w:rsidR="00DB7F35">
        <w:rPr>
          <w:color w:val="000000" w:themeColor="text1"/>
          <w:sz w:val="22"/>
          <w:szCs w:val="22"/>
        </w:rPr>
        <w:t xml:space="preserve"> </w:t>
      </w:r>
      <w:r w:rsidRPr="00352544">
        <w:rPr>
          <w:color w:val="000000" w:themeColor="text1"/>
          <w:sz w:val="22"/>
          <w:szCs w:val="22"/>
        </w:rPr>
        <w:t xml:space="preserve">We have opened a new docket, </w:t>
      </w:r>
      <w:r w:rsidRPr="00352544">
        <w:rPr>
          <w:b/>
          <w:bCs/>
          <w:color w:val="000000" w:themeColor="text1"/>
          <w:sz w:val="22"/>
          <w:szCs w:val="22"/>
        </w:rPr>
        <w:t>ET Docket 2</w:t>
      </w:r>
      <w:r w:rsidR="00CF7CCF">
        <w:rPr>
          <w:b/>
          <w:bCs/>
          <w:color w:val="000000" w:themeColor="text1"/>
          <w:sz w:val="22"/>
          <w:szCs w:val="22"/>
        </w:rPr>
        <w:t>0</w:t>
      </w:r>
      <w:r w:rsidRPr="00352544">
        <w:rPr>
          <w:b/>
          <w:bCs/>
          <w:color w:val="000000" w:themeColor="text1"/>
          <w:sz w:val="22"/>
          <w:szCs w:val="22"/>
        </w:rPr>
        <w:t>-</w:t>
      </w:r>
      <w:r w:rsidR="00CF7CCF">
        <w:rPr>
          <w:b/>
          <w:bCs/>
          <w:color w:val="000000" w:themeColor="text1"/>
          <w:sz w:val="22"/>
          <w:szCs w:val="22"/>
        </w:rPr>
        <w:t>435</w:t>
      </w:r>
      <w:r w:rsidRPr="00352544">
        <w:rPr>
          <w:color w:val="000000" w:themeColor="text1"/>
          <w:sz w:val="22"/>
          <w:szCs w:val="22"/>
        </w:rPr>
        <w:t xml:space="preserve"> to facilitate consideration of this request and have moved </w:t>
      </w:r>
      <w:r w:rsidRPr="00352544" w:rsidR="00697177">
        <w:rPr>
          <w:color w:val="000000" w:themeColor="text1"/>
          <w:sz w:val="22"/>
          <w:szCs w:val="22"/>
        </w:rPr>
        <w:t>IEE Sensing</w:t>
      </w:r>
      <w:r w:rsidRPr="00352544">
        <w:rPr>
          <w:color w:val="000000" w:themeColor="text1"/>
          <w:sz w:val="22"/>
          <w:szCs w:val="22"/>
        </w:rPr>
        <w:t xml:space="preserve">’s submission into this docket.  Parties should file all comments and reply comments in </w:t>
      </w:r>
      <w:r w:rsidRPr="00352544">
        <w:rPr>
          <w:b/>
          <w:bCs/>
          <w:color w:val="000000" w:themeColor="text1"/>
          <w:sz w:val="22"/>
          <w:szCs w:val="22"/>
        </w:rPr>
        <w:t>ET Docket 2</w:t>
      </w:r>
      <w:r w:rsidR="00CF7CCF">
        <w:rPr>
          <w:b/>
          <w:bCs/>
          <w:color w:val="000000" w:themeColor="text1"/>
          <w:sz w:val="22"/>
          <w:szCs w:val="22"/>
        </w:rPr>
        <w:t>0</w:t>
      </w:r>
      <w:r w:rsidRPr="00352544">
        <w:rPr>
          <w:b/>
          <w:bCs/>
          <w:color w:val="000000" w:themeColor="text1"/>
          <w:sz w:val="22"/>
          <w:szCs w:val="22"/>
        </w:rPr>
        <w:t>-</w:t>
      </w:r>
      <w:r w:rsidR="00CF7CCF">
        <w:rPr>
          <w:b/>
          <w:bCs/>
          <w:color w:val="000000" w:themeColor="text1"/>
          <w:sz w:val="22"/>
          <w:szCs w:val="22"/>
        </w:rPr>
        <w:t>435</w:t>
      </w:r>
      <w:bookmarkStart w:id="1" w:name="_GoBack"/>
      <w:bookmarkEnd w:id="1"/>
      <w:r w:rsidRPr="00352544">
        <w:rPr>
          <w:color w:val="000000" w:themeColor="text1"/>
          <w:sz w:val="22"/>
          <w:szCs w:val="22"/>
        </w:rPr>
        <w:t>.</w:t>
      </w:r>
    </w:p>
    <w:p w:rsidR="00916412" w:rsidRPr="00352544" w:rsidP="00916412" w14:paraId="05B42EC9" w14:textId="77777777">
      <w:pPr>
        <w:tabs>
          <w:tab w:val="left" w:pos="-720"/>
        </w:tabs>
        <w:suppressAutoHyphens/>
        <w:spacing w:line="227" w:lineRule="atLeast"/>
        <w:jc w:val="both"/>
        <w:rPr>
          <w:color w:val="000000" w:themeColor="text1"/>
          <w:spacing w:val="-3"/>
          <w:szCs w:val="22"/>
        </w:rPr>
      </w:pPr>
    </w:p>
    <w:p w:rsidR="00916412" w:rsidRPr="00352544" w:rsidP="00916412" w14:paraId="6C739023" w14:textId="77777777">
      <w:pPr>
        <w:ind w:firstLine="720"/>
        <w:rPr>
          <w:color w:val="000000" w:themeColor="text1"/>
          <w:szCs w:val="22"/>
        </w:rPr>
      </w:pPr>
      <w:r w:rsidRPr="00352544">
        <w:rPr>
          <w:color w:val="000000" w:themeColor="text1"/>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352544">
        <w:rPr>
          <w:i/>
          <w:color w:val="000000" w:themeColor="text1"/>
          <w:szCs w:val="22"/>
        </w:rPr>
        <w:t>See Electronic Filing of Documents in Rulemaking Proceedings</w:t>
      </w:r>
      <w:r w:rsidRPr="00352544">
        <w:rPr>
          <w:color w:val="000000" w:themeColor="text1"/>
          <w:szCs w:val="22"/>
        </w:rPr>
        <w:t>, 63 FR 24121 (1998).</w:t>
      </w:r>
    </w:p>
    <w:p w:rsidR="00916412" w:rsidRPr="00352544" w:rsidP="00916412" w14:paraId="286D749E" w14:textId="77777777">
      <w:pPr>
        <w:rPr>
          <w:color w:val="000000" w:themeColor="text1"/>
          <w:szCs w:val="22"/>
        </w:rPr>
      </w:pPr>
    </w:p>
    <w:p w:rsidR="00916412" w:rsidRPr="00352544" w:rsidP="00916412" w14:paraId="0A1FAC71" w14:textId="77777777">
      <w:pPr>
        <w:widowControl/>
        <w:numPr>
          <w:ilvl w:val="0"/>
          <w:numId w:val="9"/>
        </w:numPr>
        <w:rPr>
          <w:color w:val="000000" w:themeColor="text1"/>
          <w:szCs w:val="22"/>
        </w:rPr>
      </w:pPr>
      <w:r w:rsidRPr="00352544">
        <w:rPr>
          <w:color w:val="000000" w:themeColor="text1"/>
          <w:szCs w:val="22"/>
        </w:rPr>
        <w:t xml:space="preserve">Electronic Filers:  Comments may be filed electronically using the Internet by accessing the ECFS:  </w:t>
      </w:r>
      <w:hyperlink r:id="rId5" w:history="1">
        <w:r w:rsidRPr="00352544">
          <w:rPr>
            <w:color w:val="000000" w:themeColor="text1"/>
            <w:szCs w:val="22"/>
            <w:u w:val="single"/>
          </w:rPr>
          <w:t>http://apps.fcc.gov/ecfs/</w:t>
        </w:r>
      </w:hyperlink>
      <w:r w:rsidRPr="00352544">
        <w:rPr>
          <w:color w:val="000000" w:themeColor="text1"/>
          <w:szCs w:val="22"/>
        </w:rPr>
        <w:t xml:space="preserve">.  </w:t>
      </w:r>
    </w:p>
    <w:p w:rsidR="00916412" w:rsidRPr="00352544" w:rsidP="00916412" w14:paraId="7C2712C2" w14:textId="77777777">
      <w:pPr>
        <w:rPr>
          <w:color w:val="000000" w:themeColor="text1"/>
          <w:szCs w:val="22"/>
        </w:rPr>
      </w:pPr>
    </w:p>
    <w:p w:rsidR="00916412" w:rsidRPr="00352544" w:rsidP="00916412" w14:paraId="0207A706" w14:textId="77777777">
      <w:pPr>
        <w:widowControl/>
        <w:numPr>
          <w:ilvl w:val="0"/>
          <w:numId w:val="8"/>
        </w:numPr>
        <w:rPr>
          <w:color w:val="000000" w:themeColor="text1"/>
          <w:szCs w:val="22"/>
        </w:rPr>
      </w:pPr>
      <w:r w:rsidRPr="00352544">
        <w:rPr>
          <w:color w:val="000000" w:themeColor="text1"/>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16412" w:rsidRPr="00352544" w:rsidP="00916412" w14:paraId="7A9F3F1C" w14:textId="77777777">
      <w:pPr>
        <w:rPr>
          <w:color w:val="000000" w:themeColor="text1"/>
          <w:szCs w:val="22"/>
        </w:rPr>
      </w:pPr>
    </w:p>
    <w:p w:rsidR="00916412" w:rsidRPr="00352544" w:rsidP="00916412" w14:paraId="4A44FC46" w14:textId="77777777">
      <w:pPr>
        <w:ind w:left="720"/>
        <w:rPr>
          <w:color w:val="000000" w:themeColor="text1"/>
          <w:szCs w:val="22"/>
        </w:rPr>
      </w:pPr>
      <w:r w:rsidRPr="00352544">
        <w:rPr>
          <w:color w:val="000000" w:themeColor="text1"/>
          <w:szCs w:val="22"/>
        </w:rPr>
        <w:t>Filings can be sent by commercial overnight courier, or by first-class or overnight U.S. Postal Service mail.  All filings must be addressed to the Commission’s Secretary, Office of the Secretary, Federal Communications Commission.</w:t>
      </w:r>
    </w:p>
    <w:p w:rsidR="00916412" w:rsidRPr="00352544" w:rsidP="00916412" w14:paraId="2ECAFC0C" w14:textId="77777777">
      <w:pPr>
        <w:ind w:left="1080"/>
        <w:rPr>
          <w:color w:val="000000" w:themeColor="text1"/>
          <w:szCs w:val="22"/>
        </w:rPr>
      </w:pPr>
    </w:p>
    <w:p w:rsidR="00BE3EC1" w:rsidRPr="00352544" w:rsidP="00F62749" w14:paraId="3C3418E0" w14:textId="77777777">
      <w:pPr>
        <w:pStyle w:val="ListParagraph"/>
        <w:widowControl/>
        <w:numPr>
          <w:ilvl w:val="0"/>
          <w:numId w:val="7"/>
        </w:numPr>
        <w:spacing w:after="120"/>
        <w:contextualSpacing w:val="0"/>
        <w:rPr>
          <w:color w:val="000000" w:themeColor="text1"/>
          <w:szCs w:val="22"/>
        </w:rPr>
      </w:pPr>
      <w:r w:rsidRPr="00352544">
        <w:rPr>
          <w:color w:val="000000" w:themeColor="text1"/>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color w:val="000000" w:themeColor="text1"/>
          <w:szCs w:val="22"/>
        </w:rPr>
        <w:footnoteReference w:id="10"/>
      </w:r>
      <w:r w:rsidRPr="00352544">
        <w:rPr>
          <w:color w:val="000000" w:themeColor="text1"/>
          <w:szCs w:val="22"/>
        </w:rPr>
        <w:t xml:space="preserve">  </w:t>
      </w:r>
    </w:p>
    <w:p w:rsidR="00BE3EC1" w:rsidRPr="00352544" w:rsidP="00F62749" w14:paraId="35AB0BEA" w14:textId="77777777">
      <w:pPr>
        <w:pStyle w:val="ListParagraph"/>
        <w:rPr>
          <w:color w:val="000000" w:themeColor="text1"/>
          <w:szCs w:val="22"/>
        </w:rPr>
      </w:pPr>
    </w:p>
    <w:p w:rsidR="00916412" w:rsidRPr="00352544" w:rsidP="00916412" w14:paraId="7DF4CEDF" w14:textId="77777777">
      <w:pPr>
        <w:widowControl/>
        <w:numPr>
          <w:ilvl w:val="0"/>
          <w:numId w:val="7"/>
        </w:numPr>
        <w:tabs>
          <w:tab w:val="clear" w:pos="1350"/>
          <w:tab w:val="num" w:pos="1440"/>
        </w:tabs>
        <w:ind w:left="1440"/>
        <w:rPr>
          <w:color w:val="000000" w:themeColor="text1"/>
          <w:szCs w:val="22"/>
        </w:rPr>
      </w:pPr>
      <w:r w:rsidRPr="00352544">
        <w:rPr>
          <w:color w:val="000000" w:themeColor="text1"/>
          <w:szCs w:val="22"/>
        </w:rPr>
        <w:t>Commercial overnight mail (other than U.S. Postal Service Express Mail and Priority Mail) must be sent to 9050 Junction Drive, Annapolis Junction, MD 20701.</w:t>
      </w:r>
    </w:p>
    <w:p w:rsidR="00916412" w:rsidRPr="00352544" w:rsidP="00916412" w14:paraId="33B12A10" w14:textId="77777777">
      <w:pPr>
        <w:rPr>
          <w:color w:val="000000" w:themeColor="text1"/>
          <w:szCs w:val="22"/>
        </w:rPr>
      </w:pPr>
    </w:p>
    <w:p w:rsidR="00916412" w:rsidRPr="00352544" w:rsidP="00916412" w14:paraId="2EA774C4" w14:textId="2BF371B5">
      <w:pPr>
        <w:widowControl/>
        <w:numPr>
          <w:ilvl w:val="0"/>
          <w:numId w:val="7"/>
        </w:numPr>
        <w:tabs>
          <w:tab w:val="clear" w:pos="1350"/>
          <w:tab w:val="num" w:pos="1440"/>
        </w:tabs>
        <w:ind w:left="1440"/>
        <w:rPr>
          <w:color w:val="000000" w:themeColor="text1"/>
          <w:szCs w:val="22"/>
        </w:rPr>
      </w:pPr>
      <w:r w:rsidRPr="00352544">
        <w:rPr>
          <w:color w:val="000000" w:themeColor="text1"/>
          <w:szCs w:val="22"/>
        </w:rPr>
        <w:t xml:space="preserve">U.S. Postal Service first-class, Express, and Priority mail must be addressed to 45 </w:t>
      </w:r>
      <w:r w:rsidRPr="00352544" w:rsidR="007F323F">
        <w:rPr>
          <w:color w:val="000000" w:themeColor="text1"/>
          <w:szCs w:val="22"/>
        </w:rPr>
        <w:t>L</w:t>
      </w:r>
      <w:r w:rsidRPr="00352544">
        <w:rPr>
          <w:color w:val="000000" w:themeColor="text1"/>
          <w:szCs w:val="22"/>
        </w:rPr>
        <w:t xml:space="preserve"> Street, </w:t>
      </w:r>
      <w:r w:rsidRPr="00352544" w:rsidR="007F323F">
        <w:rPr>
          <w:color w:val="000000" w:themeColor="text1"/>
          <w:szCs w:val="22"/>
        </w:rPr>
        <w:t>NE</w:t>
      </w:r>
      <w:r w:rsidRPr="00352544">
        <w:rPr>
          <w:color w:val="000000" w:themeColor="text1"/>
          <w:szCs w:val="22"/>
        </w:rPr>
        <w:t>, Washington DC 20554.</w:t>
      </w:r>
    </w:p>
    <w:p w:rsidR="00916412" w:rsidRPr="00352544" w:rsidP="00916412" w14:paraId="69374B95" w14:textId="77777777">
      <w:pPr>
        <w:rPr>
          <w:color w:val="000000" w:themeColor="text1"/>
          <w:szCs w:val="22"/>
        </w:rPr>
      </w:pPr>
    </w:p>
    <w:p w:rsidR="00916412" w:rsidRPr="00352544" w:rsidP="00916412" w14:paraId="095B7ECE" w14:textId="77777777">
      <w:pPr>
        <w:ind w:firstLine="720"/>
        <w:rPr>
          <w:color w:val="000000" w:themeColor="text1"/>
          <w:szCs w:val="22"/>
        </w:rPr>
      </w:pPr>
      <w:r w:rsidRPr="00352544">
        <w:rPr>
          <w:color w:val="000000" w:themeColor="text1"/>
          <w:szCs w:val="22"/>
        </w:rPr>
        <w:t xml:space="preserve">People with Disabilities:  To request materials in accessible formats for people with disabilities (braille, large print, electronic files, audio format), send an e-mail to </w:t>
      </w:r>
      <w:hyperlink r:id="rId6" w:history="1">
        <w:r w:rsidRPr="00352544">
          <w:rPr>
            <w:color w:val="000000" w:themeColor="text1"/>
            <w:szCs w:val="22"/>
            <w:u w:val="single"/>
          </w:rPr>
          <w:t>fcc504@fcc.gov</w:t>
        </w:r>
      </w:hyperlink>
      <w:r w:rsidRPr="00352544">
        <w:rPr>
          <w:color w:val="000000" w:themeColor="text1"/>
          <w:szCs w:val="22"/>
        </w:rPr>
        <w:t xml:space="preserve"> or call the Consumer &amp; Governmental Affairs Bureau at 202-418-0530 (voice), 202-418-0432 (tty).</w:t>
      </w:r>
    </w:p>
    <w:p w:rsidR="00916412" w:rsidRPr="00352544" w:rsidP="00916412" w14:paraId="161C58FD" w14:textId="77777777">
      <w:pPr>
        <w:rPr>
          <w:color w:val="000000" w:themeColor="text1"/>
          <w:szCs w:val="22"/>
        </w:rPr>
      </w:pPr>
    </w:p>
    <w:p w:rsidR="00916412" w:rsidRPr="00352544" w:rsidP="00916412" w14:paraId="588EA592" w14:textId="47910CB3">
      <w:pPr>
        <w:ind w:firstLine="720"/>
        <w:rPr>
          <w:color w:val="000000" w:themeColor="text1"/>
          <w:szCs w:val="22"/>
        </w:rPr>
      </w:pPr>
      <w:r w:rsidRPr="00352544">
        <w:rPr>
          <w:color w:val="000000" w:themeColor="text1"/>
          <w:szCs w:val="22"/>
        </w:rPr>
        <w:t xml:space="preserve">Parties should also send a copy of their filings to Anh T. Wride, Office of Engineering and Technology, Federal Communications Commission, </w:t>
      </w:r>
      <w:r w:rsidRPr="00352544" w:rsidR="00E60FA8">
        <w:rPr>
          <w:color w:val="000000" w:themeColor="text1"/>
          <w:szCs w:val="22"/>
        </w:rPr>
        <w:t xml:space="preserve">45 L Street, NE, Washington DC 20554, or </w:t>
      </w:r>
      <w:r w:rsidRPr="00352544">
        <w:rPr>
          <w:color w:val="000000" w:themeColor="text1"/>
          <w:szCs w:val="22"/>
        </w:rPr>
        <w:t>by e-mail to anh.wride@fcc.gov.</w:t>
      </w:r>
    </w:p>
    <w:p w:rsidR="00916412" w:rsidRPr="00352544" w:rsidP="00916412" w14:paraId="7372ACB3" w14:textId="77777777">
      <w:pPr>
        <w:ind w:firstLine="720"/>
        <w:rPr>
          <w:color w:val="000000" w:themeColor="text1"/>
          <w:szCs w:val="22"/>
        </w:rPr>
      </w:pPr>
    </w:p>
    <w:p w:rsidR="00916412" w:rsidRPr="00352544" w:rsidP="00916412" w14:paraId="115846FE" w14:textId="25DE73B9">
      <w:pPr>
        <w:ind w:firstLine="720"/>
        <w:rPr>
          <w:color w:val="000000" w:themeColor="text1"/>
          <w:szCs w:val="22"/>
        </w:rPr>
      </w:pPr>
      <w:bookmarkStart w:id="2" w:name="_Hlk59097013"/>
      <w:r w:rsidRPr="00352544">
        <w:rPr>
          <w:color w:val="000000" w:themeColor="text1"/>
          <w:szCs w:val="22"/>
        </w:rPr>
        <w:t xml:space="preserve">Documents </w:t>
      </w:r>
      <w:r w:rsidR="00C259AA">
        <w:rPr>
          <w:color w:val="000000" w:themeColor="text1"/>
          <w:szCs w:val="22"/>
        </w:rPr>
        <w:t>associated with this docket will be</w:t>
      </w:r>
      <w:r w:rsidRPr="00352544">
        <w:rPr>
          <w:color w:val="000000" w:themeColor="text1"/>
          <w:szCs w:val="22"/>
        </w:rPr>
        <w:t xml:space="preserve"> available for public inspection </w:t>
      </w:r>
      <w:r w:rsidR="00C259AA">
        <w:rPr>
          <w:color w:val="000000" w:themeColor="text1"/>
          <w:szCs w:val="22"/>
        </w:rPr>
        <w:t>through the Commission’s ECFS</w:t>
      </w:r>
      <w:r w:rsidRPr="00352544" w:rsidR="00F755FD">
        <w:rPr>
          <w:color w:val="000000" w:themeColor="text1"/>
          <w:szCs w:val="22"/>
        </w:rPr>
        <w:t>.</w:t>
      </w:r>
    </w:p>
    <w:bookmarkEnd w:id="2"/>
    <w:p w:rsidR="00916412" w:rsidRPr="00352544" w:rsidP="00916412" w14:paraId="02A82A69" w14:textId="77777777">
      <w:pPr>
        <w:rPr>
          <w:color w:val="000000" w:themeColor="text1"/>
          <w:szCs w:val="22"/>
        </w:rPr>
      </w:pPr>
    </w:p>
    <w:p w:rsidR="00916412" w:rsidRPr="00352544" w:rsidP="00916412" w14:paraId="086FB119" w14:textId="77777777">
      <w:pPr>
        <w:rPr>
          <w:color w:val="000000" w:themeColor="text1"/>
          <w:spacing w:val="-3"/>
          <w:szCs w:val="22"/>
        </w:rPr>
      </w:pPr>
      <w:r w:rsidRPr="00352544">
        <w:rPr>
          <w:color w:val="000000" w:themeColor="text1"/>
          <w:spacing w:val="-3"/>
          <w:szCs w:val="22"/>
        </w:rPr>
        <w:t xml:space="preserve">By the </w:t>
      </w:r>
      <w:r w:rsidRPr="00352544" w:rsidR="00F62749">
        <w:rPr>
          <w:color w:val="000000" w:themeColor="text1"/>
          <w:spacing w:val="-3"/>
          <w:szCs w:val="22"/>
        </w:rPr>
        <w:t xml:space="preserve">Acting </w:t>
      </w:r>
      <w:r w:rsidRPr="00352544">
        <w:rPr>
          <w:color w:val="000000" w:themeColor="text1"/>
          <w:spacing w:val="-3"/>
          <w:szCs w:val="22"/>
        </w:rPr>
        <w:t>Chief, Office of Engineering and Technology</w:t>
      </w:r>
    </w:p>
    <w:p w:rsidR="00916412" w:rsidRPr="00352544" w:rsidP="00916412" w14:paraId="3FE9D357" w14:textId="77777777">
      <w:pPr>
        <w:rPr>
          <w:color w:val="000000" w:themeColor="text1"/>
          <w:spacing w:val="-3"/>
          <w:szCs w:val="22"/>
        </w:rPr>
      </w:pPr>
    </w:p>
    <w:p w:rsidR="00916412" w:rsidRPr="00352544" w:rsidP="00916412" w14:paraId="085D977A" w14:textId="77777777">
      <w:pPr>
        <w:jc w:val="center"/>
        <w:rPr>
          <w:color w:val="000000" w:themeColor="text1"/>
          <w:spacing w:val="-3"/>
          <w:szCs w:val="22"/>
        </w:rPr>
      </w:pPr>
      <w:r w:rsidRPr="00352544">
        <w:rPr>
          <w:color w:val="000000" w:themeColor="text1"/>
          <w:spacing w:val="-3"/>
          <w:szCs w:val="22"/>
        </w:rPr>
        <w:t>-FCC-</w:t>
      </w:r>
    </w:p>
    <w:p w:rsidR="005B02C3" w:rsidRPr="00352544" w:rsidP="00916412" w14:paraId="0988D693" w14:textId="77777777">
      <w:pPr>
        <w:autoSpaceDE w:val="0"/>
        <w:autoSpaceDN w:val="0"/>
        <w:adjustRightInd w:val="0"/>
        <w:rPr>
          <w:color w:val="000000" w:themeColor="text1"/>
          <w:szCs w:val="22"/>
        </w:rPr>
      </w:pPr>
    </w:p>
    <w:bookmarkEnd w:id="0"/>
    <w:sectPr w:rsidSect="000E5884">
      <w:headerReference w:type="default" r:id="rId7"/>
      <w:footerReference w:type="even" r:id="rId8"/>
      <w:footerReference w:type="default" r:id="rId9"/>
      <w:headerReference w:type="first" r:id="rId10"/>
      <w:footerReference w:type="first" r:id="rId11"/>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951DF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4E829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179D3CE"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0877D9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4C6B" w14:paraId="619C822B" w14:textId="77777777">
      <w:r>
        <w:separator/>
      </w:r>
    </w:p>
  </w:footnote>
  <w:footnote w:type="continuationSeparator" w:id="1">
    <w:p w:rsidR="00684C6B" w14:paraId="7DE7DCF9" w14:textId="77777777">
      <w:r>
        <w:continuationSeparator/>
      </w:r>
    </w:p>
  </w:footnote>
  <w:footnote w:id="2">
    <w:p w:rsidR="00891DEF" w:rsidRPr="00352544" w:rsidP="00891DEF" w14:paraId="7F638F02" w14:textId="7CE7E928">
      <w:pPr>
        <w:pStyle w:val="FootnoteText"/>
        <w:rPr>
          <w:color w:val="000000" w:themeColor="text1"/>
        </w:rPr>
      </w:pPr>
      <w:r w:rsidRPr="00352544">
        <w:rPr>
          <w:rStyle w:val="FootnoteReference"/>
          <w:color w:val="000000" w:themeColor="text1"/>
        </w:rPr>
        <w:footnoteRef/>
      </w:r>
      <w:r w:rsidRPr="00352544">
        <w:rPr>
          <w:color w:val="000000" w:themeColor="text1"/>
        </w:rPr>
        <w:t xml:space="preserve"> 47 CFR §</w:t>
      </w:r>
      <w:r w:rsidRPr="00352544" w:rsidR="00D64182">
        <w:rPr>
          <w:color w:val="000000" w:themeColor="text1"/>
        </w:rPr>
        <w:t>§</w:t>
      </w:r>
      <w:r w:rsidRPr="00352544">
        <w:rPr>
          <w:color w:val="000000" w:themeColor="text1"/>
        </w:rPr>
        <w:t xml:space="preserve"> 15.255(c)(</w:t>
      </w:r>
      <w:r w:rsidRPr="00352544" w:rsidR="00D64182">
        <w:rPr>
          <w:color w:val="000000" w:themeColor="text1"/>
        </w:rPr>
        <w:t>2</w:t>
      </w:r>
      <w:r w:rsidRPr="00352544">
        <w:rPr>
          <w:color w:val="000000" w:themeColor="text1"/>
        </w:rPr>
        <w:t>)</w:t>
      </w:r>
      <w:r w:rsidRPr="00352544" w:rsidR="00D64182">
        <w:rPr>
          <w:color w:val="000000" w:themeColor="text1"/>
        </w:rPr>
        <w:t xml:space="preserve"> &amp; (c)(3)</w:t>
      </w:r>
      <w:r w:rsidRPr="00352544">
        <w:rPr>
          <w:color w:val="000000" w:themeColor="text1"/>
        </w:rPr>
        <w:t>.</w:t>
      </w:r>
    </w:p>
  </w:footnote>
  <w:footnote w:id="3">
    <w:p w:rsidR="00891DEF" w:rsidRPr="00352544" w:rsidP="00891DEF" w14:paraId="29722C26" w14:textId="34B4E251">
      <w:pPr>
        <w:pStyle w:val="FootnoteText"/>
        <w:rPr>
          <w:color w:val="000000" w:themeColor="text1"/>
        </w:rPr>
      </w:pPr>
      <w:r w:rsidRPr="00352544">
        <w:rPr>
          <w:rStyle w:val="FootnoteReference"/>
          <w:color w:val="000000" w:themeColor="text1"/>
          <w:sz w:val="20"/>
        </w:rPr>
        <w:footnoteRef/>
      </w:r>
      <w:r w:rsidRPr="00352544">
        <w:rPr>
          <w:color w:val="000000" w:themeColor="text1"/>
        </w:rPr>
        <w:t xml:space="preserve"> </w:t>
      </w:r>
      <w:r w:rsidRPr="002E7EE5" w:rsidR="00240677">
        <w:rPr>
          <w:i/>
          <w:iCs/>
          <w:color w:val="000000" w:themeColor="text1"/>
        </w:rPr>
        <w:t xml:space="preserve">Request of </w:t>
      </w:r>
      <w:r w:rsidRPr="002E7EE5" w:rsidR="00697177">
        <w:rPr>
          <w:i/>
          <w:iCs/>
          <w:color w:val="000000" w:themeColor="text1"/>
        </w:rPr>
        <w:t>IEE Sensing</w:t>
      </w:r>
      <w:r w:rsidRPr="002E7EE5" w:rsidR="00A66F88">
        <w:rPr>
          <w:i/>
          <w:iCs/>
          <w:color w:val="000000" w:themeColor="text1"/>
        </w:rPr>
        <w:t xml:space="preserve"> Inc.</w:t>
      </w:r>
      <w:r w:rsidRPr="002E7EE5" w:rsidR="00240677">
        <w:rPr>
          <w:i/>
          <w:iCs/>
          <w:color w:val="000000" w:themeColor="text1"/>
        </w:rPr>
        <w:t xml:space="preserve"> for Waiver of Part 15 of the Commission’s Rules to Permit Certification </w:t>
      </w:r>
      <w:r w:rsidR="00240677">
        <w:rPr>
          <w:i/>
          <w:iCs/>
          <w:color w:val="000000" w:themeColor="text1"/>
        </w:rPr>
        <w:t>of</w:t>
      </w:r>
      <w:r w:rsidRPr="002E7EE5" w:rsidR="00240677">
        <w:rPr>
          <w:i/>
          <w:iCs/>
          <w:color w:val="000000" w:themeColor="text1"/>
        </w:rPr>
        <w:t xml:space="preserve"> the VitaSense Unattended Child Detection Sensor in the 60-64 GHz Band</w:t>
      </w:r>
      <w:r w:rsidR="00240677">
        <w:rPr>
          <w:color w:val="000000" w:themeColor="text1"/>
        </w:rPr>
        <w:t>, Petition for Waiver</w:t>
      </w:r>
      <w:r w:rsidRPr="00352544">
        <w:rPr>
          <w:color w:val="000000" w:themeColor="text1"/>
        </w:rPr>
        <w:t xml:space="preserve"> </w:t>
      </w:r>
      <w:r w:rsidR="00240677">
        <w:rPr>
          <w:color w:val="000000" w:themeColor="text1"/>
        </w:rPr>
        <w:t>(</w:t>
      </w:r>
      <w:r w:rsidRPr="00352544">
        <w:rPr>
          <w:color w:val="000000" w:themeColor="text1"/>
        </w:rPr>
        <w:t xml:space="preserve">filed </w:t>
      </w:r>
      <w:r w:rsidRPr="00352544" w:rsidR="00697177">
        <w:rPr>
          <w:color w:val="000000" w:themeColor="text1"/>
        </w:rPr>
        <w:t>Nov</w:t>
      </w:r>
      <w:r w:rsidRPr="00352544" w:rsidR="00000546">
        <w:rPr>
          <w:color w:val="000000" w:themeColor="text1"/>
        </w:rPr>
        <w:t xml:space="preserve">. </w:t>
      </w:r>
      <w:r w:rsidRPr="00352544" w:rsidR="00697177">
        <w:rPr>
          <w:color w:val="000000" w:themeColor="text1"/>
        </w:rPr>
        <w:t>16</w:t>
      </w:r>
      <w:r w:rsidRPr="00352544" w:rsidR="00A66F88">
        <w:rPr>
          <w:color w:val="000000" w:themeColor="text1"/>
        </w:rPr>
        <w:t>, 2020</w:t>
      </w:r>
      <w:r w:rsidR="00240677">
        <w:rPr>
          <w:color w:val="000000" w:themeColor="text1"/>
        </w:rPr>
        <w:t>) (</w:t>
      </w:r>
      <w:r w:rsidR="00240677">
        <w:rPr>
          <w:i/>
          <w:iCs/>
          <w:color w:val="000000" w:themeColor="text1"/>
        </w:rPr>
        <w:t>Request</w:t>
      </w:r>
      <w:r w:rsidR="00240677">
        <w:rPr>
          <w:color w:val="000000" w:themeColor="text1"/>
        </w:rPr>
        <w:t>)</w:t>
      </w:r>
      <w:r w:rsidRPr="00352544">
        <w:rPr>
          <w:color w:val="000000" w:themeColor="text1"/>
        </w:rPr>
        <w:t>.</w:t>
      </w:r>
      <w:r w:rsidR="00BD4AA8">
        <w:rPr>
          <w:color w:val="000000" w:themeColor="text1"/>
        </w:rPr>
        <w:t xml:space="preserve">  </w:t>
      </w:r>
      <w:r w:rsidRPr="00BD4AA8" w:rsidR="00BD4AA8">
        <w:rPr>
          <w:color w:val="000000" w:themeColor="text1"/>
        </w:rPr>
        <w:t>IEE Sensing supplemented its request on December 1, 2020 to provide additional detail.</w:t>
      </w:r>
      <w:r w:rsidR="00BD4AA8">
        <w:rPr>
          <w:color w:val="000000" w:themeColor="text1"/>
        </w:rPr>
        <w:t xml:space="preserve">  </w:t>
      </w:r>
      <w:r w:rsidRPr="00352544" w:rsidR="00BD4AA8">
        <w:rPr>
          <w:color w:val="000000" w:themeColor="text1"/>
        </w:rPr>
        <w:t>IEE Sensing, Inc.</w:t>
      </w:r>
      <w:r w:rsidR="00BD4AA8">
        <w:rPr>
          <w:color w:val="000000" w:themeColor="text1"/>
        </w:rPr>
        <w:t>,</w:t>
      </w:r>
      <w:r w:rsidRPr="00352544" w:rsidR="00BD4AA8">
        <w:rPr>
          <w:color w:val="000000" w:themeColor="text1"/>
        </w:rPr>
        <w:t xml:space="preserve"> Clarification </w:t>
      </w:r>
      <w:r w:rsidR="00BD4AA8">
        <w:rPr>
          <w:color w:val="000000" w:themeColor="text1"/>
        </w:rPr>
        <w:t>to the IEE Sensing Petition</w:t>
      </w:r>
      <w:r w:rsidRPr="00352544" w:rsidR="00BD4AA8">
        <w:rPr>
          <w:color w:val="000000" w:themeColor="text1"/>
        </w:rPr>
        <w:t xml:space="preserve"> for Waiver</w:t>
      </w:r>
      <w:r w:rsidR="00BD4AA8">
        <w:rPr>
          <w:color w:val="000000" w:themeColor="text1"/>
        </w:rPr>
        <w:t xml:space="preserve"> (filed Dec. 1, 2020) (</w:t>
      </w:r>
      <w:r w:rsidR="00BD4AA8">
        <w:rPr>
          <w:i/>
          <w:iCs/>
          <w:color w:val="000000" w:themeColor="text1"/>
        </w:rPr>
        <w:t>Supplement</w:t>
      </w:r>
      <w:r w:rsidR="00BD4AA8">
        <w:rPr>
          <w:color w:val="000000" w:themeColor="text1"/>
        </w:rPr>
        <w:t xml:space="preserve">). </w:t>
      </w:r>
    </w:p>
  </w:footnote>
  <w:footnote w:id="4">
    <w:p w:rsidR="00AC1CE9" w:rsidRPr="00352544" w:rsidP="00AC1CE9" w14:paraId="480E6520" w14:textId="7F9AF6CC">
      <w:pPr>
        <w:pStyle w:val="FootnoteText"/>
        <w:rPr>
          <w:color w:val="000000" w:themeColor="text1"/>
        </w:rPr>
      </w:pPr>
      <w:r w:rsidRPr="00352544">
        <w:rPr>
          <w:rStyle w:val="FootnoteReference"/>
          <w:color w:val="000000" w:themeColor="text1"/>
        </w:rPr>
        <w:footnoteRef/>
      </w:r>
      <w:r w:rsidRPr="00352544">
        <w:rPr>
          <w:color w:val="000000" w:themeColor="text1"/>
        </w:rPr>
        <w:t xml:space="preserve"> </w:t>
      </w:r>
      <w:r w:rsidR="000706E3">
        <w:rPr>
          <w:i/>
          <w:iCs/>
          <w:color w:val="000000" w:themeColor="text1"/>
        </w:rPr>
        <w:t>Request</w:t>
      </w:r>
      <w:r w:rsidRPr="00352544">
        <w:rPr>
          <w:i/>
          <w:iCs/>
          <w:color w:val="000000" w:themeColor="text1"/>
        </w:rPr>
        <w:t xml:space="preserve"> </w:t>
      </w:r>
      <w:r w:rsidRPr="00352544">
        <w:rPr>
          <w:color w:val="000000" w:themeColor="text1"/>
        </w:rPr>
        <w:t>at 2.</w:t>
      </w:r>
    </w:p>
  </w:footnote>
  <w:footnote w:id="5">
    <w:p w:rsidR="00956A4A" w:rsidRPr="00352544" w14:paraId="1C14815A" w14:textId="17D3DD5D">
      <w:pPr>
        <w:pStyle w:val="FootnoteText"/>
        <w:rPr>
          <w:color w:val="000000" w:themeColor="text1"/>
        </w:rPr>
      </w:pPr>
      <w:r w:rsidRPr="00352544">
        <w:rPr>
          <w:rStyle w:val="FootnoteReference"/>
          <w:color w:val="000000" w:themeColor="text1"/>
        </w:rPr>
        <w:footnoteRef/>
      </w:r>
      <w:r w:rsidRPr="00352544">
        <w:rPr>
          <w:color w:val="000000" w:themeColor="text1"/>
        </w:rPr>
        <w:t xml:space="preserve"> </w:t>
      </w:r>
      <w:r w:rsidRPr="00352544">
        <w:rPr>
          <w:i/>
          <w:iCs/>
          <w:color w:val="000000" w:themeColor="text1"/>
        </w:rPr>
        <w:t xml:space="preserve">Id. </w:t>
      </w:r>
      <w:r w:rsidRPr="00352544">
        <w:rPr>
          <w:color w:val="000000" w:themeColor="text1"/>
        </w:rPr>
        <w:t>at 1.</w:t>
      </w:r>
      <w:r w:rsidRPr="00352544" w:rsidR="000A1CE9">
        <w:rPr>
          <w:color w:val="000000" w:themeColor="text1"/>
        </w:rPr>
        <w:t xml:space="preserve">  </w:t>
      </w:r>
    </w:p>
  </w:footnote>
  <w:footnote w:id="6">
    <w:p w:rsidR="00435563" w:rsidRPr="00352544" w:rsidP="00435563" w14:paraId="7D2F3CEA" w14:textId="7D2732B0">
      <w:pPr>
        <w:pStyle w:val="FootnoteText"/>
        <w:rPr>
          <w:color w:val="000000" w:themeColor="text1"/>
        </w:rPr>
      </w:pPr>
      <w:r w:rsidRPr="00352544">
        <w:rPr>
          <w:rStyle w:val="FootnoteReference"/>
          <w:color w:val="000000" w:themeColor="text1"/>
        </w:rPr>
        <w:footnoteRef/>
      </w:r>
      <w:r w:rsidRPr="00352544" w:rsidR="00000546">
        <w:rPr>
          <w:color w:val="000000" w:themeColor="text1"/>
        </w:rPr>
        <w:t xml:space="preserve"> </w:t>
      </w:r>
      <w:r w:rsidR="000706E3">
        <w:rPr>
          <w:i/>
          <w:iCs/>
          <w:color w:val="000000" w:themeColor="text1"/>
        </w:rPr>
        <w:t>Supplement</w:t>
      </w:r>
      <w:r w:rsidRPr="00352544" w:rsidR="00000546">
        <w:rPr>
          <w:color w:val="000000" w:themeColor="text1"/>
        </w:rPr>
        <w:t xml:space="preserve"> at 2 (citing </w:t>
      </w:r>
      <w:r w:rsidRPr="00352544" w:rsidR="00000546">
        <w:rPr>
          <w:i/>
          <w:color w:val="000000" w:themeColor="text1"/>
        </w:rPr>
        <w:t>Google LLC Request for Waiver of Section 15.255(c)(3) of the Commission's Rules Applicable to Radars used for Short</w:t>
      </w:r>
      <w:r w:rsidR="000E1EB3">
        <w:rPr>
          <w:i/>
          <w:color w:val="000000" w:themeColor="text1"/>
        </w:rPr>
        <w:t>-</w:t>
      </w:r>
      <w:r w:rsidRPr="00352544" w:rsidR="00000546">
        <w:rPr>
          <w:i/>
          <w:color w:val="000000" w:themeColor="text1"/>
        </w:rPr>
        <w:t>Range Interactive Motion Sensing in the 57</w:t>
      </w:r>
      <w:r w:rsidR="000E1EB3">
        <w:rPr>
          <w:i/>
          <w:color w:val="000000" w:themeColor="text1"/>
        </w:rPr>
        <w:t>-</w:t>
      </w:r>
      <w:r w:rsidRPr="00352544" w:rsidR="00000546">
        <w:rPr>
          <w:i/>
          <w:color w:val="000000" w:themeColor="text1"/>
        </w:rPr>
        <w:t>64 GHz Frequency Band</w:t>
      </w:r>
      <w:r w:rsidRPr="00352544" w:rsidR="00000546">
        <w:rPr>
          <w:color w:val="000000" w:themeColor="text1"/>
        </w:rPr>
        <w:t xml:space="preserve">, </w:t>
      </w:r>
      <w:r w:rsidR="007E1233">
        <w:rPr>
          <w:color w:val="000000" w:themeColor="text1"/>
        </w:rPr>
        <w:t xml:space="preserve">ET Docket No. 18-70, </w:t>
      </w:r>
      <w:r w:rsidRPr="00352544" w:rsidR="00000546">
        <w:rPr>
          <w:color w:val="000000" w:themeColor="text1"/>
        </w:rPr>
        <w:t>Order,</w:t>
      </w:r>
      <w:r w:rsidRPr="00352544" w:rsidR="00000546">
        <w:rPr>
          <w:i/>
          <w:color w:val="000000" w:themeColor="text1"/>
        </w:rPr>
        <w:t xml:space="preserve"> </w:t>
      </w:r>
      <w:r w:rsidRPr="00352544" w:rsidR="00000546">
        <w:rPr>
          <w:color w:val="000000" w:themeColor="text1"/>
        </w:rPr>
        <w:t>33 FCC Rcd 12542 (OET 2018)</w:t>
      </w:r>
      <w:r w:rsidR="000E1EB3">
        <w:rPr>
          <w:color w:val="000000" w:themeColor="text1"/>
        </w:rPr>
        <w:t xml:space="preserve"> (Google Waiver)</w:t>
      </w:r>
      <w:r w:rsidR="0023013B">
        <w:rPr>
          <w:color w:val="000000" w:themeColor="text1"/>
        </w:rPr>
        <w:t>)</w:t>
      </w:r>
      <w:r w:rsidRPr="00352544" w:rsidR="00000546">
        <w:rPr>
          <w:color w:val="000000" w:themeColor="text1"/>
        </w:rPr>
        <w:t xml:space="preserve">.  Google developed the Soli sensor to capture motion in a three-dimensional space using a radar beam, which enables persons to use gestures and motions to control a smartphone’s functions or features.  </w:t>
      </w:r>
      <w:r w:rsidRPr="00352544" w:rsidR="00000546">
        <w:rPr>
          <w:i/>
          <w:color w:val="000000" w:themeColor="text1"/>
        </w:rPr>
        <w:t xml:space="preserve">See </w:t>
      </w:r>
      <w:hyperlink r:id="rId1" w:history="1">
        <w:r w:rsidRPr="00352544" w:rsidR="00000546">
          <w:rPr>
            <w:rStyle w:val="Hyperlink"/>
            <w:color w:val="000000" w:themeColor="text1"/>
          </w:rPr>
          <w:t>www.google.com/soli</w:t>
        </w:r>
      </w:hyperlink>
      <w:r w:rsidRPr="00352544" w:rsidR="00000546">
        <w:rPr>
          <w:color w:val="000000" w:themeColor="text1"/>
        </w:rPr>
        <w:t>.</w:t>
      </w:r>
      <w:r w:rsidRPr="00352544">
        <w:rPr>
          <w:color w:val="000000" w:themeColor="text1"/>
        </w:rPr>
        <w:t xml:space="preserve">  We note that </w:t>
      </w:r>
      <w:r w:rsidRPr="00352544" w:rsidR="00BA2210">
        <w:rPr>
          <w:color w:val="000000" w:themeColor="text1"/>
        </w:rPr>
        <w:t>IEE Sensing</w:t>
      </w:r>
      <w:r w:rsidRPr="00352544">
        <w:rPr>
          <w:color w:val="000000" w:themeColor="text1"/>
        </w:rPr>
        <w:t xml:space="preserve"> only seeks a waiver of </w:t>
      </w:r>
      <w:r w:rsidR="000E1EB3">
        <w:rPr>
          <w:color w:val="000000" w:themeColor="text1"/>
        </w:rPr>
        <w:t xml:space="preserve">section </w:t>
      </w:r>
      <w:r w:rsidRPr="00352544">
        <w:rPr>
          <w:color w:val="000000" w:themeColor="text1"/>
        </w:rPr>
        <w:t>15.255(c)(3).  Google also received a waiver of 15.255(b)(2), which restricts airborne operation</w:t>
      </w:r>
      <w:r w:rsidR="000E1EB3">
        <w:rPr>
          <w:color w:val="000000" w:themeColor="text1"/>
        </w:rPr>
        <w:t>.  Google Waiver, 33 FCC Rcd at 12542, para. 1.</w:t>
      </w:r>
      <w:r w:rsidRPr="00352544">
        <w:rPr>
          <w:color w:val="000000" w:themeColor="text1"/>
        </w:rPr>
        <w:t xml:space="preserve"> </w:t>
      </w:r>
      <w:r w:rsidR="000E1EB3">
        <w:rPr>
          <w:color w:val="000000" w:themeColor="text1"/>
        </w:rPr>
        <w:t xml:space="preserve"> </w:t>
      </w:r>
      <w:r w:rsidRPr="00352544" w:rsidR="00BA2210">
        <w:rPr>
          <w:color w:val="000000" w:themeColor="text1"/>
        </w:rPr>
        <w:t>IEE Sensing</w:t>
      </w:r>
      <w:r w:rsidRPr="00352544">
        <w:rPr>
          <w:color w:val="000000" w:themeColor="text1"/>
        </w:rPr>
        <w:t xml:space="preserve"> states that it</w:t>
      </w:r>
      <w:r w:rsidRPr="00352544" w:rsidR="00BA2210">
        <w:rPr>
          <w:color w:val="000000" w:themeColor="text1"/>
        </w:rPr>
        <w:t xml:space="preserve">s technology is </w:t>
      </w:r>
      <w:r w:rsidR="00352544">
        <w:rPr>
          <w:color w:val="000000" w:themeColor="text1"/>
        </w:rPr>
        <w:t xml:space="preserve">only </w:t>
      </w:r>
      <w:r w:rsidRPr="00352544" w:rsidR="00BA2210">
        <w:rPr>
          <w:color w:val="000000" w:themeColor="text1"/>
        </w:rPr>
        <w:t>intended to detect “in-vehicle heatstroke…in a completely stopped vehicle</w:t>
      </w:r>
      <w:r w:rsidRPr="00352544">
        <w:rPr>
          <w:color w:val="000000" w:themeColor="text1"/>
        </w:rPr>
        <w:t>.</w:t>
      </w:r>
      <w:r w:rsidRPr="00352544" w:rsidR="00BA2210">
        <w:rPr>
          <w:color w:val="000000" w:themeColor="text1"/>
        </w:rPr>
        <w:t>”</w:t>
      </w:r>
      <w:r w:rsidRPr="00352544">
        <w:rPr>
          <w:color w:val="000000" w:themeColor="text1"/>
        </w:rPr>
        <w:t xml:space="preserve">  </w:t>
      </w:r>
      <w:r w:rsidR="000706E3">
        <w:rPr>
          <w:i/>
          <w:iCs/>
          <w:color w:val="000000" w:themeColor="text1"/>
        </w:rPr>
        <w:t>Supplement</w:t>
      </w:r>
      <w:r w:rsidRPr="00352544">
        <w:rPr>
          <w:color w:val="000000" w:themeColor="text1"/>
        </w:rPr>
        <w:t xml:space="preserve"> at </w:t>
      </w:r>
      <w:r w:rsidRPr="00352544" w:rsidR="00BA2210">
        <w:rPr>
          <w:color w:val="000000" w:themeColor="text1"/>
        </w:rPr>
        <w:t>1</w:t>
      </w:r>
      <w:r w:rsidRPr="00352544">
        <w:rPr>
          <w:color w:val="000000" w:themeColor="text1"/>
        </w:rPr>
        <w:t>.</w:t>
      </w:r>
    </w:p>
  </w:footnote>
  <w:footnote w:id="7">
    <w:p w:rsidR="004A23B0" w14:paraId="7380444B" w14:textId="36C5A6B8">
      <w:pPr>
        <w:pStyle w:val="FootnoteText"/>
      </w:pPr>
      <w:r>
        <w:rPr>
          <w:rStyle w:val="FootnoteReference"/>
        </w:rPr>
        <w:footnoteRef/>
      </w:r>
      <w:r>
        <w:t xml:space="preserve"> Google Waiver, 33 FCC Rcd at 12548-49, para. 14.</w:t>
      </w:r>
    </w:p>
  </w:footnote>
  <w:footnote w:id="8">
    <w:p w:rsidR="008067A2" w:rsidRPr="00352544" w14:paraId="48181F9C" w14:textId="7D9B5D08">
      <w:pPr>
        <w:pStyle w:val="FootnoteText"/>
        <w:rPr>
          <w:color w:val="000000" w:themeColor="text1"/>
        </w:rPr>
      </w:pPr>
      <w:r w:rsidRPr="00352544">
        <w:rPr>
          <w:rStyle w:val="FootnoteReference"/>
          <w:color w:val="000000" w:themeColor="text1"/>
        </w:rPr>
        <w:footnoteRef/>
      </w:r>
      <w:r w:rsidRPr="00352544">
        <w:rPr>
          <w:color w:val="000000" w:themeColor="text1"/>
        </w:rPr>
        <w:t xml:space="preserve"> </w:t>
      </w:r>
      <w:r w:rsidRPr="00352544" w:rsidR="00031060">
        <w:rPr>
          <w:color w:val="000000" w:themeColor="text1"/>
        </w:rPr>
        <w:t>47 CFR § 15.255(c)(3).</w:t>
      </w:r>
    </w:p>
  </w:footnote>
  <w:footnote w:id="9">
    <w:p w:rsidR="003A0D58" w:rsidRPr="00352544" w:rsidP="003A0D58" w14:paraId="7FB5F64A" w14:textId="1B4F9A2E">
      <w:pPr>
        <w:pStyle w:val="FootnoteText"/>
        <w:rPr>
          <w:color w:val="000000" w:themeColor="text1"/>
        </w:rPr>
      </w:pPr>
      <w:r w:rsidRPr="00352544">
        <w:rPr>
          <w:rStyle w:val="FootnoteReference"/>
          <w:color w:val="000000" w:themeColor="text1"/>
        </w:rPr>
        <w:footnoteRef/>
      </w:r>
      <w:r w:rsidRPr="00352544">
        <w:rPr>
          <w:color w:val="000000" w:themeColor="text1"/>
        </w:rPr>
        <w:t xml:space="preserve"> IEE Sensing filed in INBOX-PART15 (“Petition for Waiver of Part 15”), which is our preferred intake for waivers of the Part 15 rules.</w:t>
      </w:r>
    </w:p>
  </w:footnote>
  <w:footnote w:id="10">
    <w:p w:rsidR="00BE3EC1" w:rsidRPr="00352544" w:rsidP="00BE3EC1" w14:paraId="1BD67B67" w14:textId="075F7D1A">
      <w:pPr>
        <w:pStyle w:val="FootnoteText"/>
        <w:rPr>
          <w:i/>
          <w:iCs/>
          <w:color w:val="000000" w:themeColor="text1"/>
        </w:rPr>
      </w:pPr>
      <w:r w:rsidRPr="00352544">
        <w:rPr>
          <w:rStyle w:val="FootnoteReference"/>
          <w:color w:val="000000" w:themeColor="text1"/>
        </w:rPr>
        <w:footnoteRef/>
      </w:r>
      <w:r w:rsidRPr="00352544">
        <w:rPr>
          <w:color w:val="000000" w:themeColor="text1"/>
        </w:rPr>
        <w:t xml:space="preserve"> </w:t>
      </w:r>
      <w:r w:rsidRPr="00352544">
        <w:rPr>
          <w:i/>
          <w:iCs/>
          <w:color w:val="000000" w:themeColor="text1"/>
        </w:rPr>
        <w:t>See FCC Announces Closure of FCC Headquarters Open Window and Change in Hand-Delivery Policy</w:t>
      </w:r>
      <w:r w:rsidRPr="00352544">
        <w:rPr>
          <w:color w:val="000000" w:themeColor="text1"/>
        </w:rPr>
        <w:t xml:space="preserve">, Public Notice, </w:t>
      </w:r>
      <w:r w:rsidR="00E3111E">
        <w:rPr>
          <w:color w:val="000000" w:themeColor="text1"/>
        </w:rPr>
        <w:t>35 FCC Rcd 2788</w:t>
      </w:r>
      <w:r w:rsidRPr="00352544">
        <w:rPr>
          <w:color w:val="000000" w:themeColor="text1"/>
        </w:rPr>
        <w:t xml:space="preserve"> (</w:t>
      </w:r>
      <w:r w:rsidR="00E3111E">
        <w:rPr>
          <w:color w:val="000000" w:themeColor="text1"/>
        </w:rPr>
        <w:t>OMD</w:t>
      </w:r>
      <w:r w:rsidRPr="00352544">
        <w:rPr>
          <w:color w:val="000000" w:themeColor="text1"/>
        </w:rPr>
        <w:t xml:space="preserve"> 2020)</w:t>
      </w:r>
      <w:hyperlink w:history="1"/>
      <w:r w:rsidRPr="00352544">
        <w:rPr>
          <w:rFonts w:eastAsia="Calibri"/>
          <w:color w:val="000000" w:themeColor="text1"/>
        </w:rPr>
        <w:t>.</w:t>
      </w:r>
      <w:r w:rsidRPr="00352544">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800451" w14:paraId="69ABD0BA" w14:textId="77777777">
    <w:pPr>
      <w:tabs>
        <w:tab w:val="center" w:pos="4680"/>
        <w:tab w:val="right" w:pos="9360"/>
      </w:tabs>
      <w:rPr>
        <w:rFonts w:ascii="Arial" w:hAnsi="Arial" w:cs="Arial"/>
        <w:b/>
        <w:sz w:val="20"/>
      </w:rPr>
    </w:pPr>
    <w:r w:rsidRPr="009838BC">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6F84FE4"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2987A6E0">
                          <w:pPr>
                            <w:rPr>
                              <w:rFonts w:ascii="Arial" w:hAnsi="Arial"/>
                              <w:b/>
                            </w:rPr>
                          </w:pPr>
                          <w:r>
                            <w:rPr>
                              <w:rFonts w:ascii="Arial" w:hAnsi="Arial"/>
                              <w:b/>
                            </w:rPr>
                            <w:t xml:space="preserve">45 </w:t>
                          </w:r>
                          <w:r w:rsidR="0099619B">
                            <w:rPr>
                              <w:rFonts w:ascii="Arial" w:hAnsi="Arial"/>
                              <w:b/>
                            </w:rPr>
                            <w:t>L</w:t>
                          </w:r>
                          <w:r>
                            <w:rPr>
                              <w:rFonts w:ascii="Arial" w:hAnsi="Arial"/>
                              <w:b/>
                            </w:rPr>
                            <w:t xml:space="preserve"> St., </w:t>
                          </w:r>
                          <w:r w:rsidR="0099619B">
                            <w:rPr>
                              <w:rFonts w:ascii="Arial" w:hAnsi="Arial"/>
                              <w:b/>
                            </w:rPr>
                            <w:t>N</w:t>
                          </w:r>
                          <w:r>
                            <w:rPr>
                              <w:rFonts w:ascii="Arial" w:hAnsi="Arial"/>
                              <w:b/>
                            </w:rPr>
                            <w:t>.</w:t>
                          </w:r>
                          <w:r w:rsidR="0099619B">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1D66704F" w14:textId="77777777">
                    <w:pPr>
                      <w:rPr>
                        <w:rFonts w:ascii="Arial" w:hAnsi="Arial"/>
                        <w:b/>
                      </w:rPr>
                    </w:pPr>
                    <w:r>
                      <w:rPr>
                        <w:rFonts w:ascii="Arial" w:hAnsi="Arial"/>
                        <w:b/>
                      </w:rPr>
                      <w:t>Federal Communications Commission</w:t>
                    </w:r>
                  </w:p>
                  <w:p w:rsidR="009838BC" w:rsidP="009838BC" w14:paraId="7DEF57FE" w14:textId="2987A6E0">
                    <w:pPr>
                      <w:rPr>
                        <w:rFonts w:ascii="Arial" w:hAnsi="Arial"/>
                        <w:b/>
                      </w:rPr>
                    </w:pPr>
                    <w:r>
                      <w:rPr>
                        <w:rFonts w:ascii="Arial" w:hAnsi="Arial"/>
                        <w:b/>
                      </w:rPr>
                      <w:t xml:space="preserve">45 </w:t>
                    </w:r>
                    <w:r w:rsidR="0099619B">
                      <w:rPr>
                        <w:rFonts w:ascii="Arial" w:hAnsi="Arial"/>
                        <w:b/>
                      </w:rPr>
                      <w:t>L</w:t>
                    </w:r>
                    <w:r>
                      <w:rPr>
                        <w:rFonts w:ascii="Arial" w:hAnsi="Arial"/>
                        <w:b/>
                      </w:rPr>
                      <w:t xml:space="preserve"> St., </w:t>
                    </w:r>
                    <w:r w:rsidR="0099619B">
                      <w:rPr>
                        <w:rFonts w:ascii="Arial" w:hAnsi="Arial"/>
                        <w:b/>
                      </w:rPr>
                      <w:t>N</w:t>
                    </w:r>
                    <w:r>
                      <w:rPr>
                        <w:rFonts w:ascii="Arial" w:hAnsi="Arial"/>
                        <w:b/>
                      </w:rPr>
                      <w:t>.</w:t>
                    </w:r>
                    <w:r w:rsidR="0099619B">
                      <w:rPr>
                        <w:rFonts w:ascii="Arial" w:hAnsi="Arial"/>
                        <w:b/>
                      </w:rPr>
                      <w:t>E</w:t>
                    </w:r>
                    <w:r>
                      <w:rPr>
                        <w:rFonts w:ascii="Arial" w:hAnsi="Arial"/>
                        <w:b/>
                      </w:rPr>
                      <w:t>.</w:t>
                    </w:r>
                  </w:p>
                  <w:p w:rsidR="009838BC" w:rsidP="009838BC" w14:paraId="620FAE8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93126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F1DC66E"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108372E" w14:textId="77777777">
                    <w:pPr>
                      <w:spacing w:before="40"/>
                      <w:jc w:val="right"/>
                      <w:rPr>
                        <w:rFonts w:ascii="Arial" w:hAnsi="Arial"/>
                        <w:b/>
                        <w:sz w:val="16"/>
                      </w:rPr>
                    </w:pPr>
                    <w:r>
                      <w:rPr>
                        <w:rFonts w:ascii="Arial" w:hAnsi="Arial"/>
                        <w:b/>
                        <w:sz w:val="16"/>
                      </w:rPr>
                      <w:t>News Media Information 202 / 418-0500</w:t>
                    </w:r>
                  </w:p>
                  <w:p w:rsidR="009838BC" w:rsidP="009838BC" w14:paraId="1339BD4D"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291FE16E"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1A"/>
    <w:rsid w:val="00000546"/>
    <w:rsid w:val="00013A8B"/>
    <w:rsid w:val="000145B0"/>
    <w:rsid w:val="00015F06"/>
    <w:rsid w:val="00017395"/>
    <w:rsid w:val="00022019"/>
    <w:rsid w:val="00027AFF"/>
    <w:rsid w:val="00031060"/>
    <w:rsid w:val="00031D2D"/>
    <w:rsid w:val="000355D9"/>
    <w:rsid w:val="0006476B"/>
    <w:rsid w:val="000706E3"/>
    <w:rsid w:val="00083052"/>
    <w:rsid w:val="00084D9D"/>
    <w:rsid w:val="000914C8"/>
    <w:rsid w:val="0009394F"/>
    <w:rsid w:val="000A1319"/>
    <w:rsid w:val="000A1CE9"/>
    <w:rsid w:val="000A2867"/>
    <w:rsid w:val="000C2B28"/>
    <w:rsid w:val="000C4809"/>
    <w:rsid w:val="000D6929"/>
    <w:rsid w:val="000E0357"/>
    <w:rsid w:val="000E1EB3"/>
    <w:rsid w:val="000E5324"/>
    <w:rsid w:val="000F0DB7"/>
    <w:rsid w:val="000F27F8"/>
    <w:rsid w:val="000F5FB5"/>
    <w:rsid w:val="00105736"/>
    <w:rsid w:val="00122A0D"/>
    <w:rsid w:val="001373E4"/>
    <w:rsid w:val="00140880"/>
    <w:rsid w:val="00141DF4"/>
    <w:rsid w:val="00190FC9"/>
    <w:rsid w:val="001940E0"/>
    <w:rsid w:val="001948E3"/>
    <w:rsid w:val="00196996"/>
    <w:rsid w:val="001A5420"/>
    <w:rsid w:val="001B0B18"/>
    <w:rsid w:val="001C224C"/>
    <w:rsid w:val="001D1999"/>
    <w:rsid w:val="001D649A"/>
    <w:rsid w:val="001D6FA2"/>
    <w:rsid w:val="001E17C6"/>
    <w:rsid w:val="001E554E"/>
    <w:rsid w:val="001E62F6"/>
    <w:rsid w:val="00202324"/>
    <w:rsid w:val="0020456C"/>
    <w:rsid w:val="00204BF4"/>
    <w:rsid w:val="00206590"/>
    <w:rsid w:val="002129B1"/>
    <w:rsid w:val="00215D0A"/>
    <w:rsid w:val="0023013B"/>
    <w:rsid w:val="0023416C"/>
    <w:rsid w:val="0024019D"/>
    <w:rsid w:val="00240677"/>
    <w:rsid w:val="00247DCD"/>
    <w:rsid w:val="002576E2"/>
    <w:rsid w:val="00273878"/>
    <w:rsid w:val="0027655A"/>
    <w:rsid w:val="002815E8"/>
    <w:rsid w:val="00290153"/>
    <w:rsid w:val="00292F35"/>
    <w:rsid w:val="002B2954"/>
    <w:rsid w:val="002B7B3F"/>
    <w:rsid w:val="002D1604"/>
    <w:rsid w:val="002D78F0"/>
    <w:rsid w:val="002E0BAC"/>
    <w:rsid w:val="002E7EE5"/>
    <w:rsid w:val="002F3557"/>
    <w:rsid w:val="002F5E30"/>
    <w:rsid w:val="003266EE"/>
    <w:rsid w:val="003364FD"/>
    <w:rsid w:val="00344523"/>
    <w:rsid w:val="00352544"/>
    <w:rsid w:val="00357D50"/>
    <w:rsid w:val="003855AD"/>
    <w:rsid w:val="003A01DE"/>
    <w:rsid w:val="003A0D58"/>
    <w:rsid w:val="003B12A0"/>
    <w:rsid w:val="003C73B4"/>
    <w:rsid w:val="003D3DB5"/>
    <w:rsid w:val="003E0265"/>
    <w:rsid w:val="003E4765"/>
    <w:rsid w:val="003F0B43"/>
    <w:rsid w:val="0040572D"/>
    <w:rsid w:val="0040712E"/>
    <w:rsid w:val="00413180"/>
    <w:rsid w:val="00426D88"/>
    <w:rsid w:val="004317CC"/>
    <w:rsid w:val="00435563"/>
    <w:rsid w:val="004428E6"/>
    <w:rsid w:val="0049141E"/>
    <w:rsid w:val="00495720"/>
    <w:rsid w:val="004A23B0"/>
    <w:rsid w:val="004B3C7B"/>
    <w:rsid w:val="004B63B9"/>
    <w:rsid w:val="004B7971"/>
    <w:rsid w:val="004D0C49"/>
    <w:rsid w:val="004F13CC"/>
    <w:rsid w:val="004F3741"/>
    <w:rsid w:val="004F5DA5"/>
    <w:rsid w:val="0051230D"/>
    <w:rsid w:val="00512990"/>
    <w:rsid w:val="00517C2F"/>
    <w:rsid w:val="005303BC"/>
    <w:rsid w:val="00530BF3"/>
    <w:rsid w:val="0053244B"/>
    <w:rsid w:val="00546A73"/>
    <w:rsid w:val="00546F23"/>
    <w:rsid w:val="0055614C"/>
    <w:rsid w:val="005632B4"/>
    <w:rsid w:val="005639E4"/>
    <w:rsid w:val="005652D0"/>
    <w:rsid w:val="00573A84"/>
    <w:rsid w:val="00580248"/>
    <w:rsid w:val="00584603"/>
    <w:rsid w:val="005A26A5"/>
    <w:rsid w:val="005A42C3"/>
    <w:rsid w:val="005B02C3"/>
    <w:rsid w:val="005C15B9"/>
    <w:rsid w:val="005D225C"/>
    <w:rsid w:val="005E4126"/>
    <w:rsid w:val="005E4C35"/>
    <w:rsid w:val="005F7073"/>
    <w:rsid w:val="006031FB"/>
    <w:rsid w:val="00611C53"/>
    <w:rsid w:val="00637059"/>
    <w:rsid w:val="00642AA3"/>
    <w:rsid w:val="00650EA2"/>
    <w:rsid w:val="006533D2"/>
    <w:rsid w:val="0066196B"/>
    <w:rsid w:val="006651B4"/>
    <w:rsid w:val="00665891"/>
    <w:rsid w:val="00667D36"/>
    <w:rsid w:val="0068314E"/>
    <w:rsid w:val="00684C6B"/>
    <w:rsid w:val="00697177"/>
    <w:rsid w:val="006A23AD"/>
    <w:rsid w:val="006A76FC"/>
    <w:rsid w:val="006C4899"/>
    <w:rsid w:val="006D2AED"/>
    <w:rsid w:val="006D3D10"/>
    <w:rsid w:val="006D7FF5"/>
    <w:rsid w:val="006E43ED"/>
    <w:rsid w:val="006F7393"/>
    <w:rsid w:val="00701609"/>
    <w:rsid w:val="00702EB4"/>
    <w:rsid w:val="00711231"/>
    <w:rsid w:val="0071218C"/>
    <w:rsid w:val="0073111F"/>
    <w:rsid w:val="00743F66"/>
    <w:rsid w:val="00743F99"/>
    <w:rsid w:val="00751CFF"/>
    <w:rsid w:val="00760B91"/>
    <w:rsid w:val="00761711"/>
    <w:rsid w:val="00794452"/>
    <w:rsid w:val="00794F29"/>
    <w:rsid w:val="007A1F31"/>
    <w:rsid w:val="007A4AF2"/>
    <w:rsid w:val="007B5DC7"/>
    <w:rsid w:val="007C7384"/>
    <w:rsid w:val="007E1233"/>
    <w:rsid w:val="007E76C7"/>
    <w:rsid w:val="007F000A"/>
    <w:rsid w:val="007F0460"/>
    <w:rsid w:val="007F0D21"/>
    <w:rsid w:val="007F323F"/>
    <w:rsid w:val="007F773C"/>
    <w:rsid w:val="0080015B"/>
    <w:rsid w:val="00800451"/>
    <w:rsid w:val="008067A2"/>
    <w:rsid w:val="00806842"/>
    <w:rsid w:val="008123B4"/>
    <w:rsid w:val="00821E84"/>
    <w:rsid w:val="008357A1"/>
    <w:rsid w:val="00835B54"/>
    <w:rsid w:val="00866F53"/>
    <w:rsid w:val="0087131B"/>
    <w:rsid w:val="00887BC9"/>
    <w:rsid w:val="00891DEF"/>
    <w:rsid w:val="00893D05"/>
    <w:rsid w:val="008C0DF6"/>
    <w:rsid w:val="008C60B9"/>
    <w:rsid w:val="008C7C83"/>
    <w:rsid w:val="008F29F0"/>
    <w:rsid w:val="008F45C4"/>
    <w:rsid w:val="009043CF"/>
    <w:rsid w:val="00904820"/>
    <w:rsid w:val="00910F12"/>
    <w:rsid w:val="00912839"/>
    <w:rsid w:val="00913DF1"/>
    <w:rsid w:val="00916412"/>
    <w:rsid w:val="009222FA"/>
    <w:rsid w:val="0092351A"/>
    <w:rsid w:val="00945DC0"/>
    <w:rsid w:val="009549FD"/>
    <w:rsid w:val="00954BAD"/>
    <w:rsid w:val="00955C6E"/>
    <w:rsid w:val="00956A4A"/>
    <w:rsid w:val="00956BC9"/>
    <w:rsid w:val="00964FFA"/>
    <w:rsid w:val="00970807"/>
    <w:rsid w:val="00973086"/>
    <w:rsid w:val="009838BC"/>
    <w:rsid w:val="00983925"/>
    <w:rsid w:val="0099619B"/>
    <w:rsid w:val="009A4EBC"/>
    <w:rsid w:val="009D0797"/>
    <w:rsid w:val="009D779A"/>
    <w:rsid w:val="009E02A7"/>
    <w:rsid w:val="009E2AA7"/>
    <w:rsid w:val="009E5DAC"/>
    <w:rsid w:val="009F2C6C"/>
    <w:rsid w:val="00A10E5A"/>
    <w:rsid w:val="00A1359A"/>
    <w:rsid w:val="00A15677"/>
    <w:rsid w:val="00A24D24"/>
    <w:rsid w:val="00A40953"/>
    <w:rsid w:val="00A477C4"/>
    <w:rsid w:val="00A66F88"/>
    <w:rsid w:val="00A85495"/>
    <w:rsid w:val="00A866AC"/>
    <w:rsid w:val="00A93C2C"/>
    <w:rsid w:val="00AB1A9D"/>
    <w:rsid w:val="00AB642D"/>
    <w:rsid w:val="00AB745F"/>
    <w:rsid w:val="00AC1CE9"/>
    <w:rsid w:val="00AE32BD"/>
    <w:rsid w:val="00AF17B4"/>
    <w:rsid w:val="00AF777D"/>
    <w:rsid w:val="00B001BB"/>
    <w:rsid w:val="00B01C85"/>
    <w:rsid w:val="00B025E6"/>
    <w:rsid w:val="00B2566C"/>
    <w:rsid w:val="00B26D50"/>
    <w:rsid w:val="00B27CBD"/>
    <w:rsid w:val="00B3693A"/>
    <w:rsid w:val="00B36945"/>
    <w:rsid w:val="00B473E5"/>
    <w:rsid w:val="00B5014D"/>
    <w:rsid w:val="00B650A8"/>
    <w:rsid w:val="00B67A08"/>
    <w:rsid w:val="00B77C22"/>
    <w:rsid w:val="00B87AE1"/>
    <w:rsid w:val="00B94B7F"/>
    <w:rsid w:val="00BA0630"/>
    <w:rsid w:val="00BA2210"/>
    <w:rsid w:val="00BA2DC1"/>
    <w:rsid w:val="00BA3C8F"/>
    <w:rsid w:val="00BB5293"/>
    <w:rsid w:val="00BB569A"/>
    <w:rsid w:val="00BC0EA7"/>
    <w:rsid w:val="00BC1F1F"/>
    <w:rsid w:val="00BD2248"/>
    <w:rsid w:val="00BD4AA8"/>
    <w:rsid w:val="00BE3BA4"/>
    <w:rsid w:val="00BE3EC1"/>
    <w:rsid w:val="00BF2EEA"/>
    <w:rsid w:val="00BF4598"/>
    <w:rsid w:val="00C00D9C"/>
    <w:rsid w:val="00C02D63"/>
    <w:rsid w:val="00C11FAC"/>
    <w:rsid w:val="00C12BC0"/>
    <w:rsid w:val="00C14012"/>
    <w:rsid w:val="00C259AA"/>
    <w:rsid w:val="00C2696F"/>
    <w:rsid w:val="00C27133"/>
    <w:rsid w:val="00C279F2"/>
    <w:rsid w:val="00C3614A"/>
    <w:rsid w:val="00C51E1C"/>
    <w:rsid w:val="00C56F82"/>
    <w:rsid w:val="00C6767E"/>
    <w:rsid w:val="00C76A6C"/>
    <w:rsid w:val="00CB1A6F"/>
    <w:rsid w:val="00CC02A9"/>
    <w:rsid w:val="00CC1FBF"/>
    <w:rsid w:val="00CC4D6D"/>
    <w:rsid w:val="00CC7363"/>
    <w:rsid w:val="00CD3084"/>
    <w:rsid w:val="00CD34DC"/>
    <w:rsid w:val="00CD3CF5"/>
    <w:rsid w:val="00CD6582"/>
    <w:rsid w:val="00CE07BA"/>
    <w:rsid w:val="00CE3275"/>
    <w:rsid w:val="00CF7CCF"/>
    <w:rsid w:val="00D216CD"/>
    <w:rsid w:val="00D269BA"/>
    <w:rsid w:val="00D30DD7"/>
    <w:rsid w:val="00D4491A"/>
    <w:rsid w:val="00D64182"/>
    <w:rsid w:val="00D90628"/>
    <w:rsid w:val="00D965DB"/>
    <w:rsid w:val="00DA0A0F"/>
    <w:rsid w:val="00DB1C76"/>
    <w:rsid w:val="00DB5CAC"/>
    <w:rsid w:val="00DB7F35"/>
    <w:rsid w:val="00DD0B05"/>
    <w:rsid w:val="00E06DAD"/>
    <w:rsid w:val="00E13D38"/>
    <w:rsid w:val="00E3111E"/>
    <w:rsid w:val="00E32DDF"/>
    <w:rsid w:val="00E37F67"/>
    <w:rsid w:val="00E44E19"/>
    <w:rsid w:val="00E5255A"/>
    <w:rsid w:val="00E53322"/>
    <w:rsid w:val="00E574CD"/>
    <w:rsid w:val="00E60438"/>
    <w:rsid w:val="00E606AA"/>
    <w:rsid w:val="00E60E67"/>
    <w:rsid w:val="00E60FA8"/>
    <w:rsid w:val="00E717C9"/>
    <w:rsid w:val="00E74EC9"/>
    <w:rsid w:val="00E9179A"/>
    <w:rsid w:val="00EA63EB"/>
    <w:rsid w:val="00EE7D96"/>
    <w:rsid w:val="00EF444C"/>
    <w:rsid w:val="00F01A27"/>
    <w:rsid w:val="00F03E9E"/>
    <w:rsid w:val="00F06201"/>
    <w:rsid w:val="00F07F65"/>
    <w:rsid w:val="00F11E00"/>
    <w:rsid w:val="00F14A71"/>
    <w:rsid w:val="00F43CCF"/>
    <w:rsid w:val="00F50131"/>
    <w:rsid w:val="00F5304F"/>
    <w:rsid w:val="00F62749"/>
    <w:rsid w:val="00F72060"/>
    <w:rsid w:val="00F755FD"/>
    <w:rsid w:val="00F758B3"/>
    <w:rsid w:val="00F821A7"/>
    <w:rsid w:val="00F90852"/>
    <w:rsid w:val="00F915F8"/>
    <w:rsid w:val="00F96F63"/>
    <w:rsid w:val="00FA16E1"/>
    <w:rsid w:val="00FB5A02"/>
    <w:rsid w:val="00FC0872"/>
    <w:rsid w:val="00FC0E3D"/>
    <w:rsid w:val="00FF251F"/>
    <w:rsid w:val="00FF3979"/>
    <w:rsid w:val="00FF7A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9EB8FFD-E5BC-457F-BE51-74D9FC00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5B02C3"/>
    <w:rPr>
      <w:color w:val="808080"/>
      <w:shd w:val="clear" w:color="auto" w:fill="E6E6E6"/>
    </w:rPr>
  </w:style>
  <w:style w:type="paragraph" w:styleId="BalloonText">
    <w:name w:val="Balloon Text"/>
    <w:basedOn w:val="Normal"/>
    <w:link w:val="BalloonTextChar"/>
    <w:uiPriority w:val="99"/>
    <w:semiHidden/>
    <w:unhideWhenUsed/>
    <w:rsid w:val="005A4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C3"/>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B9558B"/>
    <w:rPr>
      <w:sz w:val="16"/>
      <w:szCs w:val="16"/>
    </w:rPr>
  </w:style>
  <w:style w:type="paragraph" w:styleId="CommentText">
    <w:name w:val="annotation text"/>
    <w:basedOn w:val="Normal"/>
    <w:link w:val="CommentTextChar"/>
    <w:uiPriority w:val="99"/>
    <w:semiHidden/>
    <w:unhideWhenUsed/>
    <w:rsid w:val="00B9558B"/>
    <w:rPr>
      <w:sz w:val="20"/>
    </w:rPr>
  </w:style>
  <w:style w:type="character" w:customStyle="1" w:styleId="CommentTextChar">
    <w:name w:val="Comment Text Char"/>
    <w:basedOn w:val="DefaultParagraphFont"/>
    <w:link w:val="CommentText"/>
    <w:uiPriority w:val="99"/>
    <w:semiHidden/>
    <w:rsid w:val="00B9558B"/>
    <w:rPr>
      <w:snapToGrid w:val="0"/>
      <w:kern w:val="28"/>
    </w:rPr>
  </w:style>
  <w:style w:type="paragraph" w:styleId="CommentSubject">
    <w:name w:val="annotation subject"/>
    <w:basedOn w:val="CommentText"/>
    <w:next w:val="CommentText"/>
    <w:link w:val="CommentSubjectChar"/>
    <w:uiPriority w:val="99"/>
    <w:semiHidden/>
    <w:unhideWhenUsed/>
    <w:rsid w:val="00B9558B"/>
    <w:rPr>
      <w:b/>
      <w:bCs/>
    </w:rPr>
  </w:style>
  <w:style w:type="character" w:customStyle="1" w:styleId="CommentSubjectChar">
    <w:name w:val="Comment Subject Char"/>
    <w:basedOn w:val="CommentTextChar"/>
    <w:link w:val="CommentSubject"/>
    <w:uiPriority w:val="99"/>
    <w:semiHidden/>
    <w:rsid w:val="00B9558B"/>
    <w:rPr>
      <w:b/>
      <w:bCs/>
      <w:snapToGrid w:val="0"/>
      <w:kern w:val="28"/>
    </w:rPr>
  </w:style>
  <w:style w:type="paragraph" w:styleId="Revision">
    <w:name w:val="Revision"/>
    <w:hidden/>
    <w:uiPriority w:val="99"/>
    <w:semiHidden/>
    <w:rsid w:val="00B9558B"/>
    <w:rPr>
      <w:snapToGrid w:val="0"/>
      <w:kern w:val="28"/>
      <w:sz w:val="22"/>
    </w:rPr>
  </w:style>
  <w:style w:type="paragraph" w:customStyle="1" w:styleId="Default">
    <w:name w:val="Default"/>
    <w:rsid w:val="009E2AA7"/>
    <w:pPr>
      <w:autoSpaceDE w:val="0"/>
      <w:autoSpaceDN w:val="0"/>
      <w:adjustRightInd w:val="0"/>
    </w:pPr>
    <w:rPr>
      <w:color w:val="000000"/>
      <w:sz w:val="24"/>
      <w:szCs w:val="24"/>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link w:val="FootnoteText"/>
    <w:rsid w:val="00FC0872"/>
  </w:style>
  <w:style w:type="character" w:customStyle="1" w:styleId="UnresolvedMention2">
    <w:name w:val="Unresolved Mention2"/>
    <w:basedOn w:val="DefaultParagraphFont"/>
    <w:uiPriority w:val="99"/>
    <w:rsid w:val="00A477C4"/>
    <w:rPr>
      <w:color w:val="605E5C"/>
      <w:shd w:val="clear" w:color="auto" w:fill="E1DFDD"/>
    </w:rPr>
  </w:style>
  <w:style w:type="character" w:styleId="FollowedHyperlink">
    <w:name w:val="FollowedHyperlink"/>
    <w:basedOn w:val="DefaultParagraphFont"/>
    <w:uiPriority w:val="99"/>
    <w:semiHidden/>
    <w:unhideWhenUsed/>
    <w:rsid w:val="00B473E5"/>
    <w:rPr>
      <w:color w:val="954F72" w:themeColor="followedHyperlink"/>
      <w:u w:val="single"/>
    </w:rPr>
  </w:style>
  <w:style w:type="character" w:customStyle="1" w:styleId="UnresolvedMention3">
    <w:name w:val="Unresolved Mention3"/>
    <w:basedOn w:val="DefaultParagraphFont"/>
    <w:uiPriority w:val="99"/>
    <w:rsid w:val="000F5FB5"/>
    <w:rPr>
      <w:color w:val="605E5C"/>
      <w:shd w:val="clear" w:color="auto" w:fill="E1DFDD"/>
    </w:rPr>
  </w:style>
  <w:style w:type="paragraph" w:styleId="ListParagraph">
    <w:name w:val="List Paragraph"/>
    <w:basedOn w:val="Normal"/>
    <w:uiPriority w:val="34"/>
    <w:qFormat/>
    <w:rsid w:val="00BE3EC1"/>
    <w:pPr>
      <w:ind w:left="720"/>
      <w:contextualSpacing/>
    </w:pPr>
  </w:style>
  <w:style w:type="character" w:customStyle="1" w:styleId="UnresolvedMention">
    <w:name w:val="Unresolved Mention"/>
    <w:basedOn w:val="DefaultParagraphFont"/>
    <w:uiPriority w:val="99"/>
    <w:rsid w:val="00E31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www.google.com/soli"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