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47226C" w:rsidP="0049706B" w14:paraId="68E5130C" w14:textId="77777777">
      <w:pPr>
        <w:rPr>
          <w:sz w:val="24"/>
        </w:rPr>
      </w:pPr>
    </w:p>
    <w:p w:rsidR="0047226C" w:rsidRPr="00B20363" w:rsidP="0047226C" w14:paraId="446389E6" w14:textId="5CA7F7B3">
      <w:pPr>
        <w:jc w:val="right"/>
        <w:rPr>
          <w:b/>
          <w:sz w:val="24"/>
        </w:rPr>
      </w:pPr>
      <w:r>
        <w:rPr>
          <w:b/>
          <w:sz w:val="24"/>
        </w:rPr>
        <w:t>DA 20-1519</w:t>
      </w:r>
    </w:p>
    <w:p w:rsidR="0047226C" w:rsidRPr="00B20363" w:rsidP="0047226C" w14:paraId="39AE066F" w14:textId="73FC6174">
      <w:pPr>
        <w:spacing w:before="60"/>
        <w:jc w:val="right"/>
        <w:rPr>
          <w:b/>
          <w:sz w:val="24"/>
        </w:rPr>
      </w:pPr>
      <w:r>
        <w:rPr>
          <w:b/>
          <w:sz w:val="24"/>
        </w:rPr>
        <w:t xml:space="preserve">Released:  </w:t>
      </w:r>
      <w:r w:rsidR="0049706B">
        <w:rPr>
          <w:b/>
          <w:sz w:val="24"/>
        </w:rPr>
        <w:t>December 21, 2020</w:t>
      </w:r>
    </w:p>
    <w:p w:rsidR="0047226C" w:rsidP="0047226C" w14:paraId="6439ADE8" w14:textId="77777777">
      <w:pPr>
        <w:jc w:val="right"/>
        <w:rPr>
          <w:sz w:val="24"/>
        </w:rPr>
      </w:pPr>
      <w:bookmarkStart w:id="0" w:name="_GoBack"/>
      <w:bookmarkEnd w:id="0"/>
    </w:p>
    <w:p w:rsidR="0047226C" w:rsidRPr="00B20363" w:rsidP="00914735" w14:paraId="13D19877" w14:textId="77777777">
      <w:pPr>
        <w:spacing w:before="120" w:after="120"/>
        <w:jc w:val="center"/>
        <w:rPr>
          <w:rFonts w:ascii="Times New Roman Bold" w:hAnsi="Times New Roman Bold"/>
          <w:b/>
          <w:caps/>
          <w:sz w:val="24"/>
        </w:rPr>
      </w:pPr>
      <w:r>
        <w:rPr>
          <w:rFonts w:ascii="Times New Roman Bold" w:hAnsi="Times New Roman Bold"/>
          <w:b/>
          <w:caps/>
          <w:sz w:val="24"/>
        </w:rPr>
        <w:t>public safety and homeland security bureau seeks comment on a national 911 call center contact information database</w:t>
      </w:r>
    </w:p>
    <w:p w:rsidR="0047226C" w:rsidP="00B41765" w14:paraId="764026F3" w14:textId="749A4E0A">
      <w:pPr>
        <w:spacing w:before="120" w:after="120"/>
        <w:jc w:val="center"/>
        <w:rPr>
          <w:b/>
          <w:sz w:val="24"/>
        </w:rPr>
      </w:pPr>
      <w:r>
        <w:rPr>
          <w:b/>
          <w:sz w:val="24"/>
        </w:rPr>
        <w:t>PS Dockets Nos. 13-75, 11-60</w:t>
      </w:r>
    </w:p>
    <w:p w:rsidR="00E312DB" w:rsidRPr="00093CD4" w:rsidP="00E312DB" w14:paraId="747EEC91" w14:textId="77777777">
      <w:pPr>
        <w:rPr>
          <w:b/>
          <w:szCs w:val="22"/>
        </w:rPr>
      </w:pPr>
    </w:p>
    <w:p w:rsidR="00E312DB" w:rsidRPr="00F83EBA" w:rsidP="00E312DB" w14:paraId="44465FA6" w14:textId="77777777">
      <w:pPr>
        <w:rPr>
          <w:b/>
          <w:szCs w:val="22"/>
        </w:rPr>
      </w:pPr>
      <w:r w:rsidRPr="00093CD4">
        <w:rPr>
          <w:b/>
          <w:szCs w:val="22"/>
        </w:rPr>
        <w:t xml:space="preserve">Comments Due: </w:t>
      </w:r>
      <w:r w:rsidRPr="00093CD4">
        <w:rPr>
          <w:rFonts w:ascii="TimesNewRoman,Bold" w:hAnsi="TimesNewRoman,Bold" w:cs="TimesNewRoman,Bold"/>
          <w:b/>
          <w:bCs/>
          <w:szCs w:val="22"/>
        </w:rPr>
        <w:t>(</w:t>
      </w:r>
      <w:r>
        <w:rPr>
          <w:rFonts w:ascii="TimesNewRoman,Bold" w:hAnsi="TimesNewRoman,Bold" w:cs="TimesNewRoman,Bold"/>
          <w:b/>
          <w:bCs/>
          <w:szCs w:val="22"/>
        </w:rPr>
        <w:t>30</w:t>
      </w:r>
      <w:r w:rsidRPr="00093CD4">
        <w:rPr>
          <w:rFonts w:ascii="TimesNewRoman,Bold" w:hAnsi="TimesNewRoman,Bold" w:cs="TimesNewRoman,Bold"/>
          <w:b/>
          <w:bCs/>
          <w:szCs w:val="22"/>
        </w:rPr>
        <w:t xml:space="preserve"> days after date of publication in the Federal Register)</w:t>
      </w:r>
    </w:p>
    <w:p w:rsidR="00E312DB" w:rsidRPr="00E312DB" w:rsidP="00E312DB" w14:paraId="4969436A" w14:textId="77777777">
      <w:pPr>
        <w:rPr>
          <w:b/>
          <w:szCs w:val="22"/>
        </w:rPr>
      </w:pPr>
    </w:p>
    <w:p w:rsidR="009506C4" w:rsidP="00AA4CAE" w14:paraId="0478E9D6" w14:textId="629A3B1C">
      <w:pPr>
        <w:spacing w:before="120" w:after="120"/>
        <w:ind w:firstLine="720"/>
        <w:rPr>
          <w:szCs w:val="22"/>
        </w:rPr>
      </w:pPr>
      <w:r w:rsidRPr="00C52163">
        <w:rPr>
          <w:szCs w:val="22"/>
        </w:rPr>
        <w:t xml:space="preserve">By this </w:t>
      </w:r>
      <w:r w:rsidRPr="00C52163">
        <w:rPr>
          <w:i/>
          <w:iCs/>
          <w:szCs w:val="22"/>
        </w:rPr>
        <w:t>Public Notice</w:t>
      </w:r>
      <w:r w:rsidRPr="00C52163">
        <w:rPr>
          <w:szCs w:val="22"/>
        </w:rPr>
        <w:t xml:space="preserve">, the Public Safety and Homeland Security Bureau (Bureau) of the </w:t>
      </w:r>
      <w:r w:rsidRPr="00C52163">
        <w:rPr>
          <w:szCs w:val="22"/>
          <w:shd w:val="clear" w:color="auto" w:fill="FFFFFF"/>
        </w:rPr>
        <w:t xml:space="preserve">Federal Communications Commission (FCC or Commission) </w:t>
      </w:r>
      <w:r w:rsidRPr="00C52163">
        <w:rPr>
          <w:szCs w:val="22"/>
        </w:rPr>
        <w:t>seeks comment</w:t>
      </w:r>
      <w:r w:rsidR="000D563D">
        <w:rPr>
          <w:szCs w:val="22"/>
        </w:rPr>
        <w:t xml:space="preserve"> on</w:t>
      </w:r>
      <w:r w:rsidRPr="00C52163">
        <w:rPr>
          <w:spacing w:val="-2"/>
          <w:szCs w:val="22"/>
        </w:rPr>
        <w:t xml:space="preserve"> </w:t>
      </w:r>
      <w:r w:rsidR="000D563D">
        <w:rPr>
          <w:szCs w:val="22"/>
        </w:rPr>
        <w:t>the</w:t>
      </w:r>
      <w:r w:rsidRPr="00C52163" w:rsidR="000D563D">
        <w:rPr>
          <w:szCs w:val="22"/>
        </w:rPr>
        <w:t xml:space="preserve"> </w:t>
      </w:r>
      <w:r>
        <w:rPr>
          <w:szCs w:val="22"/>
        </w:rPr>
        <w:t>December 7</w:t>
      </w:r>
      <w:r w:rsidRPr="00C52163">
        <w:rPr>
          <w:szCs w:val="22"/>
        </w:rPr>
        <w:t xml:space="preserve">, 2020 </w:t>
      </w:r>
      <w:r w:rsidR="000D563D">
        <w:rPr>
          <w:szCs w:val="22"/>
        </w:rPr>
        <w:t xml:space="preserve">letter filed by </w:t>
      </w:r>
      <w:r w:rsidRPr="00C52163">
        <w:rPr>
          <w:szCs w:val="22"/>
        </w:rPr>
        <w:t xml:space="preserve">the Alliance for Telecommunications Industry Solutions (ATIS) Network Reliability Steering Committee (NRSC) </w:t>
      </w:r>
      <w:r w:rsidR="000D563D">
        <w:rPr>
          <w:szCs w:val="22"/>
        </w:rPr>
        <w:t>addressing</w:t>
      </w:r>
      <w:r>
        <w:rPr>
          <w:szCs w:val="22"/>
        </w:rPr>
        <w:t xml:space="preserve"> </w:t>
      </w:r>
      <w:r w:rsidRPr="00C52163">
        <w:rPr>
          <w:szCs w:val="22"/>
        </w:rPr>
        <w:t xml:space="preserve">third-party efforts to develop a national </w:t>
      </w:r>
      <w:r w:rsidR="00B658E4">
        <w:rPr>
          <w:szCs w:val="22"/>
        </w:rPr>
        <w:t>Public Safety Answering Point (</w:t>
      </w:r>
      <w:r w:rsidRPr="00C52163">
        <w:rPr>
          <w:szCs w:val="22"/>
        </w:rPr>
        <w:t>PSAP</w:t>
      </w:r>
      <w:r w:rsidR="00B658E4">
        <w:rPr>
          <w:szCs w:val="22"/>
        </w:rPr>
        <w:t>)</w:t>
      </w:r>
      <w:r w:rsidRPr="00C52163">
        <w:rPr>
          <w:szCs w:val="22"/>
        </w:rPr>
        <w:t xml:space="preserve"> contact </w:t>
      </w:r>
      <w:r>
        <w:rPr>
          <w:szCs w:val="22"/>
        </w:rPr>
        <w:t xml:space="preserve">information </w:t>
      </w:r>
      <w:r w:rsidRPr="00C52163">
        <w:rPr>
          <w:szCs w:val="22"/>
        </w:rPr>
        <w:t>database.</w:t>
      </w:r>
      <w:r>
        <w:rPr>
          <w:rStyle w:val="FootnoteReference"/>
          <w:szCs w:val="22"/>
        </w:rPr>
        <w:footnoteReference w:id="2"/>
      </w:r>
      <w:r w:rsidRPr="00C52163">
        <w:rPr>
          <w:szCs w:val="22"/>
        </w:rPr>
        <w:t xml:space="preserve">  </w:t>
      </w:r>
    </w:p>
    <w:p w:rsidR="00E312DB" w:rsidRPr="00B41765" w:rsidP="0049706B" w14:paraId="43167070" w14:textId="34338FFC">
      <w:pPr>
        <w:spacing w:before="120" w:after="120"/>
        <w:ind w:firstLine="720"/>
        <w:rPr>
          <w:szCs w:val="22"/>
        </w:rPr>
      </w:pPr>
      <w:r w:rsidRPr="00C52163">
        <w:rPr>
          <w:szCs w:val="22"/>
        </w:rPr>
        <w:t>ATIS NRSC expresse</w:t>
      </w:r>
      <w:r w:rsidR="000D563D">
        <w:rPr>
          <w:szCs w:val="22"/>
        </w:rPr>
        <w:t>s</w:t>
      </w:r>
      <w:r w:rsidRPr="00C52163">
        <w:rPr>
          <w:szCs w:val="22"/>
        </w:rPr>
        <w:t xml:space="preserve"> support for </w:t>
      </w:r>
      <w:r>
        <w:rPr>
          <w:szCs w:val="22"/>
        </w:rPr>
        <w:t xml:space="preserve">such a </w:t>
      </w:r>
      <w:r w:rsidRPr="00C52163">
        <w:rPr>
          <w:szCs w:val="22"/>
        </w:rPr>
        <w:t>database</w:t>
      </w:r>
      <w:r w:rsidR="00D20D51">
        <w:rPr>
          <w:szCs w:val="22"/>
        </w:rPr>
        <w:t xml:space="preserve"> but</w:t>
      </w:r>
      <w:r w:rsidRPr="00D20D51" w:rsidR="00D20D51">
        <w:rPr>
          <w:szCs w:val="22"/>
        </w:rPr>
        <w:t xml:space="preserve"> </w:t>
      </w:r>
      <w:r w:rsidRPr="00C52163" w:rsidR="00D20D51">
        <w:rPr>
          <w:szCs w:val="22"/>
        </w:rPr>
        <w:t>indicate</w:t>
      </w:r>
      <w:r w:rsidR="00D20D51">
        <w:rPr>
          <w:szCs w:val="22"/>
        </w:rPr>
        <w:t>s</w:t>
      </w:r>
      <w:r w:rsidRPr="00C52163" w:rsidR="00D20D51">
        <w:rPr>
          <w:szCs w:val="22"/>
        </w:rPr>
        <w:t xml:space="preserve"> that </w:t>
      </w:r>
      <w:r w:rsidR="00D20D51">
        <w:rPr>
          <w:szCs w:val="22"/>
        </w:rPr>
        <w:t xml:space="preserve">industry faces several </w:t>
      </w:r>
      <w:r w:rsidR="00B658E4">
        <w:rPr>
          <w:szCs w:val="22"/>
        </w:rPr>
        <w:t>challeng</w:t>
      </w:r>
      <w:r w:rsidRPr="00C52163" w:rsidR="00B658E4">
        <w:rPr>
          <w:szCs w:val="22"/>
        </w:rPr>
        <w:t>es</w:t>
      </w:r>
      <w:r w:rsidR="00B658E4">
        <w:rPr>
          <w:szCs w:val="22"/>
        </w:rPr>
        <w:t xml:space="preserve"> </w:t>
      </w:r>
      <w:r w:rsidR="00D20D51">
        <w:rPr>
          <w:szCs w:val="22"/>
        </w:rPr>
        <w:t xml:space="preserve">to </w:t>
      </w:r>
      <w:r w:rsidR="00AA4CAE">
        <w:rPr>
          <w:szCs w:val="22"/>
        </w:rPr>
        <w:t xml:space="preserve">the </w:t>
      </w:r>
      <w:r w:rsidR="00F87279">
        <w:rPr>
          <w:szCs w:val="22"/>
        </w:rPr>
        <w:t xml:space="preserve">adoption of </w:t>
      </w:r>
      <w:r w:rsidR="00D20D51">
        <w:rPr>
          <w:szCs w:val="22"/>
        </w:rPr>
        <w:t>the database</w:t>
      </w:r>
      <w:r w:rsidR="00817C38">
        <w:rPr>
          <w:szCs w:val="22"/>
        </w:rPr>
        <w:t>.</w:t>
      </w:r>
      <w:r>
        <w:rPr>
          <w:rStyle w:val="FootnoteReference"/>
          <w:szCs w:val="22"/>
        </w:rPr>
        <w:footnoteReference w:id="3"/>
      </w:r>
      <w:r w:rsidRPr="00C52163">
        <w:rPr>
          <w:szCs w:val="22"/>
        </w:rPr>
        <w:t xml:space="preserve"> </w:t>
      </w:r>
      <w:r w:rsidR="00817C38">
        <w:rPr>
          <w:szCs w:val="22"/>
        </w:rPr>
        <w:t xml:space="preserve"> </w:t>
      </w:r>
      <w:r w:rsidRPr="00C52163">
        <w:rPr>
          <w:szCs w:val="22"/>
        </w:rPr>
        <w:t>In particular, ATIS NRSC state</w:t>
      </w:r>
      <w:r w:rsidR="000D563D">
        <w:rPr>
          <w:szCs w:val="22"/>
        </w:rPr>
        <w:t>s</w:t>
      </w:r>
      <w:r w:rsidRPr="00C52163">
        <w:rPr>
          <w:szCs w:val="22"/>
        </w:rPr>
        <w:t xml:space="preserve"> that </w:t>
      </w:r>
      <w:r>
        <w:rPr>
          <w:szCs w:val="22"/>
        </w:rPr>
        <w:t>a national PSAP contact information</w:t>
      </w:r>
      <w:r w:rsidRPr="00C52163">
        <w:rPr>
          <w:szCs w:val="22"/>
        </w:rPr>
        <w:t xml:space="preserve"> database </w:t>
      </w:r>
      <w:r w:rsidR="00B658E4">
        <w:rPr>
          <w:sz w:val="23"/>
          <w:szCs w:val="23"/>
        </w:rPr>
        <w:t>must be made available “at little or no cost to industry and must be less expensive than current processes</w:t>
      </w:r>
      <w:r w:rsidR="00B658E4">
        <w:rPr>
          <w:szCs w:val="22"/>
        </w:rPr>
        <w:t>.”</w:t>
      </w:r>
      <w:r>
        <w:rPr>
          <w:rStyle w:val="FootnoteReference"/>
          <w:szCs w:val="22"/>
        </w:rPr>
        <w:footnoteReference w:id="4"/>
      </w:r>
      <w:r w:rsidR="00B658E4">
        <w:rPr>
          <w:szCs w:val="22"/>
        </w:rPr>
        <w:t xml:space="preserve">  ATIS NRSC also </w:t>
      </w:r>
      <w:r w:rsidR="00F87279">
        <w:rPr>
          <w:szCs w:val="22"/>
        </w:rPr>
        <w:t xml:space="preserve">claims that, absent a </w:t>
      </w:r>
      <w:r w:rsidRPr="00C52163">
        <w:rPr>
          <w:szCs w:val="22"/>
        </w:rPr>
        <w:t xml:space="preserve">safe harbor </w:t>
      </w:r>
      <w:r>
        <w:rPr>
          <w:szCs w:val="22"/>
        </w:rPr>
        <w:t>to</w:t>
      </w:r>
      <w:r w:rsidRPr="00C52163">
        <w:rPr>
          <w:szCs w:val="22"/>
        </w:rPr>
        <w:t xml:space="preserve"> shield </w:t>
      </w:r>
      <w:r w:rsidR="00B658E4">
        <w:rPr>
          <w:szCs w:val="22"/>
        </w:rPr>
        <w:t xml:space="preserve">providers </w:t>
      </w:r>
      <w:r w:rsidR="00D20D51">
        <w:rPr>
          <w:szCs w:val="22"/>
        </w:rPr>
        <w:t xml:space="preserve">from </w:t>
      </w:r>
      <w:r w:rsidR="00B658E4">
        <w:rPr>
          <w:szCs w:val="22"/>
        </w:rPr>
        <w:t xml:space="preserve">potential </w:t>
      </w:r>
      <w:r w:rsidR="00D20D51">
        <w:rPr>
          <w:szCs w:val="22"/>
        </w:rPr>
        <w:t xml:space="preserve">liability </w:t>
      </w:r>
      <w:r w:rsidR="002B3242">
        <w:rPr>
          <w:szCs w:val="22"/>
        </w:rPr>
        <w:t>for reliance upon information provided by a national PSAP contact information database, providers would continue to maintain their own databases over which they could maintain quality control</w:t>
      </w:r>
      <w:r w:rsidR="00D20D51">
        <w:rPr>
          <w:szCs w:val="22"/>
        </w:rPr>
        <w:t>.</w:t>
      </w:r>
      <w:r>
        <w:rPr>
          <w:rStyle w:val="FootnoteReference"/>
          <w:szCs w:val="22"/>
        </w:rPr>
        <w:footnoteReference w:id="5"/>
      </w:r>
      <w:r w:rsidRPr="00C52163">
        <w:rPr>
          <w:szCs w:val="22"/>
        </w:rPr>
        <w:t xml:space="preserve">  ATIS NRSC </w:t>
      </w:r>
      <w:r w:rsidR="00AA4CAE">
        <w:rPr>
          <w:szCs w:val="22"/>
        </w:rPr>
        <w:t>states</w:t>
      </w:r>
      <w:r w:rsidR="00D20D51">
        <w:rPr>
          <w:szCs w:val="22"/>
        </w:rPr>
        <w:t xml:space="preserve"> that </w:t>
      </w:r>
      <w:r w:rsidR="002B3242">
        <w:rPr>
          <w:szCs w:val="22"/>
        </w:rPr>
        <w:t>use of a national PSAP contact information database</w:t>
      </w:r>
      <w:r w:rsidR="00D20D51">
        <w:rPr>
          <w:szCs w:val="22"/>
        </w:rPr>
        <w:t xml:space="preserve"> must be voluntary</w:t>
      </w:r>
      <w:r w:rsidR="002B3242">
        <w:rPr>
          <w:szCs w:val="22"/>
        </w:rPr>
        <w:t xml:space="preserve"> as providers may wish to maintain separate databases until the integrity and stability of the national database is determined, and because providers may nevertheless seek to maintain their own databases “for other public safety business requirements</w:t>
      </w:r>
      <w:r w:rsidR="00D20D51">
        <w:rPr>
          <w:szCs w:val="22"/>
        </w:rPr>
        <w:t>.</w:t>
      </w:r>
      <w:r w:rsidR="002B3242">
        <w:rPr>
          <w:szCs w:val="22"/>
        </w:rPr>
        <w:t>”</w:t>
      </w:r>
      <w:r>
        <w:rPr>
          <w:rStyle w:val="FootnoteReference"/>
          <w:szCs w:val="22"/>
        </w:rPr>
        <w:footnoteReference w:id="6"/>
      </w:r>
      <w:r w:rsidR="00AA4CAE">
        <w:rPr>
          <w:szCs w:val="22"/>
        </w:rPr>
        <w:t xml:space="preserve">  </w:t>
      </w:r>
      <w:r>
        <w:rPr>
          <w:szCs w:val="22"/>
        </w:rPr>
        <w:t xml:space="preserve">The Bureau seeks </w:t>
      </w:r>
      <w:r w:rsidR="003F3964">
        <w:rPr>
          <w:szCs w:val="22"/>
        </w:rPr>
        <w:t xml:space="preserve">comment </w:t>
      </w:r>
      <w:r>
        <w:rPr>
          <w:szCs w:val="22"/>
        </w:rPr>
        <w:t xml:space="preserve">on </w:t>
      </w:r>
      <w:r w:rsidR="000D563D">
        <w:rPr>
          <w:szCs w:val="22"/>
        </w:rPr>
        <w:t>ATIS</w:t>
      </w:r>
      <w:r w:rsidR="00D20D51">
        <w:rPr>
          <w:szCs w:val="22"/>
        </w:rPr>
        <w:t xml:space="preserve"> NRSC’s</w:t>
      </w:r>
      <w:r w:rsidR="000D563D">
        <w:rPr>
          <w:szCs w:val="22"/>
        </w:rPr>
        <w:t xml:space="preserve"> </w:t>
      </w:r>
      <w:r w:rsidR="009506C4">
        <w:rPr>
          <w:szCs w:val="22"/>
        </w:rPr>
        <w:t>filing</w:t>
      </w:r>
      <w:r>
        <w:rPr>
          <w:szCs w:val="22"/>
        </w:rPr>
        <w:t xml:space="preserve">.  </w:t>
      </w:r>
    </w:p>
    <w:p w:rsidR="0047226C" w:rsidRPr="00C52163" w:rsidP="00B41765" w14:paraId="64FA1084" w14:textId="26759EB1">
      <w:pPr>
        <w:pStyle w:val="Default"/>
        <w:spacing w:before="120" w:after="120"/>
        <w:rPr>
          <w:b/>
          <w:bCs/>
          <w:sz w:val="22"/>
          <w:szCs w:val="22"/>
          <w:u w:val="single"/>
        </w:rPr>
      </w:pPr>
      <w:r>
        <w:rPr>
          <w:b/>
          <w:bCs/>
          <w:sz w:val="22"/>
          <w:szCs w:val="22"/>
          <w:u w:val="single"/>
        </w:rPr>
        <w:t xml:space="preserve">Procedural Matters </w:t>
      </w:r>
    </w:p>
    <w:p w:rsidR="0047226C" w:rsidRPr="00C52163" w:rsidP="00B41765" w14:paraId="685885DF" w14:textId="77777777">
      <w:pPr>
        <w:widowControl/>
        <w:autoSpaceDE w:val="0"/>
        <w:autoSpaceDN w:val="0"/>
        <w:adjustRightInd w:val="0"/>
        <w:spacing w:before="120" w:after="120"/>
        <w:ind w:firstLine="720"/>
        <w:rPr>
          <w:szCs w:val="22"/>
        </w:rPr>
      </w:pPr>
      <w:r w:rsidRPr="00C52163">
        <w:rPr>
          <w:snapToGrid/>
          <w:kern w:val="0"/>
          <w:szCs w:val="22"/>
        </w:rPr>
        <w:t xml:space="preserve">Interested parties may file comments in response to this </w:t>
      </w:r>
      <w:r w:rsidRPr="00C52163">
        <w:rPr>
          <w:i/>
          <w:iCs/>
          <w:snapToGrid/>
          <w:kern w:val="0"/>
          <w:szCs w:val="22"/>
        </w:rPr>
        <w:t>Public Notice</w:t>
      </w:r>
      <w:r w:rsidRPr="00C52163">
        <w:rPr>
          <w:snapToGrid/>
          <w:kern w:val="0"/>
          <w:szCs w:val="22"/>
        </w:rPr>
        <w:t xml:space="preserve"> on or before the date indicated on the first page of this document.</w:t>
      </w:r>
      <w:r>
        <w:rPr>
          <w:rStyle w:val="FootnoteReference"/>
          <w:snapToGrid/>
          <w:kern w:val="0"/>
          <w:szCs w:val="22"/>
        </w:rPr>
        <w:footnoteReference w:id="7"/>
      </w:r>
      <w:r w:rsidRPr="00C52163">
        <w:rPr>
          <w:snapToGrid/>
          <w:kern w:val="0"/>
          <w:szCs w:val="22"/>
        </w:rPr>
        <w:t xml:space="preserve">  Comments may be filed using the Commission’s Electronic Comment Filing System (ECFS).</w:t>
      </w:r>
      <w:r w:rsidRPr="00C52163">
        <w:rPr>
          <w:szCs w:val="22"/>
        </w:rPr>
        <w:tab/>
      </w:r>
    </w:p>
    <w:p w:rsidR="0047226C" w:rsidRPr="00C52163" w:rsidP="00B41765" w14:paraId="2714A7C3" w14:textId="77777777">
      <w:pPr>
        <w:pStyle w:val="ListParagraph"/>
        <w:widowControl/>
        <w:numPr>
          <w:ilvl w:val="0"/>
          <w:numId w:val="2"/>
        </w:numPr>
        <w:spacing w:before="120" w:after="120"/>
        <w:contextualSpacing w:val="0"/>
        <w:rPr>
          <w:szCs w:val="22"/>
        </w:rPr>
      </w:pPr>
      <w:r w:rsidRPr="00C52163">
        <w:rPr>
          <w:szCs w:val="22"/>
        </w:rPr>
        <w:t xml:space="preserve">Electronic Filers:  Comments may be filed electronically using the Internet by accessing the ECFS:  </w:t>
      </w:r>
      <w:hyperlink r:id="rId5" w:history="1">
        <w:r w:rsidRPr="00C52163">
          <w:rPr>
            <w:rStyle w:val="Hyperlink"/>
            <w:szCs w:val="22"/>
          </w:rPr>
          <w:t>http://apps.fcc.gov/ecfs/</w:t>
        </w:r>
      </w:hyperlink>
      <w:r w:rsidRPr="00C52163">
        <w:rPr>
          <w:szCs w:val="22"/>
        </w:rPr>
        <w:t xml:space="preserve">.   </w:t>
      </w:r>
    </w:p>
    <w:p w:rsidR="0047226C" w:rsidRPr="00C52163" w:rsidP="0047226C" w14:paraId="5E749EF5" w14:textId="77777777">
      <w:pPr>
        <w:pStyle w:val="ListParagraph"/>
        <w:widowControl/>
        <w:numPr>
          <w:ilvl w:val="0"/>
          <w:numId w:val="2"/>
        </w:numPr>
        <w:spacing w:after="120"/>
        <w:contextualSpacing w:val="0"/>
        <w:rPr>
          <w:szCs w:val="22"/>
        </w:rPr>
      </w:pPr>
      <w:r w:rsidRPr="00C52163">
        <w:rPr>
          <w:szCs w:val="22"/>
        </w:rPr>
        <w:t xml:space="preserve">Paper Filers:  Parties who choose to file by paper must file an original and one copy of each filing. </w:t>
      </w:r>
    </w:p>
    <w:p w:rsidR="0047226C" w:rsidRPr="00C52163" w:rsidP="0047226C" w14:paraId="3B0302E8" w14:textId="77777777">
      <w:pPr>
        <w:pStyle w:val="ListParagraph"/>
        <w:widowControl/>
        <w:numPr>
          <w:ilvl w:val="0"/>
          <w:numId w:val="2"/>
        </w:numPr>
        <w:spacing w:after="120"/>
        <w:contextualSpacing w:val="0"/>
        <w:rPr>
          <w:szCs w:val="22"/>
        </w:rPr>
      </w:pPr>
      <w:r w:rsidRPr="00C52163">
        <w:rPr>
          <w:szCs w:val="22"/>
        </w:rPr>
        <w:t>Filings can be sent by commercial overnight courier, or by first-class or overnight U.S. Postal Service mail. All filings must be addressed to the Commission’s Secretary, Office of the Secretary, Federal Communications Commission.</w:t>
      </w:r>
    </w:p>
    <w:p w:rsidR="0047226C" w:rsidRPr="00C52163" w:rsidP="0047226C" w14:paraId="7D935951" w14:textId="77777777">
      <w:pPr>
        <w:pStyle w:val="ListParagraph"/>
        <w:widowControl/>
        <w:numPr>
          <w:ilvl w:val="0"/>
          <w:numId w:val="2"/>
        </w:numPr>
        <w:spacing w:after="120"/>
        <w:contextualSpacing w:val="0"/>
        <w:rPr>
          <w:szCs w:val="22"/>
        </w:rPr>
      </w:pPr>
      <w:r w:rsidRPr="00C52163">
        <w:rPr>
          <w:szCs w:val="22"/>
        </w:rPr>
        <w:t xml:space="preserve">Commercial overnight mail (other than U.S. Postal Service Express Mail and Priority Mail) must be sent to 9050 Junction Drive, Annapolis Junction, MD 20701.U.S. </w:t>
      </w:r>
    </w:p>
    <w:p w:rsidR="0047226C" w:rsidP="0047226C" w14:paraId="18D66CDE" w14:textId="5D357B4A">
      <w:pPr>
        <w:pStyle w:val="ListParagraph"/>
        <w:widowControl/>
        <w:numPr>
          <w:ilvl w:val="0"/>
          <w:numId w:val="2"/>
        </w:numPr>
        <w:spacing w:after="120"/>
        <w:contextualSpacing w:val="0"/>
        <w:rPr>
          <w:szCs w:val="22"/>
        </w:rPr>
      </w:pPr>
      <w:r w:rsidRPr="00D20DE3">
        <w:rPr>
          <w:szCs w:val="22"/>
        </w:rPr>
        <w:t xml:space="preserve">Postal Service first-class, Express, and Priority mail must be addressed to </w:t>
      </w:r>
      <w:r>
        <w:rPr>
          <w:rStyle w:val="acopre"/>
        </w:rPr>
        <w:t>45 L Street N</w:t>
      </w:r>
      <w:r w:rsidR="00E971FA">
        <w:rPr>
          <w:rStyle w:val="acopre"/>
        </w:rPr>
        <w:t>.</w:t>
      </w:r>
      <w:r>
        <w:rPr>
          <w:rStyle w:val="acopre"/>
        </w:rPr>
        <w:t>E</w:t>
      </w:r>
      <w:r w:rsidR="00E971FA">
        <w:rPr>
          <w:rStyle w:val="acopre"/>
        </w:rPr>
        <w:t>.</w:t>
      </w:r>
      <w:r>
        <w:rPr>
          <w:rStyle w:val="acopre"/>
        </w:rPr>
        <w:t xml:space="preserve"> Washington, DC 20554</w:t>
      </w:r>
      <w:r>
        <w:rPr>
          <w:szCs w:val="22"/>
        </w:rPr>
        <w:t xml:space="preserve">. </w:t>
      </w:r>
    </w:p>
    <w:p w:rsidR="0047226C" w:rsidRPr="00D20DE3" w:rsidP="0047226C" w14:paraId="751B3E9C" w14:textId="77777777">
      <w:pPr>
        <w:pStyle w:val="ListParagraph"/>
        <w:widowControl/>
        <w:numPr>
          <w:ilvl w:val="0"/>
          <w:numId w:val="2"/>
        </w:numPr>
        <w:spacing w:after="120"/>
        <w:contextualSpacing w:val="0"/>
        <w:rPr>
          <w:szCs w:val="22"/>
        </w:rPr>
      </w:pPr>
      <w:r w:rsidRPr="00D20DE3">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8"/>
      </w:r>
      <w:r w:rsidRPr="00D20DE3">
        <w:rPr>
          <w:szCs w:val="22"/>
        </w:rPr>
        <w:t xml:space="preserve">  </w:t>
      </w:r>
    </w:p>
    <w:p w:rsidR="0047226C" w:rsidRPr="00C52163" w:rsidP="0047226C" w14:paraId="313DEF31" w14:textId="77777777">
      <w:pPr>
        <w:pStyle w:val="ListParagraph"/>
        <w:widowControl/>
        <w:numPr>
          <w:ilvl w:val="0"/>
          <w:numId w:val="2"/>
        </w:numPr>
        <w:spacing w:after="120"/>
        <w:rPr>
          <w:color w:val="000000"/>
          <w:szCs w:val="22"/>
        </w:rPr>
      </w:pPr>
      <w:r w:rsidRPr="00C52163">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7226C" w:rsidRPr="00C52163" w:rsidP="0047226C" w14:paraId="300E02D8" w14:textId="77777777">
      <w:pPr>
        <w:widowControl/>
        <w:numPr>
          <w:ilvl w:val="0"/>
          <w:numId w:val="3"/>
        </w:numPr>
        <w:spacing w:after="120"/>
        <w:rPr>
          <w:szCs w:val="22"/>
        </w:rPr>
      </w:pPr>
      <w:r w:rsidRPr="00C52163">
        <w:rPr>
          <w:szCs w:val="22"/>
        </w:rPr>
        <w:t xml:space="preserve">People with Disabilities:  To request materials in accessible formats for people with disabilities (braille, large print, electronic files, audio format), send an e-mail to </w:t>
      </w:r>
      <w:hyperlink r:id="rId6" w:history="1">
        <w:r w:rsidRPr="00C52163">
          <w:rPr>
            <w:rStyle w:val="Hyperlink"/>
            <w:szCs w:val="22"/>
          </w:rPr>
          <w:t>fcc504@fcc.gov</w:t>
        </w:r>
      </w:hyperlink>
      <w:r w:rsidRPr="00C52163">
        <w:rPr>
          <w:szCs w:val="22"/>
        </w:rPr>
        <w:t xml:space="preserve"> or call the Consumer &amp; Governmental Affairs Bureau at 202-418-0530 (voice), 202-418-0432 (</w:t>
      </w:r>
      <w:r w:rsidRPr="00C52163">
        <w:rPr>
          <w:szCs w:val="22"/>
        </w:rPr>
        <w:t>tty</w:t>
      </w:r>
      <w:r w:rsidRPr="00C52163">
        <w:rPr>
          <w:szCs w:val="22"/>
        </w:rPr>
        <w:t>).</w:t>
      </w:r>
    </w:p>
    <w:p w:rsidR="0047226C" w:rsidRPr="00C52163" w:rsidP="0047226C" w14:paraId="248FDC5B" w14:textId="77777777">
      <w:pPr>
        <w:widowControl/>
        <w:autoSpaceDE w:val="0"/>
        <w:autoSpaceDN w:val="0"/>
        <w:adjustRightInd w:val="0"/>
        <w:ind w:firstLine="720"/>
        <w:rPr>
          <w:snapToGrid/>
          <w:kern w:val="0"/>
          <w:szCs w:val="22"/>
        </w:rPr>
      </w:pPr>
      <w:r w:rsidRPr="00C52163">
        <w:rPr>
          <w:snapToGrid/>
          <w:kern w:val="0"/>
          <w:szCs w:val="22"/>
        </w:rPr>
        <w:t>This proceeding has been designated as a “permit-but-disclose” proceeding in accordance with</w:t>
      </w:r>
    </w:p>
    <w:p w:rsidR="0047226C" w:rsidRPr="00C52163" w:rsidP="0047226C" w14:paraId="3E055844" w14:textId="77777777">
      <w:pPr>
        <w:pStyle w:val="ParaNum"/>
        <w:numPr>
          <w:ilvl w:val="0"/>
          <w:numId w:val="0"/>
        </w:numPr>
        <w:tabs>
          <w:tab w:val="left" w:pos="720"/>
        </w:tabs>
        <w:contextualSpacing/>
        <w:rPr>
          <w:snapToGrid/>
          <w:szCs w:val="22"/>
        </w:rPr>
      </w:pPr>
      <w:r w:rsidRPr="00C52163">
        <w:rPr>
          <w:snapToGrid/>
          <w:kern w:val="0"/>
          <w:szCs w:val="22"/>
        </w:rPr>
        <w:t xml:space="preserve">the Commission’s </w:t>
      </w:r>
      <w:r w:rsidRPr="00C52163">
        <w:rPr>
          <w:i/>
          <w:iCs/>
          <w:snapToGrid/>
          <w:kern w:val="0"/>
          <w:szCs w:val="22"/>
        </w:rPr>
        <w:t xml:space="preserve">ex parte </w:t>
      </w:r>
      <w:r w:rsidRPr="00C52163">
        <w:rPr>
          <w:snapToGrid/>
          <w:kern w:val="0"/>
          <w:szCs w:val="22"/>
        </w:rPr>
        <w:t xml:space="preserve">rules. </w:t>
      </w:r>
      <w:r>
        <w:rPr>
          <w:rStyle w:val="FootnoteReference"/>
          <w:snapToGrid/>
          <w:kern w:val="0"/>
          <w:szCs w:val="22"/>
        </w:rPr>
        <w:footnoteReference w:id="9"/>
      </w:r>
      <w:r w:rsidRPr="00C52163">
        <w:rPr>
          <w:snapToGrid/>
          <w:kern w:val="0"/>
          <w:szCs w:val="22"/>
        </w:rPr>
        <w:t xml:space="preserve">  Persons making </w:t>
      </w:r>
      <w:r w:rsidRPr="00C52163">
        <w:rPr>
          <w:i/>
          <w:iCs/>
          <w:snapToGrid/>
          <w:kern w:val="0"/>
          <w:szCs w:val="22"/>
        </w:rPr>
        <w:t xml:space="preserve">ex parte </w:t>
      </w:r>
      <w:r w:rsidRPr="00C52163">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52163">
        <w:rPr>
          <w:i/>
          <w:iCs/>
          <w:snapToGrid/>
          <w:kern w:val="0"/>
          <w:szCs w:val="22"/>
        </w:rPr>
        <w:t xml:space="preserve">ex parte </w:t>
      </w:r>
      <w:r w:rsidRPr="00C52163">
        <w:rPr>
          <w:snapToGrid/>
          <w:kern w:val="0"/>
          <w:szCs w:val="22"/>
        </w:rPr>
        <w:t xml:space="preserve">presentations are reminded that memoranda summarizing the presentation must (1) list all persons attending or otherwise participating in the meeting at which the </w:t>
      </w:r>
      <w:r w:rsidRPr="00C52163">
        <w:rPr>
          <w:i/>
          <w:iCs/>
          <w:snapToGrid/>
          <w:kern w:val="0"/>
          <w:szCs w:val="22"/>
        </w:rPr>
        <w:t xml:space="preserve">ex parte </w:t>
      </w:r>
      <w:r w:rsidRPr="00C52163">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52163">
        <w:rPr>
          <w:i/>
          <w:iCs/>
          <w:snapToGrid/>
          <w:kern w:val="0"/>
          <w:szCs w:val="22"/>
        </w:rPr>
        <w:t xml:space="preserve">ex parte </w:t>
      </w:r>
      <w:r w:rsidRPr="00C52163">
        <w:rPr>
          <w:snapToGrid/>
          <w:kern w:val="0"/>
          <w:szCs w:val="22"/>
        </w:rPr>
        <w:t xml:space="preserve">meetings are deemed to be written </w:t>
      </w:r>
      <w:r w:rsidRPr="00C52163">
        <w:rPr>
          <w:i/>
          <w:iCs/>
          <w:snapToGrid/>
          <w:kern w:val="0"/>
          <w:szCs w:val="22"/>
        </w:rPr>
        <w:t xml:space="preserve">ex parte </w:t>
      </w:r>
      <w:r w:rsidRPr="00C52163">
        <w:rPr>
          <w:snapToGrid/>
          <w:kern w:val="0"/>
          <w:szCs w:val="22"/>
        </w:rPr>
        <w:t xml:space="preserve">presentations and must be filed consistent with rule 1.1206(b).  In proceedings governed by rule 1.49(f) or for which the Commission has made available a method of electronic filing, written </w:t>
      </w:r>
      <w:r w:rsidRPr="00C52163">
        <w:rPr>
          <w:i/>
          <w:iCs/>
          <w:snapToGrid/>
          <w:kern w:val="0"/>
          <w:szCs w:val="22"/>
        </w:rPr>
        <w:t xml:space="preserve">ex parte </w:t>
      </w:r>
      <w:r w:rsidRPr="00C52163">
        <w:rPr>
          <w:snapToGrid/>
          <w:kern w:val="0"/>
          <w:szCs w:val="22"/>
        </w:rPr>
        <w:t xml:space="preserve">presentations and memoranda summarizing oral </w:t>
      </w:r>
      <w:r w:rsidRPr="00C52163">
        <w:rPr>
          <w:i/>
          <w:iCs/>
          <w:snapToGrid/>
          <w:kern w:val="0"/>
          <w:szCs w:val="22"/>
        </w:rPr>
        <w:t xml:space="preserve">ex parte </w:t>
      </w:r>
      <w:r w:rsidRPr="00C52163">
        <w:rPr>
          <w:snapToGrid/>
          <w:kern w:val="0"/>
          <w:szCs w:val="22"/>
        </w:rPr>
        <w:t>presentations, and all attachments thereto, must be filed through the electronic comment filing system available for that proceeding, and must be filed in their native format (</w:t>
      </w:r>
      <w:r w:rsidRPr="00C52163">
        <w:rPr>
          <w:i/>
          <w:iCs/>
          <w:snapToGrid/>
          <w:kern w:val="0"/>
          <w:szCs w:val="22"/>
        </w:rPr>
        <w:t>e.g.</w:t>
      </w:r>
      <w:r w:rsidRPr="00C52163">
        <w:rPr>
          <w:snapToGrid/>
          <w:kern w:val="0"/>
          <w:szCs w:val="22"/>
        </w:rPr>
        <w:t xml:space="preserve">, .doc, .xml, .ppt, searchable .pdf).  Participants in this proceeding should familiarize themselves with the Commission’s </w:t>
      </w:r>
      <w:r w:rsidRPr="00C52163">
        <w:rPr>
          <w:i/>
          <w:iCs/>
          <w:snapToGrid/>
          <w:kern w:val="0"/>
          <w:szCs w:val="22"/>
        </w:rPr>
        <w:t xml:space="preserve">ex parte </w:t>
      </w:r>
      <w:r w:rsidRPr="00C52163">
        <w:rPr>
          <w:snapToGrid/>
          <w:kern w:val="0"/>
          <w:szCs w:val="22"/>
        </w:rPr>
        <w:t>rules.</w:t>
      </w:r>
    </w:p>
    <w:p w:rsidR="0047226C" w:rsidRPr="00C52163" w:rsidP="0047226C" w14:paraId="6E17EDEF" w14:textId="11F5FE39">
      <w:pPr>
        <w:spacing w:after="120"/>
        <w:ind w:firstLine="720"/>
        <w:rPr>
          <w:szCs w:val="22"/>
        </w:rPr>
      </w:pPr>
      <w:r w:rsidRPr="00C52163">
        <w:rPr>
          <w:szCs w:val="22"/>
        </w:rPr>
        <w:t>For further information</w:t>
      </w:r>
      <w:r w:rsidRPr="00C52163">
        <w:rPr>
          <w:i/>
          <w:szCs w:val="22"/>
        </w:rPr>
        <w:t>,</w:t>
      </w:r>
      <w:r w:rsidRPr="00C52163">
        <w:rPr>
          <w:szCs w:val="22"/>
        </w:rPr>
        <w:t xml:space="preserve"> contact </w:t>
      </w:r>
      <w:r w:rsidR="0069694C">
        <w:rPr>
          <w:szCs w:val="22"/>
        </w:rPr>
        <w:t>Jennifer Holtz, Deputy Division Chief</w:t>
      </w:r>
      <w:r>
        <w:rPr>
          <w:szCs w:val="22"/>
        </w:rPr>
        <w:t>,</w:t>
      </w:r>
      <w:r w:rsidRPr="006D69D0">
        <w:rPr>
          <w:szCs w:val="22"/>
        </w:rPr>
        <w:t xml:space="preserve"> Cybersecurity and Communications Reliability Division, Public Safety and Homeland Security Bureau</w:t>
      </w:r>
      <w:r>
        <w:rPr>
          <w:szCs w:val="22"/>
        </w:rPr>
        <w:t xml:space="preserve">, </w:t>
      </w:r>
      <w:r w:rsidRPr="00B767DB">
        <w:rPr>
          <w:szCs w:val="22"/>
        </w:rPr>
        <w:t>(202) 418-</w:t>
      </w:r>
      <w:r>
        <w:rPr>
          <w:szCs w:val="22"/>
        </w:rPr>
        <w:t>2</w:t>
      </w:r>
      <w:r w:rsidR="0069694C">
        <w:rPr>
          <w:szCs w:val="22"/>
        </w:rPr>
        <w:t>336</w:t>
      </w:r>
      <w:r>
        <w:rPr>
          <w:szCs w:val="22"/>
        </w:rPr>
        <w:t xml:space="preserve">, </w:t>
      </w:r>
      <w:hyperlink r:id="rId7" w:history="1">
        <w:r w:rsidRPr="00980D5A" w:rsidR="0069694C">
          <w:rPr>
            <w:rStyle w:val="Hyperlink"/>
          </w:rPr>
          <w:t>Jennifer.holtz@fcc.gov</w:t>
        </w:r>
      </w:hyperlink>
      <w:r w:rsidR="0069694C">
        <w:t xml:space="preserve"> </w:t>
      </w:r>
    </w:p>
    <w:p w:rsidR="00D641D3" w:rsidRPr="0049706B" w:rsidP="0049706B" w14:paraId="19535E99" w14:textId="39277F4E">
      <w:pPr>
        <w:spacing w:after="120"/>
        <w:jc w:val="center"/>
        <w:rPr>
          <w:szCs w:val="22"/>
        </w:rPr>
      </w:pPr>
      <w:r w:rsidRPr="00C52163">
        <w:rPr>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55614C" w14:paraId="3D00B7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F799B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rsidP="00910F12" w14:paraId="7EDD78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F7393" w14:paraId="135377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7178D5" w:rsidP="0047226C" w14:paraId="4728E05F" w14:textId="77777777">
      <w:r>
        <w:separator/>
      </w:r>
    </w:p>
  </w:footnote>
  <w:footnote w:type="continuationSeparator" w:id="1">
    <w:p w:rsidR="007178D5" w:rsidP="0047226C" w14:paraId="27119C55" w14:textId="77777777">
      <w:r>
        <w:continuationSeparator/>
      </w:r>
    </w:p>
  </w:footnote>
  <w:footnote w:id="2">
    <w:p w:rsidR="0047226C" w:rsidP="0047226C" w14:paraId="6D6A822C" w14:textId="6FF380B2">
      <w:pPr>
        <w:pStyle w:val="FootnoteText"/>
      </w:pPr>
      <w:r>
        <w:rPr>
          <w:rStyle w:val="FootnoteReference"/>
        </w:rPr>
        <w:footnoteRef/>
      </w:r>
      <w:r>
        <w:t xml:space="preserve"> </w:t>
      </w:r>
      <w:r>
        <w:rPr>
          <w:i/>
          <w:iCs/>
        </w:rPr>
        <w:t>See</w:t>
      </w:r>
      <w:r>
        <w:t xml:space="preserve"> Letter from Thomas Goode, General Counsel, ATIS, to Marlene Dortch, Secretary, FCC, PS Docket Nos. 11-60, 13-75 (filed Dec. 7, 2020)</w:t>
      </w:r>
      <w:r w:rsidRPr="00886381">
        <w:t xml:space="preserve"> (on file i</w:t>
      </w:r>
      <w:r>
        <w:t>n PS Dockets Nos. 11-60, 13-75</w:t>
      </w:r>
      <w:r w:rsidRPr="00886381">
        <w:t xml:space="preserve">) </w:t>
      </w:r>
      <w:r>
        <w:t xml:space="preserve">(Letter). </w:t>
      </w:r>
    </w:p>
  </w:footnote>
  <w:footnote w:id="3">
    <w:p w:rsidR="00817C38" w14:paraId="2BD7DF83" w14:textId="6B9D3029">
      <w:pPr>
        <w:pStyle w:val="FootnoteText"/>
      </w:pPr>
      <w:r>
        <w:rPr>
          <w:rStyle w:val="FootnoteReference"/>
        </w:rPr>
        <w:footnoteRef/>
      </w:r>
      <w:r>
        <w:t xml:space="preserve"> Letter at 1.</w:t>
      </w:r>
    </w:p>
  </w:footnote>
  <w:footnote w:id="4">
    <w:p w:rsidR="00B658E4" w14:paraId="27583D64" w14:textId="43412AD9">
      <w:pPr>
        <w:pStyle w:val="FootnoteText"/>
      </w:pPr>
      <w:r>
        <w:rPr>
          <w:rStyle w:val="FootnoteReference"/>
        </w:rPr>
        <w:footnoteRef/>
      </w:r>
      <w:r>
        <w:t xml:space="preserve"> Letter at 2.</w:t>
      </w:r>
    </w:p>
  </w:footnote>
  <w:footnote w:id="5">
    <w:p w:rsidR="0047226C" w:rsidP="0047226C" w14:paraId="2A10B6EA" w14:textId="084D8CB5">
      <w:pPr>
        <w:pStyle w:val="FootnoteText"/>
      </w:pPr>
      <w:r>
        <w:rPr>
          <w:rStyle w:val="FootnoteReference"/>
        </w:rPr>
        <w:footnoteRef/>
      </w:r>
      <w:r>
        <w:t xml:space="preserve"> Letter at 2.  </w:t>
      </w:r>
    </w:p>
  </w:footnote>
  <w:footnote w:id="6">
    <w:p w:rsidR="0047226C" w:rsidP="0047226C" w14:paraId="5E45FC42" w14:textId="221BC051">
      <w:pPr>
        <w:pStyle w:val="FootnoteText"/>
      </w:pPr>
      <w:r>
        <w:rPr>
          <w:rStyle w:val="FootnoteReference"/>
        </w:rPr>
        <w:footnoteRef/>
      </w:r>
      <w:r>
        <w:t xml:space="preserve"> Letter at 1. </w:t>
      </w:r>
    </w:p>
  </w:footnote>
  <w:footnote w:id="7">
    <w:p w:rsidR="0047226C" w:rsidP="0047226C" w14:paraId="3DEB543B" w14:textId="77777777">
      <w:pPr>
        <w:pStyle w:val="FootnoteText"/>
      </w:pPr>
      <w:r w:rsidRPr="00DC5F58">
        <w:rPr>
          <w:rStyle w:val="FootnoteReference"/>
        </w:rPr>
        <w:footnoteRef/>
      </w:r>
      <w:r w:rsidRPr="00DC5F58">
        <w:t xml:space="preserve"> </w:t>
      </w:r>
      <w:r w:rsidRPr="00DC5F58">
        <w:rPr>
          <w:i/>
        </w:rPr>
        <w:t>See Electronic Filing of Documents in Rulemaking Proceedings</w:t>
      </w:r>
      <w:r w:rsidRPr="00DC5F58">
        <w:t>, 63 FR 24121</w:t>
      </w:r>
      <w:r>
        <w:t>-01</w:t>
      </w:r>
      <w:r w:rsidRPr="00DC5F58">
        <w:t xml:space="preserve"> (1998).</w:t>
      </w:r>
    </w:p>
  </w:footnote>
  <w:footnote w:id="8">
    <w:p w:rsidR="0047226C" w:rsidRPr="00E06DAD" w:rsidP="0047226C" w14:paraId="080B36A0" w14:textId="1DAD9E9F">
      <w:pPr>
        <w:pStyle w:val="FootnoteText"/>
        <w:rPr>
          <w:i/>
          <w:iCs/>
        </w:rPr>
      </w:pPr>
      <w:r>
        <w:rPr>
          <w:rStyle w:val="FootnoteReference"/>
        </w:rPr>
        <w:footnoteRef/>
      </w:r>
      <w:r>
        <w:t xml:space="preserve"> </w:t>
      </w:r>
      <w:r>
        <w:rPr>
          <w:i/>
          <w:iCs/>
        </w:rPr>
        <w:t xml:space="preserve">See </w:t>
      </w:r>
      <w:r w:rsidRPr="00E06DAD">
        <w:rPr>
          <w:i/>
          <w:iCs/>
        </w:rPr>
        <w:t>FCC Announces Closure of FCC Headquarters Open Window and Change in Hand-Delivery Policy</w:t>
      </w:r>
      <w:r w:rsidRPr="00E06DAD">
        <w:t xml:space="preserve">, Public Notice, DA 20-304 (March 19, 2020). </w:t>
      </w:r>
    </w:p>
  </w:footnote>
  <w:footnote w:id="9">
    <w:p w:rsidR="0047226C" w:rsidP="0047226C" w14:paraId="313B4DC6"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9838BC" w:rsidP="009838BC" w14:paraId="77F5A7B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6306B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A9CD57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9838BC" w:rsidRPr="00A866AC" w:rsidP="009838BC" w14:paraId="54995C0C"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004292E">
                          <w:pPr>
                            <w:rPr>
                              <w:rFonts w:ascii="Arial" w:hAnsi="Arial"/>
                              <w:b/>
                            </w:rPr>
                          </w:pPr>
                          <w:r>
                            <w:rPr>
                              <w:rFonts w:ascii="Arial" w:hAnsi="Arial"/>
                              <w:b/>
                            </w:rPr>
                            <w:t xml:space="preserve">45 </w:t>
                          </w:r>
                          <w:r w:rsidR="00F5278B">
                            <w:rPr>
                              <w:rFonts w:ascii="Arial" w:hAnsi="Arial"/>
                              <w:b/>
                            </w:rPr>
                            <w:t>L</w:t>
                          </w:r>
                          <w:r>
                            <w:rPr>
                              <w:rFonts w:ascii="Arial" w:hAnsi="Arial"/>
                              <w:b/>
                            </w:rPr>
                            <w:t xml:space="preserve"> St., </w:t>
                          </w:r>
                          <w:r w:rsidR="00F5278B">
                            <w:rPr>
                              <w:rFonts w:ascii="Arial" w:hAnsi="Arial"/>
                              <w:b/>
                            </w:rPr>
                            <w:t>N</w:t>
                          </w:r>
                          <w:r>
                            <w:rPr>
                              <w:rFonts w:ascii="Arial" w:hAnsi="Arial"/>
                              <w:b/>
                            </w:rPr>
                            <w:t>.</w:t>
                          </w:r>
                          <w:r w:rsidR="00F5278B">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C13999E" w14:textId="77777777">
                    <w:pPr>
                      <w:rPr>
                        <w:rFonts w:ascii="Arial" w:hAnsi="Arial"/>
                        <w:b/>
                      </w:rPr>
                    </w:pPr>
                    <w:r>
                      <w:rPr>
                        <w:rFonts w:ascii="Arial" w:hAnsi="Arial"/>
                        <w:b/>
                      </w:rPr>
                      <w:t>Federal Communications Commission</w:t>
                    </w:r>
                  </w:p>
                  <w:p w:rsidR="009838BC" w:rsidP="009838BC" w14:paraId="06F91B7E" w14:textId="4004292E">
                    <w:pPr>
                      <w:rPr>
                        <w:rFonts w:ascii="Arial" w:hAnsi="Arial"/>
                        <w:b/>
                      </w:rPr>
                    </w:pPr>
                    <w:r>
                      <w:rPr>
                        <w:rFonts w:ascii="Arial" w:hAnsi="Arial"/>
                        <w:b/>
                      </w:rPr>
                      <w:t xml:space="preserve">45 </w:t>
                    </w:r>
                    <w:r w:rsidR="00F5278B">
                      <w:rPr>
                        <w:rFonts w:ascii="Arial" w:hAnsi="Arial"/>
                        <w:b/>
                      </w:rPr>
                      <w:t>L</w:t>
                    </w:r>
                    <w:r>
                      <w:rPr>
                        <w:rFonts w:ascii="Arial" w:hAnsi="Arial"/>
                        <w:b/>
                      </w:rPr>
                      <w:t xml:space="preserve"> St., </w:t>
                    </w:r>
                    <w:r w:rsidR="00F5278B">
                      <w:rPr>
                        <w:rFonts w:ascii="Arial" w:hAnsi="Arial"/>
                        <w:b/>
                      </w:rPr>
                      <w:t>N</w:t>
                    </w:r>
                    <w:r>
                      <w:rPr>
                        <w:rFonts w:ascii="Arial" w:hAnsi="Arial"/>
                        <w:b/>
                      </w:rPr>
                      <w:t>.</w:t>
                    </w:r>
                    <w:r w:rsidR="00F5278B">
                      <w:rPr>
                        <w:rFonts w:ascii="Arial" w:hAnsi="Arial"/>
                        <w:b/>
                      </w:rPr>
                      <w:t>E</w:t>
                    </w:r>
                    <w:r>
                      <w:rPr>
                        <w:rFonts w:ascii="Arial" w:hAnsi="Arial"/>
                        <w:b/>
                      </w:rPr>
                      <w:t>.</w:t>
                    </w:r>
                  </w:p>
                  <w:p w:rsidR="009838BC" w:rsidP="009838BC" w14:paraId="1DA0632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88514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A6D274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8664EC4" w14:textId="77777777">
                    <w:pPr>
                      <w:spacing w:before="40"/>
                      <w:jc w:val="right"/>
                      <w:rPr>
                        <w:rFonts w:ascii="Arial" w:hAnsi="Arial"/>
                        <w:b/>
                        <w:sz w:val="16"/>
                      </w:rPr>
                    </w:pPr>
                    <w:r>
                      <w:rPr>
                        <w:rFonts w:ascii="Arial" w:hAnsi="Arial"/>
                        <w:b/>
                        <w:sz w:val="16"/>
                      </w:rPr>
                      <w:t>News Media Information 202 / 418-0500</w:t>
                    </w:r>
                  </w:p>
                  <w:p w:rsidR="009838BC" w:rsidP="009838BC" w14:paraId="27E87DCF"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D2F486A" w14:textId="77777777">
                    <w:pPr>
                      <w:jc w:val="right"/>
                    </w:pPr>
                    <w:r>
                      <w:rPr>
                        <w:rFonts w:ascii="Arial" w:hAnsi="Arial"/>
                        <w:b/>
                        <w:sz w:val="16"/>
                      </w:rPr>
                      <w:t>TTY: 1-888-835-5322</w:t>
                    </w:r>
                  </w:p>
                </w:txbxContent>
              </v:textbox>
            </v:shape>
          </w:pict>
        </mc:Fallback>
      </mc:AlternateContent>
    </w:r>
  </w:p>
  <w:p w:rsidR="006F7393" w:rsidRPr="009838BC" w:rsidP="009838BC" w14:paraId="6887BBD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38333CB5"/>
    <w:multiLevelType w:val="hybridMultilevel"/>
    <w:tmpl w:val="5B567CF4"/>
    <w:lvl w:ilvl="0">
      <w:start w:val="1"/>
      <w:numFmt w:val="bullet"/>
      <w:lvlText w:val=""/>
      <w:lvlJc w:val="left"/>
      <w:pPr>
        <w:tabs>
          <w:tab w:val="num" w:pos="720"/>
        </w:tabs>
        <w:ind w:left="720" w:hanging="360"/>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0B128B8"/>
    <w:multiLevelType w:val="hybridMultilevel"/>
    <w:tmpl w:val="67F6A7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2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6C"/>
    <w:rsid w:val="00010129"/>
    <w:rsid w:val="00093CD4"/>
    <w:rsid w:val="000A0F81"/>
    <w:rsid w:val="000B2937"/>
    <w:rsid w:val="000B4625"/>
    <w:rsid w:val="000D563D"/>
    <w:rsid w:val="002B3242"/>
    <w:rsid w:val="00357D50"/>
    <w:rsid w:val="0037339E"/>
    <w:rsid w:val="003F3964"/>
    <w:rsid w:val="0047226C"/>
    <w:rsid w:val="0049706B"/>
    <w:rsid w:val="0055614C"/>
    <w:rsid w:val="0069694C"/>
    <w:rsid w:val="006D53C4"/>
    <w:rsid w:val="006D69D0"/>
    <w:rsid w:val="006F32EB"/>
    <w:rsid w:val="006F7393"/>
    <w:rsid w:val="007178D5"/>
    <w:rsid w:val="0076750C"/>
    <w:rsid w:val="007B0FDB"/>
    <w:rsid w:val="007E588D"/>
    <w:rsid w:val="00817C38"/>
    <w:rsid w:val="00886381"/>
    <w:rsid w:val="008C1AE5"/>
    <w:rsid w:val="008D2E6F"/>
    <w:rsid w:val="00910F12"/>
    <w:rsid w:val="00914735"/>
    <w:rsid w:val="009506C4"/>
    <w:rsid w:val="0095762A"/>
    <w:rsid w:val="00980D5A"/>
    <w:rsid w:val="009838BC"/>
    <w:rsid w:val="00A1674F"/>
    <w:rsid w:val="00A866AC"/>
    <w:rsid w:val="00AA4CAE"/>
    <w:rsid w:val="00B20363"/>
    <w:rsid w:val="00B41765"/>
    <w:rsid w:val="00B658E4"/>
    <w:rsid w:val="00B767DB"/>
    <w:rsid w:val="00B92013"/>
    <w:rsid w:val="00C52163"/>
    <w:rsid w:val="00CC37B4"/>
    <w:rsid w:val="00CD7D92"/>
    <w:rsid w:val="00D12C35"/>
    <w:rsid w:val="00D20D51"/>
    <w:rsid w:val="00D20DE3"/>
    <w:rsid w:val="00D216CD"/>
    <w:rsid w:val="00D641D3"/>
    <w:rsid w:val="00DC5F58"/>
    <w:rsid w:val="00E00835"/>
    <w:rsid w:val="00E06DAD"/>
    <w:rsid w:val="00E1797F"/>
    <w:rsid w:val="00E312DB"/>
    <w:rsid w:val="00E57BD6"/>
    <w:rsid w:val="00E65529"/>
    <w:rsid w:val="00E92C7D"/>
    <w:rsid w:val="00E971FA"/>
    <w:rsid w:val="00ED0F9A"/>
    <w:rsid w:val="00F5278B"/>
    <w:rsid w:val="00F7429C"/>
    <w:rsid w:val="00F83EBA"/>
    <w:rsid w:val="00F872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EB2E80E-90D5-4C71-8B31-9745A442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6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7226C"/>
    <w:pPr>
      <w:numPr>
        <w:numId w:val="1"/>
      </w:numPr>
      <w:tabs>
        <w:tab w:val="clear" w:pos="1080"/>
        <w:tab w:val="num" w:pos="1440"/>
      </w:tabs>
      <w:spacing w:after="120"/>
    </w:pPr>
  </w:style>
  <w:style w:type="paragraph" w:styleId="FootnoteText">
    <w:name w:val="footnote text"/>
    <w:aliases w:val="ALTS FOOTNOT,Char Char Char,FOOT,Footnote Text Char Char Char Char Char,Footnote Text Char1 Char,Footnote Text Char1 Char Char Char,Footnote Text Char2 Char Char Char Char Char,Footnote Text Char2 Char1 Char,Footnote Text Char2 Char3,f,fn"/>
    <w:link w:val="FootnoteTextChar"/>
    <w:uiPriority w:val="99"/>
    <w:qFormat/>
    <w:rsid w:val="004722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 Char,Char Char Char Char,FOOT Char,Footnote Text Char Char Char Char Char Char,Footnote Text Char1 Char Char,Footnote Text Char1 Char Char Char Char,Footnote Text Char2 Char Char Char Char Char Char,f Char,fn Char"/>
    <w:basedOn w:val="DefaultParagraphFont"/>
    <w:link w:val="FootnoteText"/>
    <w:uiPriority w:val="99"/>
    <w:rsid w:val="0047226C"/>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47226C"/>
    <w:rPr>
      <w:rFonts w:ascii="Times New Roman" w:hAnsi="Times New Roman"/>
      <w:dstrike w:val="0"/>
      <w:color w:val="auto"/>
      <w:sz w:val="22"/>
      <w:vertAlign w:val="superscript"/>
    </w:rPr>
  </w:style>
  <w:style w:type="paragraph" w:styleId="Header">
    <w:name w:val="header"/>
    <w:basedOn w:val="Normal"/>
    <w:link w:val="HeaderChar"/>
    <w:autoRedefine/>
    <w:rsid w:val="0047226C"/>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47226C"/>
    <w:rPr>
      <w:rFonts w:ascii="Arial" w:eastAsia="Times New Roman" w:hAnsi="Arial" w:cs="Arial"/>
      <w:b/>
      <w:snapToGrid w:val="0"/>
      <w:kern w:val="28"/>
      <w:sz w:val="96"/>
      <w:szCs w:val="96"/>
    </w:rPr>
  </w:style>
  <w:style w:type="paragraph" w:styleId="Footer">
    <w:name w:val="footer"/>
    <w:basedOn w:val="Normal"/>
    <w:link w:val="FooterChar"/>
    <w:uiPriority w:val="99"/>
    <w:rsid w:val="0047226C"/>
    <w:pPr>
      <w:tabs>
        <w:tab w:val="center" w:pos="4320"/>
        <w:tab w:val="right" w:pos="8640"/>
      </w:tabs>
    </w:pPr>
  </w:style>
  <w:style w:type="character" w:customStyle="1" w:styleId="FooterChar">
    <w:name w:val="Footer Char"/>
    <w:basedOn w:val="DefaultParagraphFont"/>
    <w:link w:val="Footer"/>
    <w:uiPriority w:val="99"/>
    <w:rsid w:val="0047226C"/>
    <w:rPr>
      <w:rFonts w:ascii="Times New Roman" w:eastAsia="Times New Roman" w:hAnsi="Times New Roman" w:cs="Times New Roman"/>
      <w:snapToGrid w:val="0"/>
      <w:kern w:val="28"/>
      <w:szCs w:val="20"/>
    </w:rPr>
  </w:style>
  <w:style w:type="character" w:styleId="Hyperlink">
    <w:name w:val="Hyperlink"/>
    <w:uiPriority w:val="99"/>
    <w:rsid w:val="0047226C"/>
    <w:rPr>
      <w:color w:val="0000FF"/>
      <w:u w:val="single"/>
    </w:rPr>
  </w:style>
  <w:style w:type="paragraph" w:customStyle="1" w:styleId="Default">
    <w:name w:val="Default"/>
    <w:rsid w:val="004722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7226C"/>
    <w:pPr>
      <w:ind w:left="720"/>
      <w:contextualSpacing/>
    </w:pPr>
  </w:style>
  <w:style w:type="character" w:customStyle="1" w:styleId="ParaNumChar">
    <w:name w:val="ParaNum Char"/>
    <w:link w:val="ParaNum"/>
    <w:locked/>
    <w:rsid w:val="0047226C"/>
    <w:rPr>
      <w:rFonts w:ascii="Times New Roman" w:eastAsia="Times New Roman" w:hAnsi="Times New Roman" w:cs="Times New Roman"/>
      <w:snapToGrid w:val="0"/>
      <w:kern w:val="28"/>
      <w:szCs w:val="20"/>
    </w:rPr>
  </w:style>
  <w:style w:type="character" w:customStyle="1" w:styleId="acopre">
    <w:name w:val="acopre"/>
    <w:rsid w:val="0047226C"/>
  </w:style>
  <w:style w:type="character" w:styleId="CommentReference">
    <w:name w:val="annotation reference"/>
    <w:uiPriority w:val="99"/>
    <w:semiHidden/>
    <w:unhideWhenUsed/>
    <w:rsid w:val="0047226C"/>
    <w:rPr>
      <w:sz w:val="16"/>
      <w:szCs w:val="16"/>
    </w:rPr>
  </w:style>
  <w:style w:type="paragraph" w:styleId="CommentText">
    <w:name w:val="annotation text"/>
    <w:basedOn w:val="Normal"/>
    <w:link w:val="CommentTextChar"/>
    <w:uiPriority w:val="99"/>
    <w:semiHidden/>
    <w:unhideWhenUsed/>
    <w:rsid w:val="0047226C"/>
    <w:rPr>
      <w:sz w:val="20"/>
    </w:rPr>
  </w:style>
  <w:style w:type="character" w:customStyle="1" w:styleId="CommentTextChar">
    <w:name w:val="Comment Text Char"/>
    <w:basedOn w:val="DefaultParagraphFont"/>
    <w:link w:val="CommentText"/>
    <w:uiPriority w:val="99"/>
    <w:semiHidden/>
    <w:rsid w:val="0047226C"/>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472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6C"/>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0D563D"/>
    <w:rPr>
      <w:b/>
      <w:bCs/>
    </w:rPr>
  </w:style>
  <w:style w:type="character" w:customStyle="1" w:styleId="CommentSubjectChar">
    <w:name w:val="Comment Subject Char"/>
    <w:basedOn w:val="CommentTextChar"/>
    <w:link w:val="CommentSubject"/>
    <w:uiPriority w:val="99"/>
    <w:semiHidden/>
    <w:rsid w:val="000D563D"/>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6D53C4"/>
    <w:pPr>
      <w:spacing w:after="0" w:line="240" w:lineRule="auto"/>
    </w:pPr>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semiHidden/>
    <w:unhideWhenUsed/>
    <w:rsid w:val="00696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Jennifer.holtz@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