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10F68" w:rsidP="00410F68" w14:paraId="7E32FA31" w14:textId="77777777">
      <w:pPr>
        <w:jc w:val="center"/>
        <w:rPr>
          <w:b/>
        </w:rPr>
      </w:pPr>
      <w:r>
        <w:rPr>
          <w:b/>
        </w:rPr>
        <w:t>Before the</w:t>
      </w:r>
    </w:p>
    <w:p w:rsidR="00410F68" w:rsidP="00410F68" w14:paraId="04B51DB8" w14:textId="77777777">
      <w:pPr>
        <w:pStyle w:val="StyleBoldCentered"/>
      </w:pPr>
      <w:r>
        <w:t>F</w:t>
      </w:r>
      <w:r>
        <w:rPr>
          <w:caps w:val="0"/>
        </w:rPr>
        <w:t>ederal Communications Commission</w:t>
      </w:r>
    </w:p>
    <w:p w:rsidR="00410F68" w:rsidP="00410F68" w14:paraId="3341CF52" w14:textId="77777777">
      <w:pPr>
        <w:pStyle w:val="StyleBoldCentered"/>
      </w:pPr>
      <w:r>
        <w:rPr>
          <w:caps w:val="0"/>
        </w:rPr>
        <w:t>Washington, D.C. 20554</w:t>
      </w:r>
    </w:p>
    <w:p w:rsidR="00410F68" w:rsidP="00410F68" w14:paraId="7EBB4E75" w14:textId="77777777"/>
    <w:p w:rsidR="00410F68" w:rsidP="00410F68" w14:paraId="72BDDE41" w14:textId="77777777"/>
    <w:tbl>
      <w:tblPr>
        <w:tblW w:w="0" w:type="auto"/>
        <w:tblLayout w:type="fixed"/>
        <w:tblLook w:val="0000"/>
      </w:tblPr>
      <w:tblGrid>
        <w:gridCol w:w="4698"/>
        <w:gridCol w:w="630"/>
        <w:gridCol w:w="4248"/>
      </w:tblGrid>
      <w:tr w14:paraId="6E30B0A8" w14:textId="77777777" w:rsidTr="000B65C7">
        <w:tblPrEx>
          <w:tblW w:w="0" w:type="auto"/>
          <w:tblLayout w:type="fixed"/>
          <w:tblLook w:val="0000"/>
        </w:tblPrEx>
        <w:tc>
          <w:tcPr>
            <w:tcW w:w="4698" w:type="dxa"/>
          </w:tcPr>
          <w:p w:rsidR="00410F68" w:rsidP="000B65C7" w14:paraId="79045846" w14:textId="77777777">
            <w:pPr>
              <w:tabs>
                <w:tab w:val="center" w:pos="4680"/>
              </w:tabs>
              <w:suppressAutoHyphens/>
              <w:rPr>
                <w:spacing w:val="-2"/>
              </w:rPr>
            </w:pPr>
            <w:r>
              <w:rPr>
                <w:spacing w:val="-2"/>
              </w:rPr>
              <w:t>In the Matter of</w:t>
            </w:r>
          </w:p>
          <w:p w:rsidR="00410F68" w:rsidP="000B65C7" w14:paraId="36BB6E97" w14:textId="77777777">
            <w:pPr>
              <w:tabs>
                <w:tab w:val="center" w:pos="4680"/>
              </w:tabs>
              <w:suppressAutoHyphens/>
              <w:rPr>
                <w:spacing w:val="-2"/>
              </w:rPr>
            </w:pPr>
          </w:p>
          <w:p w:rsidR="00AF6E2C" w:rsidP="000B65C7" w14:paraId="475A1AA2" w14:textId="19950851">
            <w:pPr>
              <w:tabs>
                <w:tab w:val="center" w:pos="4680"/>
              </w:tabs>
              <w:suppressAutoHyphens/>
              <w:rPr>
                <w:spacing w:val="-2"/>
              </w:rPr>
            </w:pPr>
            <w:r>
              <w:rPr>
                <w:spacing w:val="-2"/>
              </w:rPr>
              <w:t>Transition f</w:t>
            </w:r>
            <w:r w:rsidR="002A41A9">
              <w:rPr>
                <w:spacing w:val="-2"/>
              </w:rPr>
              <w:t>rom TTY to Real-Time Text Technology;</w:t>
            </w:r>
            <w:r w:rsidR="00B31F66">
              <w:rPr>
                <w:spacing w:val="-2"/>
              </w:rPr>
              <w:t xml:space="preserve"> Petition for Rulemaking to Update the Commission’s Rules for Access to Suppor</w:t>
            </w:r>
            <w:r w:rsidR="003466D6">
              <w:rPr>
                <w:spacing w:val="-2"/>
              </w:rPr>
              <w:t>t the Transition from TTY to Real-Time Text Technology</w:t>
            </w:r>
            <w:r w:rsidR="00803A7F">
              <w:rPr>
                <w:spacing w:val="-2"/>
              </w:rPr>
              <w:t xml:space="preserve">, and Petition for Waiver of the Rules </w:t>
            </w:r>
            <w:r w:rsidR="005A4867">
              <w:rPr>
                <w:spacing w:val="-2"/>
              </w:rPr>
              <w:t>Requiring the Support of TTY Technology</w:t>
            </w:r>
          </w:p>
          <w:p w:rsidR="00AF6E2C" w:rsidP="000B65C7" w14:paraId="6BC19D0E" w14:textId="77777777">
            <w:pPr>
              <w:tabs>
                <w:tab w:val="center" w:pos="4680"/>
              </w:tabs>
              <w:suppressAutoHyphens/>
              <w:rPr>
                <w:spacing w:val="-2"/>
              </w:rPr>
            </w:pPr>
          </w:p>
          <w:p w:rsidR="00410F68" w:rsidRPr="001F7A15" w:rsidP="000B65C7" w14:paraId="4F8E65C1" w14:textId="7DB31EB0">
            <w:pPr>
              <w:tabs>
                <w:tab w:val="center" w:pos="4680"/>
              </w:tabs>
              <w:suppressAutoHyphens/>
              <w:rPr>
                <w:spacing w:val="-2"/>
              </w:rPr>
            </w:pPr>
            <w:r w:rsidRPr="001F7A15">
              <w:rPr>
                <w:spacing w:val="-2"/>
              </w:rPr>
              <w:t>Petition for Waiver of Rules Requiring Support of TTY Technology</w:t>
            </w:r>
          </w:p>
          <w:p w:rsidR="00410F68" w:rsidP="000B65C7" w14:paraId="24E28138" w14:textId="77777777">
            <w:pPr>
              <w:tabs>
                <w:tab w:val="center" w:pos="4680"/>
              </w:tabs>
              <w:suppressAutoHyphens/>
              <w:rPr>
                <w:spacing w:val="-2"/>
              </w:rPr>
            </w:pPr>
          </w:p>
          <w:p w:rsidR="00410F68" w:rsidRPr="007115F7" w:rsidP="000B65C7" w14:paraId="20840E99" w14:textId="77777777">
            <w:pPr>
              <w:tabs>
                <w:tab w:val="center" w:pos="4680"/>
              </w:tabs>
              <w:suppressAutoHyphens/>
              <w:rPr>
                <w:spacing w:val="-2"/>
              </w:rPr>
            </w:pPr>
            <w:r>
              <w:rPr>
                <w:spacing w:val="-2"/>
              </w:rPr>
              <w:t>United States Cellular Corporation</w:t>
            </w:r>
          </w:p>
        </w:tc>
        <w:tc>
          <w:tcPr>
            <w:tcW w:w="630" w:type="dxa"/>
          </w:tcPr>
          <w:p w:rsidR="00410F68" w:rsidP="000B65C7" w14:paraId="0530C17A" w14:textId="77777777">
            <w:pPr>
              <w:tabs>
                <w:tab w:val="center" w:pos="4680"/>
              </w:tabs>
              <w:suppressAutoHyphens/>
              <w:rPr>
                <w:b/>
                <w:spacing w:val="-2"/>
              </w:rPr>
            </w:pPr>
            <w:r>
              <w:rPr>
                <w:b/>
                <w:spacing w:val="-2"/>
              </w:rPr>
              <w:t>)</w:t>
            </w:r>
          </w:p>
          <w:p w:rsidR="00410F68" w:rsidP="000B65C7" w14:paraId="3A7B1A25" w14:textId="77777777">
            <w:pPr>
              <w:tabs>
                <w:tab w:val="center" w:pos="4680"/>
              </w:tabs>
              <w:suppressAutoHyphens/>
              <w:rPr>
                <w:b/>
                <w:spacing w:val="-2"/>
              </w:rPr>
            </w:pPr>
            <w:r>
              <w:rPr>
                <w:b/>
                <w:spacing w:val="-2"/>
              </w:rPr>
              <w:t>)</w:t>
            </w:r>
          </w:p>
          <w:p w:rsidR="00410F68" w:rsidP="000B65C7" w14:paraId="1FA6D975" w14:textId="77777777">
            <w:pPr>
              <w:tabs>
                <w:tab w:val="center" w:pos="4680"/>
              </w:tabs>
              <w:suppressAutoHyphens/>
              <w:rPr>
                <w:b/>
                <w:spacing w:val="-2"/>
              </w:rPr>
            </w:pPr>
            <w:r>
              <w:rPr>
                <w:b/>
                <w:spacing w:val="-2"/>
              </w:rPr>
              <w:t>)</w:t>
            </w:r>
          </w:p>
          <w:p w:rsidR="00410F68" w:rsidP="000B65C7" w14:paraId="5EF11313" w14:textId="77777777">
            <w:pPr>
              <w:tabs>
                <w:tab w:val="center" w:pos="4680"/>
              </w:tabs>
              <w:suppressAutoHyphens/>
              <w:rPr>
                <w:b/>
                <w:spacing w:val="-2"/>
              </w:rPr>
            </w:pPr>
            <w:r>
              <w:rPr>
                <w:b/>
                <w:spacing w:val="-2"/>
              </w:rPr>
              <w:t>)</w:t>
            </w:r>
          </w:p>
          <w:p w:rsidR="00410F68" w:rsidP="000B65C7" w14:paraId="6175BB3C" w14:textId="77777777">
            <w:pPr>
              <w:tabs>
                <w:tab w:val="center" w:pos="4680"/>
              </w:tabs>
              <w:suppressAutoHyphens/>
              <w:rPr>
                <w:b/>
                <w:spacing w:val="-2"/>
              </w:rPr>
            </w:pPr>
            <w:r>
              <w:rPr>
                <w:b/>
                <w:spacing w:val="-2"/>
              </w:rPr>
              <w:t>)</w:t>
            </w:r>
          </w:p>
          <w:p w:rsidR="00410F68" w:rsidP="000B65C7" w14:paraId="7C9CC5E2" w14:textId="7E20E936">
            <w:pPr>
              <w:tabs>
                <w:tab w:val="center" w:pos="4680"/>
              </w:tabs>
              <w:suppressAutoHyphens/>
              <w:rPr>
                <w:b/>
                <w:spacing w:val="-2"/>
              </w:rPr>
            </w:pPr>
            <w:r>
              <w:rPr>
                <w:b/>
                <w:spacing w:val="-2"/>
              </w:rPr>
              <w:t>)</w:t>
            </w:r>
          </w:p>
          <w:p w:rsidR="00535BE7" w:rsidP="000B65C7" w14:paraId="29B5D6FF" w14:textId="1158DD19">
            <w:pPr>
              <w:tabs>
                <w:tab w:val="center" w:pos="4680"/>
              </w:tabs>
              <w:suppressAutoHyphens/>
              <w:rPr>
                <w:b/>
                <w:spacing w:val="-2"/>
              </w:rPr>
            </w:pPr>
            <w:r>
              <w:rPr>
                <w:b/>
                <w:spacing w:val="-2"/>
              </w:rPr>
              <w:t>)</w:t>
            </w:r>
          </w:p>
          <w:p w:rsidR="00535BE7" w:rsidP="000B65C7" w14:paraId="1926C3F4" w14:textId="2735B6E8">
            <w:pPr>
              <w:tabs>
                <w:tab w:val="center" w:pos="4680"/>
              </w:tabs>
              <w:suppressAutoHyphens/>
              <w:rPr>
                <w:b/>
                <w:spacing w:val="-2"/>
              </w:rPr>
            </w:pPr>
            <w:r>
              <w:rPr>
                <w:b/>
                <w:spacing w:val="-2"/>
              </w:rPr>
              <w:t>)</w:t>
            </w:r>
          </w:p>
          <w:p w:rsidR="00535BE7" w:rsidP="000B65C7" w14:paraId="52B6B42D" w14:textId="69FB300A">
            <w:pPr>
              <w:tabs>
                <w:tab w:val="center" w:pos="4680"/>
              </w:tabs>
              <w:suppressAutoHyphens/>
              <w:rPr>
                <w:b/>
                <w:spacing w:val="-2"/>
              </w:rPr>
            </w:pPr>
            <w:r>
              <w:rPr>
                <w:b/>
                <w:spacing w:val="-2"/>
              </w:rPr>
              <w:t>)</w:t>
            </w:r>
          </w:p>
          <w:p w:rsidR="00535BE7" w:rsidP="000B65C7" w14:paraId="646EED5C" w14:textId="484A323E">
            <w:pPr>
              <w:tabs>
                <w:tab w:val="center" w:pos="4680"/>
              </w:tabs>
              <w:suppressAutoHyphens/>
              <w:rPr>
                <w:b/>
                <w:spacing w:val="-2"/>
              </w:rPr>
            </w:pPr>
            <w:r>
              <w:rPr>
                <w:b/>
                <w:spacing w:val="-2"/>
              </w:rPr>
              <w:t>)</w:t>
            </w:r>
          </w:p>
          <w:p w:rsidR="00AF0BCB" w:rsidP="000B65C7" w14:paraId="61765375" w14:textId="46A9DD75">
            <w:pPr>
              <w:tabs>
                <w:tab w:val="center" w:pos="4680"/>
              </w:tabs>
              <w:suppressAutoHyphens/>
              <w:rPr>
                <w:b/>
                <w:spacing w:val="-2"/>
              </w:rPr>
            </w:pPr>
            <w:r>
              <w:rPr>
                <w:b/>
                <w:spacing w:val="-2"/>
              </w:rPr>
              <w:t>)</w:t>
            </w:r>
          </w:p>
          <w:p w:rsidR="00AF0BCB" w:rsidP="000B65C7" w14:paraId="7DA1B934" w14:textId="14CE92D1">
            <w:pPr>
              <w:tabs>
                <w:tab w:val="center" w:pos="4680"/>
              </w:tabs>
              <w:suppressAutoHyphens/>
              <w:rPr>
                <w:b/>
                <w:spacing w:val="-2"/>
              </w:rPr>
            </w:pPr>
            <w:r>
              <w:rPr>
                <w:b/>
                <w:spacing w:val="-2"/>
              </w:rPr>
              <w:t>)</w:t>
            </w:r>
          </w:p>
          <w:p w:rsidR="00AF0BCB" w:rsidP="000B65C7" w14:paraId="53E329B3" w14:textId="4CC3A6B2">
            <w:pPr>
              <w:tabs>
                <w:tab w:val="center" w:pos="4680"/>
              </w:tabs>
              <w:suppressAutoHyphens/>
              <w:rPr>
                <w:b/>
                <w:spacing w:val="-2"/>
              </w:rPr>
            </w:pPr>
            <w:r>
              <w:rPr>
                <w:b/>
                <w:spacing w:val="-2"/>
              </w:rPr>
              <w:t>)</w:t>
            </w:r>
          </w:p>
          <w:p w:rsidR="00410F68" w:rsidRPr="000513D8" w:rsidP="000B65C7" w14:paraId="25606E2F" w14:textId="77777777">
            <w:pPr>
              <w:tabs>
                <w:tab w:val="center" w:pos="4680"/>
              </w:tabs>
              <w:suppressAutoHyphens/>
              <w:rPr>
                <w:b/>
                <w:spacing w:val="-2"/>
              </w:rPr>
            </w:pPr>
          </w:p>
        </w:tc>
        <w:tc>
          <w:tcPr>
            <w:tcW w:w="4248" w:type="dxa"/>
          </w:tcPr>
          <w:p w:rsidR="00410F68" w:rsidP="000B65C7" w14:paraId="7F6FB6F2" w14:textId="77777777">
            <w:pPr>
              <w:tabs>
                <w:tab w:val="center" w:pos="4680"/>
              </w:tabs>
              <w:suppressAutoHyphens/>
              <w:rPr>
                <w:spacing w:val="-2"/>
              </w:rPr>
            </w:pPr>
          </w:p>
          <w:p w:rsidR="00410F68" w:rsidP="000B65C7" w14:paraId="7BCA52C1" w14:textId="77777777">
            <w:pPr>
              <w:pStyle w:val="TOAHeading"/>
              <w:tabs>
                <w:tab w:val="center" w:pos="4680"/>
                <w:tab w:val="clear" w:pos="9360"/>
              </w:tabs>
              <w:rPr>
                <w:spacing w:val="-2"/>
              </w:rPr>
            </w:pPr>
          </w:p>
          <w:p w:rsidR="00410F68" w:rsidP="000B65C7" w14:paraId="70F2F434" w14:textId="07FBECBF">
            <w:pPr>
              <w:tabs>
                <w:tab w:val="center" w:pos="4680"/>
              </w:tabs>
              <w:suppressAutoHyphens/>
              <w:rPr>
                <w:spacing w:val="-2"/>
              </w:rPr>
            </w:pPr>
            <w:r>
              <w:rPr>
                <w:spacing w:val="-2"/>
              </w:rPr>
              <w:t>CG</w:t>
            </w:r>
            <w:r w:rsidRPr="001F7A15">
              <w:rPr>
                <w:spacing w:val="-2"/>
              </w:rPr>
              <w:t xml:space="preserve"> Docket No. 1</w:t>
            </w:r>
            <w:r w:rsidR="00AF0BCB">
              <w:rPr>
                <w:spacing w:val="-2"/>
              </w:rPr>
              <w:t>6</w:t>
            </w:r>
            <w:r w:rsidR="00AD2EFA">
              <w:rPr>
                <w:spacing w:val="-2"/>
              </w:rPr>
              <w:t>-145</w:t>
            </w:r>
          </w:p>
          <w:p w:rsidR="00AD2EFA" w:rsidP="000B65C7" w14:paraId="611B8A34" w14:textId="77777777">
            <w:pPr>
              <w:tabs>
                <w:tab w:val="center" w:pos="4680"/>
              </w:tabs>
              <w:suppressAutoHyphens/>
              <w:rPr>
                <w:spacing w:val="-2"/>
              </w:rPr>
            </w:pPr>
          </w:p>
          <w:p w:rsidR="00AD2EFA" w:rsidP="000B65C7" w14:paraId="0DFD0907" w14:textId="77777777">
            <w:pPr>
              <w:tabs>
                <w:tab w:val="center" w:pos="4680"/>
              </w:tabs>
              <w:suppressAutoHyphens/>
              <w:rPr>
                <w:spacing w:val="-2"/>
              </w:rPr>
            </w:pPr>
          </w:p>
          <w:p w:rsidR="00AD2EFA" w:rsidP="000B65C7" w14:paraId="7D4D51EE" w14:textId="77777777">
            <w:pPr>
              <w:tabs>
                <w:tab w:val="center" w:pos="4680"/>
              </w:tabs>
              <w:suppressAutoHyphens/>
              <w:rPr>
                <w:spacing w:val="-2"/>
              </w:rPr>
            </w:pPr>
          </w:p>
          <w:p w:rsidR="00AD2EFA" w:rsidP="000B65C7" w14:paraId="1BF056BB" w14:textId="77777777">
            <w:pPr>
              <w:tabs>
                <w:tab w:val="center" w:pos="4680"/>
              </w:tabs>
              <w:suppressAutoHyphens/>
              <w:rPr>
                <w:spacing w:val="-2"/>
              </w:rPr>
            </w:pPr>
          </w:p>
          <w:p w:rsidR="00AD2EFA" w:rsidP="000B65C7" w14:paraId="0DEE248D" w14:textId="77777777">
            <w:pPr>
              <w:tabs>
                <w:tab w:val="center" w:pos="4680"/>
              </w:tabs>
              <w:suppressAutoHyphens/>
              <w:rPr>
                <w:spacing w:val="-2"/>
              </w:rPr>
            </w:pPr>
          </w:p>
          <w:p w:rsidR="00AD2EFA" w:rsidP="000B65C7" w14:paraId="1B074F37" w14:textId="77777777">
            <w:pPr>
              <w:tabs>
                <w:tab w:val="center" w:pos="4680"/>
              </w:tabs>
              <w:suppressAutoHyphens/>
              <w:rPr>
                <w:spacing w:val="-2"/>
              </w:rPr>
            </w:pPr>
          </w:p>
          <w:p w:rsidR="00AD2EFA" w:rsidP="000B65C7" w14:paraId="1BD5A53C" w14:textId="2A9271A7">
            <w:pPr>
              <w:tabs>
                <w:tab w:val="center" w:pos="4680"/>
              </w:tabs>
              <w:suppressAutoHyphens/>
              <w:rPr>
                <w:spacing w:val="-2"/>
              </w:rPr>
            </w:pPr>
            <w:r>
              <w:rPr>
                <w:spacing w:val="-2"/>
              </w:rPr>
              <w:t>GN Docket No. 15-</w:t>
            </w:r>
            <w:r w:rsidR="001762EE">
              <w:rPr>
                <w:spacing w:val="-2"/>
              </w:rPr>
              <w:t>178</w:t>
            </w:r>
          </w:p>
        </w:tc>
      </w:tr>
    </w:tbl>
    <w:p w:rsidR="00410F68" w:rsidP="00410F68" w14:paraId="66DB0EFD" w14:textId="77777777">
      <w:pPr>
        <w:pStyle w:val="StyleBoldCentered"/>
      </w:pPr>
      <w:r w:rsidRPr="001F7A15">
        <w:t>Order</w:t>
      </w:r>
    </w:p>
    <w:p w:rsidR="00410F68" w:rsidP="00410F68" w14:paraId="7CDAFDA3" w14:textId="77777777">
      <w:pPr>
        <w:tabs>
          <w:tab w:val="left" w:pos="-720"/>
        </w:tabs>
        <w:suppressAutoHyphens/>
        <w:spacing w:line="227" w:lineRule="auto"/>
        <w:rPr>
          <w:spacing w:val="-2"/>
        </w:rPr>
      </w:pPr>
    </w:p>
    <w:p w:rsidR="00410F68" w:rsidP="00410F68" w14:paraId="78414E79" w14:textId="05A2168D">
      <w:pPr>
        <w:tabs>
          <w:tab w:val="left" w:pos="720"/>
          <w:tab w:val="right" w:pos="9360"/>
        </w:tabs>
        <w:suppressAutoHyphens/>
        <w:spacing w:line="227" w:lineRule="auto"/>
        <w:rPr>
          <w:spacing w:val="-2"/>
        </w:rPr>
      </w:pPr>
      <w:r>
        <w:rPr>
          <w:b/>
          <w:spacing w:val="-2"/>
        </w:rPr>
        <w:t xml:space="preserve">Adopted:   </w:t>
      </w:r>
      <w:r w:rsidR="00F916EE">
        <w:rPr>
          <w:b/>
          <w:spacing w:val="-2"/>
        </w:rPr>
        <w:t>December 22</w:t>
      </w:r>
      <w:r>
        <w:rPr>
          <w:b/>
          <w:spacing w:val="-2"/>
        </w:rPr>
        <w:t>, 2020</w:t>
      </w:r>
      <w:r>
        <w:rPr>
          <w:b/>
          <w:spacing w:val="-2"/>
        </w:rPr>
        <w:tab/>
        <w:t xml:space="preserve">Released:   </w:t>
      </w:r>
      <w:r w:rsidR="00F916EE">
        <w:rPr>
          <w:b/>
          <w:spacing w:val="-2"/>
        </w:rPr>
        <w:t>December 22</w:t>
      </w:r>
      <w:bookmarkStart w:id="0" w:name="_GoBack"/>
      <w:bookmarkEnd w:id="0"/>
      <w:r>
        <w:rPr>
          <w:b/>
          <w:spacing w:val="-2"/>
        </w:rPr>
        <w:t>, 2020</w:t>
      </w:r>
    </w:p>
    <w:p w:rsidR="00410F68" w:rsidP="00410F68" w14:paraId="7C6C6653" w14:textId="77777777"/>
    <w:p w:rsidR="00410F68" w:rsidP="00410F68" w14:paraId="659E6D6B" w14:textId="3F1064CA">
      <w:pPr>
        <w:rPr>
          <w:spacing w:val="-2"/>
        </w:rPr>
      </w:pPr>
      <w:r>
        <w:t xml:space="preserve">By the </w:t>
      </w:r>
      <w:r w:rsidRPr="001F7A15">
        <w:rPr>
          <w:spacing w:val="-2"/>
        </w:rPr>
        <w:t>Chief, Consumer and Governmental Affairs Bureau</w:t>
      </w:r>
      <w:r>
        <w:rPr>
          <w:spacing w:val="-2"/>
        </w:rPr>
        <w:t>:</w:t>
      </w:r>
    </w:p>
    <w:p w:rsidR="00410F68" w:rsidP="00410F68" w14:paraId="554D55E7" w14:textId="77777777"/>
    <w:p w:rsidR="00410F68" w:rsidRPr="001F7A15" w:rsidP="00410F68" w14:paraId="12E56772" w14:textId="77777777">
      <w:pPr>
        <w:pStyle w:val="Heading1"/>
      </w:pPr>
      <w:r>
        <w:t>Introduction</w:t>
      </w:r>
    </w:p>
    <w:p w:rsidR="00410F68" w:rsidRPr="001F7A15" w:rsidP="00410F68" w14:paraId="05BE42CE" w14:textId="2D946420">
      <w:pPr>
        <w:pStyle w:val="ParaNum"/>
      </w:pPr>
      <w:r w:rsidRPr="001F7A15">
        <w:t>By this Order, the Consumer and Governmental Affairs Bureau</w:t>
      </w:r>
      <w:r>
        <w:t xml:space="preserve"> (CGB</w:t>
      </w:r>
      <w:r w:rsidR="00646A6C">
        <w:t xml:space="preserve"> or Bureau</w:t>
      </w:r>
      <w:r>
        <w:t>)</w:t>
      </w:r>
      <w:r w:rsidR="00B3663D">
        <w:t xml:space="preserve"> </w:t>
      </w:r>
      <w:r w:rsidRPr="001F7A15">
        <w:t>of the Federal Communications Commission (FCC or Commission) grant</w:t>
      </w:r>
      <w:r w:rsidR="008679CE">
        <w:t>s</w:t>
      </w:r>
      <w:r w:rsidRPr="001F7A15">
        <w:t xml:space="preserve"> </w:t>
      </w:r>
      <w:r>
        <w:t>United States Cellular Corporation (US Cellular)</w:t>
      </w:r>
      <w:r>
        <w:rPr>
          <w:rStyle w:val="FootnoteReference"/>
        </w:rPr>
        <w:footnoteReference w:id="3"/>
      </w:r>
      <w:r>
        <w:t xml:space="preserve"> a</w:t>
      </w:r>
      <w:r w:rsidR="003264BE">
        <w:t xml:space="preserve"> </w:t>
      </w:r>
      <w:r w:rsidR="00AC69C7">
        <w:t>retroactive</w:t>
      </w:r>
      <w:r>
        <w:t xml:space="preserve"> extension of </w:t>
      </w:r>
      <w:r w:rsidR="002F657E">
        <w:t xml:space="preserve">a </w:t>
      </w:r>
      <w:r w:rsidR="00335AF2">
        <w:t xml:space="preserve">previously granted </w:t>
      </w:r>
      <w:r w:rsidRPr="001F7A15">
        <w:t>waive</w:t>
      </w:r>
      <w:r>
        <w:t>r</w:t>
      </w:r>
      <w:r w:rsidR="004E4D54">
        <w:t xml:space="preserve"> </w:t>
      </w:r>
      <w:r>
        <w:t xml:space="preserve">of </w:t>
      </w:r>
      <w:r w:rsidRPr="001F7A15">
        <w:t xml:space="preserve">the Commission’s </w:t>
      </w:r>
      <w:r w:rsidR="005A20F6">
        <w:t>accessibility</w:t>
      </w:r>
      <w:r w:rsidR="00A957D4">
        <w:t xml:space="preserve"> </w:t>
      </w:r>
      <w:r w:rsidR="00394D4C">
        <w:t xml:space="preserve">rules </w:t>
      </w:r>
      <w:r w:rsidR="00A957D4">
        <w:t xml:space="preserve">to the extent they </w:t>
      </w:r>
      <w:r w:rsidR="00394D4C">
        <w:t>requir</w:t>
      </w:r>
      <w:r w:rsidR="00A957D4">
        <w:t>e</w:t>
      </w:r>
      <w:r w:rsidR="00EB225A">
        <w:t xml:space="preserve"> </w:t>
      </w:r>
      <w:r w:rsidR="00D3686E">
        <w:t>C</w:t>
      </w:r>
      <w:r w:rsidR="00EB225A">
        <w:t xml:space="preserve">ommercial </w:t>
      </w:r>
      <w:r w:rsidR="00D3686E">
        <w:t>Mobile Radio S</w:t>
      </w:r>
      <w:r w:rsidR="00EB225A">
        <w:t>ervice</w:t>
      </w:r>
      <w:r w:rsidR="00D3686E">
        <w:t>s (CMRS)</w:t>
      </w:r>
      <w:r w:rsidR="00EB225A">
        <w:t xml:space="preserve"> providers</w:t>
      </w:r>
      <w:r w:rsidR="00F830E6">
        <w:t xml:space="preserve">, telecommunications carriers, </w:t>
      </w:r>
      <w:r w:rsidR="00325501">
        <w:t>and advanced communication service (ACS) providers</w:t>
      </w:r>
      <w:r w:rsidR="00EB225A">
        <w:t xml:space="preserve"> to </w:t>
      </w:r>
      <w:r w:rsidRPr="001F7A15">
        <w:t>support text telephony (TTY) technology.</w:t>
      </w:r>
      <w:r>
        <w:rPr>
          <w:rStyle w:val="FootnoteReference"/>
        </w:rPr>
        <w:footnoteReference w:id="4"/>
      </w:r>
      <w:r w:rsidRPr="001F7A15">
        <w:t xml:space="preserve">  </w:t>
      </w:r>
      <w:r w:rsidR="003842C5">
        <w:t xml:space="preserve">The </w:t>
      </w:r>
      <w:r w:rsidR="008A08B4">
        <w:t xml:space="preserve">previously granted </w:t>
      </w:r>
      <w:r w:rsidR="003842C5">
        <w:t>waiver expired June 30, 2020</w:t>
      </w:r>
      <w:r w:rsidR="00740F6A">
        <w:t>.</w:t>
      </w:r>
      <w:r>
        <w:rPr>
          <w:rStyle w:val="FootnoteReference"/>
        </w:rPr>
        <w:footnoteReference w:id="5"/>
      </w:r>
      <w:r w:rsidR="00740F6A">
        <w:t xml:space="preserve">  </w:t>
      </w:r>
      <w:r w:rsidRPr="001F7A15">
        <w:t xml:space="preserve">This </w:t>
      </w:r>
      <w:r w:rsidR="00D52877">
        <w:t xml:space="preserve">extension of US Cellular’s </w:t>
      </w:r>
      <w:r w:rsidRPr="001F7A15">
        <w:t xml:space="preserve">waiver </w:t>
      </w:r>
      <w:r>
        <w:t xml:space="preserve">of the Commission’s TTY support requirements </w:t>
      </w:r>
      <w:r w:rsidR="00004B3B">
        <w:t>is retroactive</w:t>
      </w:r>
      <w:r w:rsidR="00042A7F">
        <w:t xml:space="preserve"> </w:t>
      </w:r>
      <w:r w:rsidR="00890328">
        <w:t xml:space="preserve">only </w:t>
      </w:r>
      <w:r w:rsidR="00042A7F">
        <w:t xml:space="preserve">and applies </w:t>
      </w:r>
      <w:r w:rsidR="00004B3B">
        <w:t xml:space="preserve">to </w:t>
      </w:r>
      <w:r w:rsidR="00890328">
        <w:t xml:space="preserve">the period from </w:t>
      </w:r>
      <w:r w:rsidR="00004B3B">
        <w:t xml:space="preserve">July 1 </w:t>
      </w:r>
      <w:r w:rsidR="00890328">
        <w:t>through October 26</w:t>
      </w:r>
      <w:r>
        <w:t>, 2020.</w:t>
      </w:r>
    </w:p>
    <w:p w:rsidR="00410F68" w:rsidRPr="001F7A15" w:rsidP="00410F68" w14:paraId="6F1589C3" w14:textId="77777777">
      <w:pPr>
        <w:pStyle w:val="Heading1"/>
      </w:pPr>
      <w:r w:rsidRPr="001F7A15">
        <w:t>Background</w:t>
      </w:r>
    </w:p>
    <w:p w:rsidR="00E609A0" w:rsidRPr="00461B10" w:rsidP="00DA740B" w14:paraId="2A801BD9" w14:textId="2AF47DF9">
      <w:pPr>
        <w:pStyle w:val="ParaNum"/>
        <w:widowControl/>
      </w:pPr>
      <w:r w:rsidRPr="00E609A0">
        <w:rPr>
          <w:i/>
          <w:iCs/>
        </w:rPr>
        <w:t>TTY-RTT Transition.</w:t>
      </w:r>
      <w:r w:rsidR="001C4294">
        <w:rPr>
          <w:i/>
          <w:iCs/>
        </w:rPr>
        <w:t xml:space="preserve"> </w:t>
      </w:r>
      <w:r>
        <w:t xml:space="preserve"> </w:t>
      </w:r>
      <w:r w:rsidR="0078275A">
        <w:t>Section</w:t>
      </w:r>
      <w:r w:rsidR="0087724D">
        <w:t>s 225</w:t>
      </w:r>
      <w:r w:rsidR="00C672B7">
        <w:t>,</w:t>
      </w:r>
      <w:r w:rsidR="0078275A">
        <w:t xml:space="preserve"> 25</w:t>
      </w:r>
      <w:r w:rsidR="000F1CDA">
        <w:t>5</w:t>
      </w:r>
      <w:r w:rsidR="00C672B7">
        <w:t xml:space="preserve">, </w:t>
      </w:r>
      <w:r w:rsidR="0067371A">
        <w:t>and 617</w:t>
      </w:r>
      <w:r w:rsidR="000F1CDA">
        <w:t xml:space="preserve"> of the Communications Act of 1934, as amended (the Act),</w:t>
      </w:r>
      <w:r>
        <w:rPr>
          <w:rStyle w:val="FootnoteReference"/>
        </w:rPr>
        <w:footnoteReference w:id="6"/>
      </w:r>
      <w:r w:rsidR="00DF0841">
        <w:t xml:space="preserve"> require the Commission to adopt rules</w:t>
      </w:r>
      <w:r w:rsidR="00842C88">
        <w:t xml:space="preserve"> to ensure that </w:t>
      </w:r>
      <w:r w:rsidR="00FE3525">
        <w:t xml:space="preserve">certain </w:t>
      </w:r>
      <w:r w:rsidR="00842C88">
        <w:t>communications</w:t>
      </w:r>
      <w:r w:rsidR="007311D6">
        <w:t xml:space="preserve"> </w:t>
      </w:r>
      <w:r w:rsidR="00842C88">
        <w:t xml:space="preserve">services </w:t>
      </w:r>
      <w:r w:rsidR="003A0BCF">
        <w:t xml:space="preserve">and equipment </w:t>
      </w:r>
      <w:r w:rsidR="00842C88">
        <w:t xml:space="preserve">are accessible </w:t>
      </w:r>
      <w:r w:rsidR="00473385">
        <w:t xml:space="preserve">to persons with disabilities.  </w:t>
      </w:r>
      <w:r w:rsidR="00A51500">
        <w:t>Pursuant to th</w:t>
      </w:r>
      <w:r w:rsidR="00484E01">
        <w:t xml:space="preserve">ese </w:t>
      </w:r>
      <w:r w:rsidR="00AD28B5">
        <w:t>and other provisions of the Act</w:t>
      </w:r>
      <w:r w:rsidR="00484E01">
        <w:t>,</w:t>
      </w:r>
      <w:r>
        <w:rPr>
          <w:rStyle w:val="FootnoteReference"/>
        </w:rPr>
        <w:footnoteReference w:id="7"/>
      </w:r>
      <w:r w:rsidR="00484E01">
        <w:t xml:space="preserve"> the Commission’s rules </w:t>
      </w:r>
      <w:r w:rsidRPr="001F7A15">
        <w:t xml:space="preserve"> </w:t>
      </w:r>
      <w:r w:rsidR="00207F29">
        <w:t xml:space="preserve">require </w:t>
      </w:r>
      <w:r w:rsidR="00810AD3">
        <w:t xml:space="preserve">that </w:t>
      </w:r>
      <w:r w:rsidR="004A4ED2">
        <w:t>mobile service</w:t>
      </w:r>
      <w:r w:rsidR="00810AD3">
        <w:t>s</w:t>
      </w:r>
      <w:r w:rsidR="004A4ED2">
        <w:t xml:space="preserve"> </w:t>
      </w:r>
      <w:r w:rsidR="00A961CE">
        <w:t>be</w:t>
      </w:r>
      <w:r w:rsidR="0039214A">
        <w:t xml:space="preserve"> accessible to and usable by </w:t>
      </w:r>
      <w:r w:rsidR="00BB2DDE">
        <w:t xml:space="preserve">individuals with disabilities, including </w:t>
      </w:r>
      <w:r w:rsidR="00B52477">
        <w:t>consumers reliant on TTYs</w:t>
      </w:r>
      <w:r w:rsidRPr="001F7A15">
        <w:t>.</w:t>
      </w:r>
      <w:r>
        <w:rPr>
          <w:rStyle w:val="FootnoteReference"/>
        </w:rPr>
        <w:footnoteReference w:id="8"/>
      </w:r>
      <w:r w:rsidRPr="001F7A15">
        <w:t xml:space="preserve">  Section </w:t>
      </w:r>
      <w:r>
        <w:t>9</w:t>
      </w:r>
      <w:r w:rsidRPr="001F7A15">
        <w:t>.1</w:t>
      </w:r>
      <w:r>
        <w:t>0</w:t>
      </w:r>
      <w:r w:rsidRPr="001F7A15">
        <w:t xml:space="preserve">(c) </w:t>
      </w:r>
      <w:r>
        <w:t xml:space="preserve">(formerly 20.18(c)) </w:t>
      </w:r>
      <w:r w:rsidRPr="001F7A15">
        <w:t>of the Commission’s rules requires covered CMRS providers to be capable of transmitting 911 calls from individuals who are deaf, hard of hearing,</w:t>
      </w:r>
      <w:r w:rsidR="00A647E3">
        <w:t xml:space="preserve"> deafblind,</w:t>
      </w:r>
      <w:r w:rsidRPr="001F7A15">
        <w:t xml:space="preserve"> or</w:t>
      </w:r>
      <w:r w:rsidR="00A647E3">
        <w:t xml:space="preserve"> </w:t>
      </w:r>
      <w:r w:rsidR="002F1A27">
        <w:t xml:space="preserve">who </w:t>
      </w:r>
      <w:r w:rsidR="00A647E3">
        <w:t>have a</w:t>
      </w:r>
      <w:r w:rsidRPr="001F7A15">
        <w:t xml:space="preserve"> speech </w:t>
      </w:r>
      <w:r w:rsidR="00A647E3">
        <w:t>disability</w:t>
      </w:r>
      <w:r w:rsidRPr="001F7A15">
        <w:t>, through means other than mobile radio handsets, such as TTY technology.</w:t>
      </w:r>
      <w:r>
        <w:rPr>
          <w:rStyle w:val="FootnoteReference"/>
        </w:rPr>
        <w:footnoteReference w:id="9"/>
      </w:r>
      <w:r w:rsidRPr="001F7A15">
        <w:t xml:space="preserve">  Section 64.603</w:t>
      </w:r>
      <w:r w:rsidR="00970244">
        <w:t>(a)</w:t>
      </w:r>
      <w:r w:rsidRPr="001F7A15">
        <w:t xml:space="preserve"> requires common carriers, including VoIP providers, to offer 711 abbreviated dialing access to traditional telecommunications relay services (TRS) via a voice telephone or TTY.</w:t>
      </w:r>
      <w:r>
        <w:rPr>
          <w:rStyle w:val="FootnoteReference"/>
        </w:rPr>
        <w:footnoteReference w:id="10"/>
      </w:r>
      <w:r w:rsidRPr="001F7A15">
        <w:t xml:space="preserve">  Additionally, </w:t>
      </w:r>
      <w:r w:rsidR="00390E9F">
        <w:t xml:space="preserve">Parts 6, 7, and 14 </w:t>
      </w:r>
      <w:r w:rsidR="001630FD">
        <w:t>of the Commission’s rules</w:t>
      </w:r>
      <w:r w:rsidRPr="001F7A15">
        <w:t xml:space="preserve"> </w:t>
      </w:r>
      <w:r w:rsidR="00390E9F">
        <w:t xml:space="preserve">require that </w:t>
      </w:r>
      <w:r w:rsidRPr="001F7A15">
        <w:t xml:space="preserve">telecommunications services and equipment and advanced communication services and equipment </w:t>
      </w:r>
      <w:r w:rsidR="00390E9F">
        <w:t>be accessible and usable by individuals with disabilities</w:t>
      </w:r>
      <w:r w:rsidR="00EB4293">
        <w:t xml:space="preserve">, subject to </w:t>
      </w:r>
      <w:r w:rsidR="00257361">
        <w:t>“achievability” conditions</w:t>
      </w:r>
      <w:r w:rsidRPr="001F7A15">
        <w:t>.</w:t>
      </w:r>
      <w:r>
        <w:rPr>
          <w:rStyle w:val="FootnoteReference"/>
        </w:rPr>
        <w:footnoteReference w:id="11"/>
      </w:r>
      <w:r w:rsidRPr="001F7A15">
        <w:t xml:space="preserve"> </w:t>
      </w:r>
      <w:r w:rsidR="00390E9F">
        <w:t xml:space="preserve"> Among the specific requirements of the</w:t>
      </w:r>
      <w:r w:rsidR="00C567D8">
        <w:t>se</w:t>
      </w:r>
      <w:r w:rsidR="00390E9F">
        <w:t xml:space="preserve"> </w:t>
      </w:r>
      <w:r w:rsidR="00C567D8">
        <w:t>rules</w:t>
      </w:r>
      <w:r w:rsidR="00390E9F">
        <w:t xml:space="preserve"> are requirements for TTY connectability and TTY signal compatibility.</w:t>
      </w:r>
      <w:r>
        <w:rPr>
          <w:rStyle w:val="FootnoteReference"/>
        </w:rPr>
        <w:footnoteReference w:id="12"/>
      </w:r>
    </w:p>
    <w:p w:rsidR="00E609A0" w:rsidP="00DA740B" w14:paraId="1AA441E1" w14:textId="36416C90">
      <w:pPr>
        <w:pStyle w:val="ParaNum"/>
        <w:widowControl/>
      </w:pPr>
      <w:r>
        <w:t>TTYs, which were designed for use on analog, circuit-switched networks, are essentially unusable on IP networks.</w:t>
      </w:r>
      <w:r>
        <w:rPr>
          <w:rStyle w:val="FootnoteReference"/>
        </w:rPr>
        <w:footnoteReference w:id="13"/>
      </w:r>
      <w:r>
        <w:t xml:space="preserve">  </w:t>
      </w:r>
      <w:r w:rsidR="009426C1">
        <w:t xml:space="preserve">Therefore, beginning in 2015, </w:t>
      </w:r>
      <w:r w:rsidR="00A87BA1">
        <w:t xml:space="preserve">various </w:t>
      </w:r>
      <w:r w:rsidR="009426C1">
        <w:t xml:space="preserve">CMRS providers </w:t>
      </w:r>
      <w:r w:rsidR="002B6A6C">
        <w:t xml:space="preserve">that were preparing </w:t>
      </w:r>
      <w:r>
        <w:t xml:space="preserve">to deploy IP-based networks, </w:t>
      </w:r>
      <w:r w:rsidR="004234C6">
        <w:t xml:space="preserve">which support </w:t>
      </w:r>
      <w:r>
        <w:t xml:space="preserve">voice services such as Voice over LTE (VoLTE) and Wi-Fi calling, </w:t>
      </w:r>
      <w:r w:rsidR="00AF7AA5">
        <w:t xml:space="preserve">requested and were granted temporary waivers of </w:t>
      </w:r>
      <w:r w:rsidRPr="00AF7B03" w:rsidR="00AF7B03">
        <w:t>sections 6.5, 7.5, 14.20,</w:t>
      </w:r>
      <w:r w:rsidR="00AF7B03">
        <w:t xml:space="preserve"> </w:t>
      </w:r>
      <w:r w:rsidRPr="00AF7B03" w:rsidR="00AF7B03">
        <w:t>20.18(c)</w:t>
      </w:r>
      <w:r w:rsidR="00AF7B03">
        <w:t xml:space="preserve"> (now 9.10(c))</w:t>
      </w:r>
      <w:r w:rsidRPr="00AF7B03" w:rsidR="00AF7B03">
        <w:t>, and 64.603</w:t>
      </w:r>
      <w:r w:rsidR="00AF7B03">
        <w:t xml:space="preserve"> of </w:t>
      </w:r>
      <w:r w:rsidR="00AF7AA5">
        <w:t xml:space="preserve">the </w:t>
      </w:r>
      <w:r w:rsidR="00081999">
        <w:t>Commission</w:t>
      </w:r>
      <w:r w:rsidR="00AF7B03">
        <w:t>’s</w:t>
      </w:r>
      <w:r w:rsidR="00081999">
        <w:t xml:space="preserve"> </w:t>
      </w:r>
      <w:r w:rsidR="00AF7AA5">
        <w:t>rules</w:t>
      </w:r>
      <w:r w:rsidR="00AF7B03">
        <w:t>, to the extent that those rules</w:t>
      </w:r>
      <w:r w:rsidR="00BB1F64">
        <w:t xml:space="preserve"> requir</w:t>
      </w:r>
      <w:r w:rsidR="00AF7B03">
        <w:t>e</w:t>
      </w:r>
      <w:r w:rsidR="00BB1F64">
        <w:t xml:space="preserve"> support of TTY technology</w:t>
      </w:r>
      <w:r>
        <w:t>.</w:t>
      </w:r>
      <w:r>
        <w:rPr>
          <w:rStyle w:val="FootnoteReference"/>
        </w:rPr>
        <w:footnoteReference w:id="14"/>
      </w:r>
      <w:r>
        <w:t xml:space="preserve">  </w:t>
      </w:r>
      <w:r w:rsidR="00F23643">
        <w:t>As a res</w:t>
      </w:r>
      <w:r w:rsidR="00180895">
        <w:t xml:space="preserve">ult of these waivers, </w:t>
      </w:r>
      <w:r w:rsidR="002714D8">
        <w:t xml:space="preserve">which were granted based on the providers’ representations that they were working to develop and implement a successor technology, </w:t>
      </w:r>
      <w:r w:rsidR="00403017">
        <w:t xml:space="preserve">such as </w:t>
      </w:r>
      <w:r w:rsidR="002714D8">
        <w:t>real-time text (RTT),</w:t>
      </w:r>
      <w:r>
        <w:rPr>
          <w:rStyle w:val="FootnoteReference"/>
        </w:rPr>
        <w:footnoteReference w:id="15"/>
      </w:r>
      <w:r w:rsidR="002714D8">
        <w:t xml:space="preserve">  </w:t>
      </w:r>
      <w:r w:rsidR="00180895">
        <w:t xml:space="preserve">the </w:t>
      </w:r>
      <w:r w:rsidR="00403017">
        <w:t xml:space="preserve">grantees </w:t>
      </w:r>
      <w:r w:rsidR="002714D8">
        <w:t xml:space="preserve">were </w:t>
      </w:r>
      <w:r w:rsidR="0094153F">
        <w:t xml:space="preserve">temporarily </w:t>
      </w:r>
      <w:r w:rsidR="002714D8">
        <w:t xml:space="preserve">relieved from </w:t>
      </w:r>
      <w:r w:rsidR="00180895">
        <w:t>the</w:t>
      </w:r>
      <w:r w:rsidR="00403017">
        <w:t xml:space="preserve">ir obligations to support </w:t>
      </w:r>
      <w:r w:rsidR="0094153F">
        <w:t xml:space="preserve">the use of </w:t>
      </w:r>
      <w:r w:rsidR="00180895">
        <w:t>TTY</w:t>
      </w:r>
      <w:r w:rsidR="0094153F">
        <w:t xml:space="preserve"> technology</w:t>
      </w:r>
      <w:r w:rsidR="00180895">
        <w:t xml:space="preserve"> </w:t>
      </w:r>
      <w:r w:rsidR="00AC6648">
        <w:t>on IP-based networks</w:t>
      </w:r>
      <w:r w:rsidR="00403017">
        <w:t xml:space="preserve">.  By granting such waivers, </w:t>
      </w:r>
      <w:r w:rsidR="00B96893">
        <w:t>t</w:t>
      </w:r>
      <w:r w:rsidR="009C0130">
        <w:t xml:space="preserve">he Commission </w:t>
      </w:r>
      <w:r w:rsidR="0094153F">
        <w:t xml:space="preserve">permitted </w:t>
      </w:r>
      <w:r w:rsidR="009C0130">
        <w:t>CMRS providers</w:t>
      </w:r>
      <w:r w:rsidR="0094153F">
        <w:t xml:space="preserve"> to begin operating IP-based mobile networks for a limited period without the burden of TTY compliance, thus allowing time</w:t>
      </w:r>
      <w:r w:rsidR="009C0130">
        <w:t xml:space="preserve"> </w:t>
      </w:r>
      <w:r w:rsidR="0094153F">
        <w:t xml:space="preserve">for the providers </w:t>
      </w:r>
      <w:r w:rsidRPr="00403017" w:rsidR="00403017">
        <w:t xml:space="preserve">to develop and deploy </w:t>
      </w:r>
      <w:r w:rsidR="00066972">
        <w:t>an alternative accessibility solution</w:t>
      </w:r>
      <w:r w:rsidR="00403017">
        <w:t xml:space="preserve"> </w:t>
      </w:r>
      <w:r w:rsidR="00066972">
        <w:t>for</w:t>
      </w:r>
      <w:r w:rsidR="00E55E29">
        <w:t xml:space="preserve"> IP-based </w:t>
      </w:r>
      <w:r w:rsidR="002F09E4">
        <w:t>networks</w:t>
      </w:r>
      <w:r w:rsidR="00403017">
        <w:t xml:space="preserve">—and for the Commission to </w:t>
      </w:r>
      <w:r w:rsidR="005410FE">
        <w:t>conduct</w:t>
      </w:r>
      <w:r w:rsidR="00403017">
        <w:t xml:space="preserve"> a rulemaking</w:t>
      </w:r>
      <w:r w:rsidR="00692A03">
        <w:t xml:space="preserve"> to recognize </w:t>
      </w:r>
      <w:r w:rsidR="00D86C22">
        <w:t>RTT</w:t>
      </w:r>
      <w:r w:rsidR="00403017">
        <w:t xml:space="preserve"> as </w:t>
      </w:r>
      <w:r w:rsidR="00692A03">
        <w:t>such a permissible</w:t>
      </w:r>
      <w:r w:rsidR="00403017">
        <w:t xml:space="preserve"> </w:t>
      </w:r>
      <w:r w:rsidR="00692A03">
        <w:t xml:space="preserve">accessibility </w:t>
      </w:r>
      <w:r w:rsidR="00403017">
        <w:t>solution</w:t>
      </w:r>
      <w:r w:rsidR="00F362E5">
        <w:t>.</w:t>
      </w:r>
      <w:r>
        <w:rPr>
          <w:rStyle w:val="FootnoteReference"/>
        </w:rPr>
        <w:footnoteReference w:id="16"/>
      </w:r>
      <w:r w:rsidR="00066972">
        <w:t xml:space="preserve"> </w:t>
      </w:r>
      <w:r w:rsidR="00403017">
        <w:t xml:space="preserve"> </w:t>
      </w:r>
      <w:r w:rsidR="001E3EEC">
        <w:t>Th</w:t>
      </w:r>
      <w:r w:rsidR="001D3F98">
        <w:t xml:space="preserve">e waivers </w:t>
      </w:r>
      <w:r w:rsidR="00AA0AA3">
        <w:t xml:space="preserve">were set to </w:t>
      </w:r>
      <w:r w:rsidR="001D3F98">
        <w:t>exp</w:t>
      </w:r>
      <w:r w:rsidR="0077353F">
        <w:t xml:space="preserve">ire </w:t>
      </w:r>
      <w:r w:rsidR="007815A7">
        <w:t xml:space="preserve">on </w:t>
      </w:r>
      <w:r w:rsidR="001156D9">
        <w:t xml:space="preserve">the sooner of the </w:t>
      </w:r>
      <w:r w:rsidR="007815A7">
        <w:t xml:space="preserve">date specified by the Commission </w:t>
      </w:r>
      <w:r w:rsidR="003E7AF9">
        <w:t>(</w:t>
      </w:r>
      <w:r w:rsidR="001156D9">
        <w:t xml:space="preserve">at the time December 31, 2017) </w:t>
      </w:r>
      <w:r w:rsidR="007815A7">
        <w:t xml:space="preserve">or the </w:t>
      </w:r>
      <w:r w:rsidR="00517C59">
        <w:t>effective date of new ru</w:t>
      </w:r>
      <w:r w:rsidR="00A20214">
        <w:t>les</w:t>
      </w:r>
      <w:r w:rsidR="00403017">
        <w:t xml:space="preserve"> providing for such an alternative solution</w:t>
      </w:r>
      <w:r w:rsidR="00A20214">
        <w:t>.</w:t>
      </w:r>
      <w:r>
        <w:rPr>
          <w:rStyle w:val="FootnoteReference"/>
        </w:rPr>
        <w:footnoteReference w:id="17"/>
      </w:r>
      <w:r w:rsidR="00517C59">
        <w:t xml:space="preserve"> </w:t>
      </w:r>
      <w:r w:rsidR="0059061A">
        <w:t xml:space="preserve">The Commission conditioned </w:t>
      </w:r>
      <w:r w:rsidR="00890328">
        <w:t>each waiver</w:t>
      </w:r>
      <w:r w:rsidR="0059061A">
        <w:t xml:space="preserve"> on </w:t>
      </w:r>
      <w:r w:rsidR="0094153F">
        <w:t xml:space="preserve">the </w:t>
      </w:r>
      <w:r w:rsidR="0059061A">
        <w:t>provider</w:t>
      </w:r>
      <w:r w:rsidR="00DB1E55">
        <w:t>’s commitment to</w:t>
      </w:r>
      <w:r w:rsidR="0059061A">
        <w:t xml:space="preserve"> (1) provid</w:t>
      </w:r>
      <w:r w:rsidR="00DB1E55">
        <w:t>e</w:t>
      </w:r>
      <w:r w:rsidR="0059061A">
        <w:t xml:space="preserve"> notice to customers that </w:t>
      </w:r>
      <w:r w:rsidR="00026493">
        <w:t xml:space="preserve">TTY technology would not be supported for calls to 911 services over IP-based wireless services, (2) </w:t>
      </w:r>
      <w:r w:rsidR="003962F9">
        <w:t xml:space="preserve">inform customers </w:t>
      </w:r>
      <w:r w:rsidR="0094153F">
        <w:t xml:space="preserve">of </w:t>
      </w:r>
      <w:r w:rsidR="00EE4045">
        <w:t>alternative</w:t>
      </w:r>
      <w:r w:rsidR="0094153F">
        <w:t xml:space="preserve"> means</w:t>
      </w:r>
      <w:r w:rsidR="00EE4045">
        <w:t xml:space="preserve"> </w:t>
      </w:r>
      <w:r w:rsidR="0094153F">
        <w:t xml:space="preserve">by which </w:t>
      </w:r>
      <w:r w:rsidR="00EE4045">
        <w:t xml:space="preserve">people with communication disabilities </w:t>
      </w:r>
      <w:r w:rsidR="0094153F">
        <w:t xml:space="preserve">can reach </w:t>
      </w:r>
      <w:r w:rsidR="00EE4045">
        <w:t xml:space="preserve">911, </w:t>
      </w:r>
      <w:r w:rsidR="001868B6">
        <w:t xml:space="preserve">and (3) </w:t>
      </w:r>
      <w:r w:rsidR="00C26E91">
        <w:t>submit biannual reports to the Commission des</w:t>
      </w:r>
      <w:r w:rsidR="00F70F8F">
        <w:t xml:space="preserve">cribing the status of the provider’s efforts to </w:t>
      </w:r>
      <w:r w:rsidR="00C71A78">
        <w:t xml:space="preserve">deploy new IP-based accessibility solutions, such as </w:t>
      </w:r>
      <w:r w:rsidR="00890328">
        <w:t>RTT</w:t>
      </w:r>
      <w:r w:rsidR="00C71A78">
        <w:t>.</w:t>
      </w:r>
      <w:r>
        <w:rPr>
          <w:rStyle w:val="FootnoteReference"/>
        </w:rPr>
        <w:footnoteReference w:id="18"/>
      </w:r>
      <w:r w:rsidR="00C71A78">
        <w:t xml:space="preserve">  </w:t>
      </w:r>
      <w:r>
        <w:t>On April 16, 2016, the Commission granted such a waiver to CCA on behalf of many of its members, including US Cellular.</w:t>
      </w:r>
      <w:r>
        <w:rPr>
          <w:rStyle w:val="FootnoteReference"/>
        </w:rPr>
        <w:footnoteReference w:id="19"/>
      </w:r>
    </w:p>
    <w:p w:rsidR="001C609A" w:rsidP="00410F68" w14:paraId="61450BBF" w14:textId="06EEB2C6">
      <w:pPr>
        <w:pStyle w:val="ParaNum"/>
      </w:pPr>
      <w:r>
        <w:t xml:space="preserve">In December 2016, the Commission </w:t>
      </w:r>
      <w:r w:rsidR="001C4294">
        <w:t xml:space="preserve">amended its </w:t>
      </w:r>
      <w:r>
        <w:t xml:space="preserve">rules to </w:t>
      </w:r>
      <w:r w:rsidR="00254B46">
        <w:t>enable</w:t>
      </w:r>
      <w:r w:rsidR="002F29A9">
        <w:t xml:space="preserve"> </w:t>
      </w:r>
      <w:r w:rsidR="00D724C8">
        <w:t xml:space="preserve">all </w:t>
      </w:r>
      <w:r w:rsidR="00715E8E">
        <w:t>IP-based</w:t>
      </w:r>
      <w:r w:rsidR="00D724C8">
        <w:t xml:space="preserve"> mobile</w:t>
      </w:r>
      <w:r w:rsidR="001C4294">
        <w:t xml:space="preserve"> service </w:t>
      </w:r>
      <w:r w:rsidR="00715E8E">
        <w:t xml:space="preserve">providers </w:t>
      </w:r>
      <w:r w:rsidR="00DF1F3B">
        <w:t xml:space="preserve">to </w:t>
      </w:r>
      <w:r w:rsidR="00715E8E">
        <w:t>select</w:t>
      </w:r>
      <w:r w:rsidR="005F11F0">
        <w:t xml:space="preserve"> </w:t>
      </w:r>
      <w:r w:rsidR="00715E8E">
        <w:t>a more modern alternative to</w:t>
      </w:r>
      <w:r w:rsidR="005F11F0">
        <w:t xml:space="preserve"> </w:t>
      </w:r>
      <w:r w:rsidR="00BA1AE8">
        <w:t>supporting TTY technology</w:t>
      </w:r>
      <w:r w:rsidR="006D4BEC">
        <w:t>,</w:t>
      </w:r>
      <w:r w:rsidR="00BA1AE8">
        <w:t xml:space="preserve"> </w:t>
      </w:r>
      <w:r w:rsidR="00715E8E">
        <w:t xml:space="preserve">as their means of compliance </w:t>
      </w:r>
      <w:r w:rsidR="00592A14">
        <w:t xml:space="preserve">with </w:t>
      </w:r>
      <w:r w:rsidR="00BA1AE8">
        <w:t xml:space="preserve">relevant </w:t>
      </w:r>
      <w:r w:rsidR="00592A14">
        <w:t>accessibility requirements</w:t>
      </w:r>
      <w:r w:rsidR="00410D05">
        <w:t>.</w:t>
      </w:r>
      <w:r>
        <w:rPr>
          <w:rStyle w:val="FootnoteReference"/>
        </w:rPr>
        <w:footnoteReference w:id="20"/>
      </w:r>
      <w:r w:rsidR="00410D05">
        <w:t xml:space="preserve">  Under these amendments, </w:t>
      </w:r>
      <w:r w:rsidRPr="00930C86" w:rsidR="00930C86">
        <w:t xml:space="preserve">in lieu of supporting </w:t>
      </w:r>
      <w:r w:rsidRPr="00930C86" w:rsidR="00930C86">
        <w:t>TTY technology</w:t>
      </w:r>
      <w:r w:rsidR="000E439B">
        <w:t>,</w:t>
      </w:r>
      <w:r w:rsidRPr="00930C86" w:rsidR="00930C86">
        <w:t xml:space="preserve"> </w:t>
      </w:r>
      <w:r w:rsidR="00410D05">
        <w:t xml:space="preserve">providers may </w:t>
      </w:r>
      <w:r w:rsidR="006D4BEC">
        <w:t xml:space="preserve">support </w:t>
      </w:r>
      <w:r w:rsidR="00D86C22">
        <w:t>RTT</w:t>
      </w:r>
      <w:r w:rsidR="00054D7A">
        <w:t>,</w:t>
      </w:r>
      <w:r>
        <w:t xml:space="preserve"> </w:t>
      </w:r>
      <w:r w:rsidR="00BE2E21">
        <w:t xml:space="preserve">a “reliable and interoperable universal text solution” </w:t>
      </w:r>
      <w:r w:rsidR="00FF35DB">
        <w:t xml:space="preserve">that </w:t>
      </w:r>
      <w:r w:rsidR="00E37B9F">
        <w:t xml:space="preserve">is IP-supported, </w:t>
      </w:r>
      <w:r w:rsidRPr="008210D9" w:rsidR="008210D9">
        <w:t>allows text characters to be sent as they are being</w:t>
      </w:r>
      <w:r w:rsidR="008210D9">
        <w:t xml:space="preserve"> </w:t>
      </w:r>
      <w:r w:rsidRPr="008210D9" w:rsidR="008210D9">
        <w:t xml:space="preserve">created, </w:t>
      </w:r>
      <w:r w:rsidR="00E22654">
        <w:t>can</w:t>
      </w:r>
      <w:r w:rsidRPr="008210D9" w:rsidR="008210D9">
        <w:t xml:space="preserve"> </w:t>
      </w:r>
      <w:r w:rsidR="009300F9">
        <w:t>transmit</w:t>
      </w:r>
      <w:r w:rsidR="00E22654">
        <w:t xml:space="preserve"> text</w:t>
      </w:r>
      <w:r w:rsidRPr="008210D9" w:rsidR="008210D9">
        <w:t xml:space="preserve"> simultaneously with voice, and permits the use of off-the-shelf end user devices to</w:t>
      </w:r>
      <w:r w:rsidR="008210D9">
        <w:t xml:space="preserve"> </w:t>
      </w:r>
      <w:r w:rsidRPr="008210D9" w:rsidR="008210D9">
        <w:t>make text telephone calls.</w:t>
      </w:r>
      <w:r>
        <w:rPr>
          <w:rStyle w:val="FootnoteReference"/>
        </w:rPr>
        <w:footnoteReference w:id="21"/>
      </w:r>
      <w:r w:rsidR="00AA3CB8">
        <w:t xml:space="preserve"> </w:t>
      </w:r>
      <w:r w:rsidRPr="008210D9" w:rsidR="008210D9">
        <w:t xml:space="preserve"> </w:t>
      </w:r>
      <w:r w:rsidR="006E1787">
        <w:t xml:space="preserve">By </w:t>
      </w:r>
      <w:r w:rsidR="00BF5D9D">
        <w:t xml:space="preserve">adopting </w:t>
      </w:r>
      <w:r w:rsidR="00DC45C0">
        <w:t>rule</w:t>
      </w:r>
      <w:r w:rsidR="00BF5D9D">
        <w:t xml:space="preserve"> change</w:t>
      </w:r>
      <w:r w:rsidR="007A2E8A">
        <w:t>s</w:t>
      </w:r>
      <w:r w:rsidR="00DC45C0">
        <w:t xml:space="preserve"> that encourage deployment and use of this modern alternative to TTYs</w:t>
      </w:r>
      <w:r w:rsidR="00BF5D9D">
        <w:t xml:space="preserve">, the </w:t>
      </w:r>
      <w:r w:rsidR="00BD30C1">
        <w:t xml:space="preserve">Commission </w:t>
      </w:r>
      <w:r w:rsidR="0055637A">
        <w:t xml:space="preserve">sought </w:t>
      </w:r>
      <w:r w:rsidR="00FC4BF6">
        <w:t>to ensure that mobile services remain accessible to people who are deaf or hard of hearing</w:t>
      </w:r>
      <w:r w:rsidR="007A2E8A">
        <w:t>––</w:t>
      </w:r>
      <w:r w:rsidR="00BF5D9D">
        <w:t>and compliant with applicable accessibility rules</w:t>
      </w:r>
      <w:r w:rsidR="007A2E8A">
        <w:t>––</w:t>
      </w:r>
      <w:r w:rsidR="00AA3A9F">
        <w:t xml:space="preserve">as the wireless industry transitions from legacy 3G technology to </w:t>
      </w:r>
      <w:r w:rsidR="00AF5CDA">
        <w:t>Internet Protocol-based technology.</w:t>
      </w:r>
      <w:r>
        <w:rPr>
          <w:rStyle w:val="FootnoteReference"/>
        </w:rPr>
        <w:footnoteReference w:id="22"/>
      </w:r>
      <w:r w:rsidR="00AF5CDA">
        <w:t xml:space="preserve">  </w:t>
      </w:r>
      <w:r>
        <w:t>The Commission</w:t>
      </w:r>
      <w:r w:rsidR="00170155">
        <w:t xml:space="preserve"> also</w:t>
      </w:r>
      <w:r>
        <w:t xml:space="preserve"> adopted new </w:t>
      </w:r>
      <w:r w:rsidR="00821B9B">
        <w:t xml:space="preserve">part </w:t>
      </w:r>
      <w:r>
        <w:t>67</w:t>
      </w:r>
      <w:r w:rsidR="005C1E11">
        <w:t xml:space="preserve"> to define </w:t>
      </w:r>
      <w:r>
        <w:t>what it means to “support RTT</w:t>
      </w:r>
      <w:r w:rsidR="00BB6225">
        <w:t>,</w:t>
      </w:r>
      <w:r>
        <w:t>”</w:t>
      </w:r>
      <w:r>
        <w:rPr>
          <w:rStyle w:val="FootnoteReference"/>
        </w:rPr>
        <w:footnoteReference w:id="23"/>
      </w:r>
      <w:r>
        <w:t xml:space="preserve"> </w:t>
      </w:r>
      <w:r w:rsidR="00821B9B">
        <w:t xml:space="preserve">including </w:t>
      </w:r>
      <w:r>
        <w:t>requirements for interoperability among RTT providers, backwards compatibility with TTY</w:t>
      </w:r>
      <w:r w:rsidR="00435D31">
        <w:t>s</w:t>
      </w:r>
      <w:r>
        <w:t xml:space="preserve">, access to all </w:t>
      </w:r>
      <w:r w:rsidR="005C4CC1">
        <w:t xml:space="preserve">voice telephone </w:t>
      </w:r>
      <w:r>
        <w:t>numbers</w:t>
      </w:r>
      <w:r w:rsidR="00447B63">
        <w:t>,</w:t>
      </w:r>
      <w:r w:rsidR="00EE6364">
        <w:t xml:space="preserve"> </w:t>
      </w:r>
      <w:r w:rsidR="00DD3E49">
        <w:t>and simultaneous voice and text capability</w:t>
      </w:r>
      <w:r>
        <w:t>.</w:t>
      </w:r>
      <w:r>
        <w:rPr>
          <w:rStyle w:val="FootnoteReference"/>
        </w:rPr>
        <w:footnoteReference w:id="24"/>
      </w:r>
      <w:r>
        <w:t xml:space="preserve">  </w:t>
      </w:r>
    </w:p>
    <w:p w:rsidR="00410F68" w:rsidP="00410F68" w14:paraId="1824B840" w14:textId="55BE260F">
      <w:pPr>
        <w:pStyle w:val="ParaNum"/>
      </w:pPr>
      <w:r>
        <w:t xml:space="preserve">To allow additional time for service providers and manufacturers to </w:t>
      </w:r>
      <w:r w:rsidR="00AA21C8">
        <w:t xml:space="preserve">complete the transition from support of TTYs </w:t>
      </w:r>
      <w:r w:rsidR="000B1549">
        <w:t xml:space="preserve">on legacy networks </w:t>
      </w:r>
      <w:r w:rsidR="00AA21C8">
        <w:t>to support of RTT</w:t>
      </w:r>
      <w:r w:rsidR="00505D7E">
        <w:t xml:space="preserve"> on IP-based networks and equipment</w:t>
      </w:r>
      <w:r w:rsidR="00AA21C8">
        <w:t>, t</w:t>
      </w:r>
      <w:r w:rsidR="004F535E">
        <w:t>he</w:t>
      </w:r>
      <w:r>
        <w:t xml:space="preserve"> Commission established timeline</w:t>
      </w:r>
      <w:r w:rsidR="0094050B">
        <w:t>s</w:t>
      </w:r>
      <w:r>
        <w:t xml:space="preserve"> </w:t>
      </w:r>
      <w:r w:rsidR="00555ADA">
        <w:t xml:space="preserve">in the </w:t>
      </w:r>
      <w:r w:rsidR="00661B11">
        <w:rPr>
          <w:i/>
          <w:iCs/>
        </w:rPr>
        <w:t xml:space="preserve">TTY-RTT Transition Order </w:t>
      </w:r>
      <w:r>
        <w:t>for the</w:t>
      </w:r>
      <w:r w:rsidR="00AA19B6">
        <w:t xml:space="preserve"> </w:t>
      </w:r>
      <w:r>
        <w:t xml:space="preserve">implementation of RTT in lieu of TTY and extended the </w:t>
      </w:r>
      <w:r w:rsidR="0094050B">
        <w:t xml:space="preserve">previously granted </w:t>
      </w:r>
      <w:r>
        <w:t xml:space="preserve">waivers of TTY support </w:t>
      </w:r>
      <w:r w:rsidR="0094050B">
        <w:t xml:space="preserve">requirements </w:t>
      </w:r>
      <w:r w:rsidR="00792D32">
        <w:t xml:space="preserve">so that </w:t>
      </w:r>
      <w:r w:rsidR="002278C3">
        <w:t>their expiration dates corresponded with the RTT implementation timelines</w:t>
      </w:r>
      <w:r>
        <w:t>.  Under the new timeline</w:t>
      </w:r>
      <w:r w:rsidR="00F479A2">
        <w:t>s</w:t>
      </w:r>
      <w:r>
        <w:t xml:space="preserve">, Tier </w:t>
      </w:r>
      <w:r w:rsidR="00AE001B">
        <w:t>I</w:t>
      </w:r>
      <w:r>
        <w:t xml:space="preserve"> carriers </w:t>
      </w:r>
      <w:r w:rsidR="002768C9">
        <w:t>de</w:t>
      </w:r>
      <w:r w:rsidR="00C2707D">
        <w:t xml:space="preserve">ploying </w:t>
      </w:r>
      <w:r w:rsidR="00834DD0">
        <w:t xml:space="preserve"> RTT in lieu of TT</w:t>
      </w:r>
      <w:r w:rsidR="004F236D">
        <w:t xml:space="preserve">Y </w:t>
      </w:r>
      <w:r w:rsidR="000B7325">
        <w:t>we</w:t>
      </w:r>
      <w:r w:rsidR="007C1A6B">
        <w:t xml:space="preserve">re required to </w:t>
      </w:r>
      <w:r>
        <w:t xml:space="preserve">achieve </w:t>
      </w:r>
      <w:r w:rsidR="00581CFB">
        <w:t xml:space="preserve">initial </w:t>
      </w:r>
      <w:r>
        <w:t xml:space="preserve">compliance with the new RTT rules by December 31, 2017, and non-Tier </w:t>
      </w:r>
      <w:r w:rsidR="00AE001B">
        <w:t>I</w:t>
      </w:r>
      <w:r>
        <w:t xml:space="preserve"> providers, including those </w:t>
      </w:r>
      <w:r w:rsidR="00CE528E">
        <w:t>n</w:t>
      </w:r>
      <w:r w:rsidR="00DB7C4B">
        <w:t xml:space="preserve">on-Tier I providers </w:t>
      </w:r>
      <w:r>
        <w:t>covered by CCA’s waiver,</w:t>
      </w:r>
      <w:r>
        <w:rPr>
          <w:rStyle w:val="FootnoteReference"/>
        </w:rPr>
        <w:footnoteReference w:id="25"/>
      </w:r>
      <w:r>
        <w:t xml:space="preserve"> </w:t>
      </w:r>
      <w:r w:rsidR="000B7325">
        <w:t xml:space="preserve">were required to </w:t>
      </w:r>
      <w:r>
        <w:t>achieve</w:t>
      </w:r>
      <w:r w:rsidR="00542111">
        <w:t xml:space="preserve"> initial</w:t>
      </w:r>
      <w:r>
        <w:t xml:space="preserve"> compliance with RTT service obligations by June 30, 2020.</w:t>
      </w:r>
      <w:r>
        <w:rPr>
          <w:rStyle w:val="FootnoteReference"/>
        </w:rPr>
        <w:footnoteReference w:id="26"/>
      </w:r>
      <w:r>
        <w:t xml:space="preserve">  </w:t>
      </w:r>
      <w:r w:rsidR="003B12B3">
        <w:t>Fi</w:t>
      </w:r>
      <w:r w:rsidR="00C01D2D">
        <w:t xml:space="preserve">nal compliance was required for Tier I providers by </w:t>
      </w:r>
      <w:r w:rsidR="008B0803">
        <w:t>December 31</w:t>
      </w:r>
      <w:r w:rsidR="00C01D2D">
        <w:t>, 2019, and for non-Tier I providers by June 30, 2021.</w:t>
      </w:r>
      <w:r>
        <w:rPr>
          <w:rStyle w:val="FootnoteReference"/>
        </w:rPr>
        <w:footnoteReference w:id="27"/>
      </w:r>
      <w:r w:rsidR="00C01D2D">
        <w:t xml:space="preserve">  </w:t>
      </w:r>
      <w:r>
        <w:t xml:space="preserve">Non-Tier </w:t>
      </w:r>
      <w:r w:rsidR="00AE001B">
        <w:t>I</w:t>
      </w:r>
      <w:r>
        <w:t xml:space="preserve"> providers were given additional time to comply with the RTT support requirements due to their “small subscriber populations,” “fewer device options,” and “limited influence on the technical ecosystem,” among other reasons.</w:t>
      </w:r>
      <w:r>
        <w:rPr>
          <w:rStyle w:val="FootnoteReference"/>
        </w:rPr>
        <w:footnoteReference w:id="28"/>
      </w:r>
      <w:r>
        <w:t xml:space="preserve">  Under the </w:t>
      </w:r>
      <w:r w:rsidR="00852E25">
        <w:t>rule amendments adopted in 2016</w:t>
      </w:r>
      <w:r>
        <w:t xml:space="preserve">, CMRS providers who implement RTT on their IP-based networks </w:t>
      </w:r>
      <w:r w:rsidR="00DD2F36">
        <w:t xml:space="preserve">are </w:t>
      </w:r>
      <w:r>
        <w:t>relieved of the obligation to support TTY on any of their networks.</w:t>
      </w:r>
      <w:r>
        <w:rPr>
          <w:rStyle w:val="FootnoteReference"/>
        </w:rPr>
        <w:footnoteReference w:id="29"/>
      </w:r>
      <w:r w:rsidR="00561744">
        <w:t xml:space="preserve"> Finally, the Commission extended the existing limited waivers of </w:t>
      </w:r>
      <w:r w:rsidR="00F24BD6">
        <w:t xml:space="preserve">TTY support requirements to the earliest applicable RTT compliance </w:t>
      </w:r>
      <w:r w:rsidR="00F24BD6">
        <w:t>date.</w:t>
      </w:r>
      <w:r>
        <w:rPr>
          <w:rStyle w:val="FootnoteReference"/>
        </w:rPr>
        <w:footnoteReference w:id="30"/>
      </w:r>
      <w:r w:rsidR="00866E36">
        <w:t xml:space="preserve">  As a non-Tier I CMRS provider,</w:t>
      </w:r>
      <w:r>
        <w:rPr>
          <w:rStyle w:val="FootnoteReference"/>
        </w:rPr>
        <w:footnoteReference w:id="31"/>
      </w:r>
      <w:r w:rsidR="00866E36">
        <w:t xml:space="preserve"> US Cellular’s </w:t>
      </w:r>
      <w:r w:rsidRPr="00866E36" w:rsidR="00866E36">
        <w:t>waiver of TTY support requirements</w:t>
      </w:r>
      <w:r w:rsidR="00866E36">
        <w:t xml:space="preserve">, which was set to expire on </w:t>
      </w:r>
      <w:r w:rsidRPr="00866E36" w:rsidR="00866E36">
        <w:t>December 31, 2017</w:t>
      </w:r>
      <w:r w:rsidR="00866E36">
        <w:t>,</w:t>
      </w:r>
      <w:r w:rsidRPr="00866E36" w:rsidR="00866E36">
        <w:t xml:space="preserve"> was extended to June 30, 2020.</w:t>
      </w:r>
      <w:r>
        <w:rPr>
          <w:rStyle w:val="FootnoteReference"/>
        </w:rPr>
        <w:footnoteReference w:id="32"/>
      </w:r>
      <w:r w:rsidRPr="00866E36" w:rsidR="00866E36">
        <w:t xml:space="preserve">  </w:t>
      </w:r>
    </w:p>
    <w:p w:rsidR="006841E2" w:rsidP="00410F68" w14:paraId="712FE03B" w14:textId="270321E0">
      <w:pPr>
        <w:pStyle w:val="ParaNum"/>
      </w:pPr>
      <w:r>
        <w:rPr>
          <w:i/>
          <w:iCs/>
        </w:rPr>
        <w:t>US Cellular 2020 Petition.</w:t>
      </w:r>
      <w:r>
        <w:t xml:space="preserve">  On June 22, 2020, US Cellular filed a petition </w:t>
      </w:r>
      <w:r w:rsidR="00234971">
        <w:t>for</w:t>
      </w:r>
      <w:r w:rsidR="004229B2">
        <w:t xml:space="preserve"> </w:t>
      </w:r>
      <w:r w:rsidR="00A41A74">
        <w:t xml:space="preserve">a </w:t>
      </w:r>
      <w:r w:rsidR="009024E0">
        <w:t xml:space="preserve">further, </w:t>
      </w:r>
      <w:r w:rsidR="00A41A74">
        <w:t xml:space="preserve">six-month </w:t>
      </w:r>
      <w:r>
        <w:t xml:space="preserve">extension of </w:t>
      </w:r>
      <w:r w:rsidR="00172127">
        <w:t xml:space="preserve">its </w:t>
      </w:r>
      <w:r>
        <w:t>waiver of TTY support rules</w:t>
      </w:r>
      <w:r w:rsidR="00365ABD">
        <w:t>,</w:t>
      </w:r>
      <w:r>
        <w:t xml:space="preserve"> </w:t>
      </w:r>
      <w:r w:rsidR="005541AE">
        <w:t xml:space="preserve">requesting </w:t>
      </w:r>
      <w:r w:rsidR="00234971">
        <w:t xml:space="preserve">deferral of </w:t>
      </w:r>
      <w:r w:rsidR="005541AE">
        <w:t xml:space="preserve">the expiration date </w:t>
      </w:r>
      <w:r w:rsidR="00234971">
        <w:t xml:space="preserve">from </w:t>
      </w:r>
      <w:r>
        <w:t>June 30, 2020, to December 31, 2020.</w:t>
      </w:r>
      <w:r>
        <w:rPr>
          <w:rStyle w:val="FootnoteReference"/>
        </w:rPr>
        <w:footnoteReference w:id="33"/>
      </w:r>
      <w:r>
        <w:t xml:space="preserve">  </w:t>
      </w:r>
      <w:r w:rsidR="002058C4">
        <w:t>According to the petition, US Cellular began p</w:t>
      </w:r>
      <w:r w:rsidR="000B65C7">
        <w:t>repar</w:t>
      </w:r>
      <w:r w:rsidR="002058C4">
        <w:t>ing for deployment of RTT in 2019.</w:t>
      </w:r>
      <w:r>
        <w:rPr>
          <w:rStyle w:val="FootnoteReference"/>
        </w:rPr>
        <w:footnoteReference w:id="34"/>
      </w:r>
      <w:r w:rsidR="002058C4">
        <w:t xml:space="preserve">  </w:t>
      </w:r>
      <w:r w:rsidR="000C0773">
        <w:t>T</w:t>
      </w:r>
      <w:r w:rsidRPr="000C0773" w:rsidR="000C0773">
        <w:t>o achieve initial compliance with the RTT rules, US Cellular explains, it has chosen to implement RTT capability in its core network.</w:t>
      </w:r>
      <w:r>
        <w:rPr>
          <w:vertAlign w:val="superscript"/>
        </w:rPr>
        <w:footnoteReference w:id="35"/>
      </w:r>
      <w:r w:rsidRPr="000C0773" w:rsidR="000C0773">
        <w:t xml:space="preserve"> </w:t>
      </w:r>
      <w:r w:rsidRPr="002058C4" w:rsidR="002058C4">
        <w:t xml:space="preserve">After meeting with various vendors to investigate available network solutions, </w:t>
      </w:r>
      <w:r w:rsidR="00A437FF">
        <w:t>US</w:t>
      </w:r>
      <w:r w:rsidRPr="002058C4" w:rsidR="002058C4">
        <w:t xml:space="preserve"> Cellular reports, it identified a vendor in September 2019 and formally approved the RTT project in December 2019.</w:t>
      </w:r>
      <w:r>
        <w:rPr>
          <w:rStyle w:val="FootnoteReference"/>
        </w:rPr>
        <w:footnoteReference w:id="36"/>
      </w:r>
      <w:r>
        <w:t xml:space="preserve">  Deployment of RTT</w:t>
      </w:r>
      <w:r w:rsidR="00754A61">
        <w:t xml:space="preserve"> in the company’s core network</w:t>
      </w:r>
      <w:r>
        <w:t xml:space="preserve"> required </w:t>
      </w:r>
      <w:r w:rsidR="002E4AA1">
        <w:t xml:space="preserve">changes </w:t>
      </w:r>
      <w:r>
        <w:t>to multiple network elements</w:t>
      </w:r>
      <w:r w:rsidR="009351F1">
        <w:t>,</w:t>
      </w:r>
      <w:r>
        <w:t xml:space="preserve"> including</w:t>
      </w:r>
      <w:r w:rsidR="00A07E0C">
        <w:t xml:space="preserve"> </w:t>
      </w:r>
      <w:r w:rsidR="002E4AA1">
        <w:t>(1)</w:t>
      </w:r>
      <w:r>
        <w:t xml:space="preserve"> </w:t>
      </w:r>
      <w:r w:rsidR="002E4AA1">
        <w:t xml:space="preserve">a </w:t>
      </w:r>
      <w:r>
        <w:t>Home Subscription Services</w:t>
      </w:r>
      <w:r w:rsidR="002E4AA1">
        <w:t xml:space="preserve"> upgrade to </w:t>
      </w:r>
      <w:r w:rsidR="00A437FF">
        <w:t>US</w:t>
      </w:r>
      <w:r w:rsidR="002E4AA1">
        <w:t xml:space="preserve"> Cellular’s “blade servers</w:t>
      </w:r>
      <w:r>
        <w:t>,</w:t>
      </w:r>
      <w:r w:rsidR="002E4AA1">
        <w:t>”</w:t>
      </w:r>
      <w:r>
        <w:t xml:space="preserve"> which</w:t>
      </w:r>
      <w:r w:rsidR="00A07E0C">
        <w:t xml:space="preserve"> support call/session processing</w:t>
      </w:r>
      <w:r>
        <w:t xml:space="preserve">, </w:t>
      </w:r>
      <w:r w:rsidR="002E4AA1">
        <w:t>(2) upgrades to the servers in the company’s four</w:t>
      </w:r>
      <w:r>
        <w:t xml:space="preserve"> Regional Connectivity Centers,</w:t>
      </w:r>
      <w:r w:rsidR="005D269F">
        <w:t xml:space="preserve"> and</w:t>
      </w:r>
      <w:r>
        <w:t xml:space="preserve"> </w:t>
      </w:r>
      <w:r w:rsidR="002E4AA1">
        <w:t xml:space="preserve">(3) the </w:t>
      </w:r>
      <w:r>
        <w:t>install</w:t>
      </w:r>
      <w:r w:rsidR="002E4AA1">
        <w:t>ation</w:t>
      </w:r>
      <w:r>
        <w:t xml:space="preserve"> </w:t>
      </w:r>
      <w:r w:rsidR="002E4AA1">
        <w:t xml:space="preserve">of </w:t>
      </w:r>
      <w:r>
        <w:t>an RTT Application Server.</w:t>
      </w:r>
      <w:r>
        <w:rPr>
          <w:rStyle w:val="FootnoteReference"/>
        </w:rPr>
        <w:footnoteReference w:id="37"/>
      </w:r>
      <w:r>
        <w:t xml:space="preserve">  </w:t>
      </w:r>
      <w:r w:rsidR="005D269F">
        <w:t>Further, some of the changes had to be sequenced—for example, the blade server upgrade</w:t>
      </w:r>
      <w:r w:rsidR="00754A61">
        <w:t xml:space="preserve"> had to be completed before</w:t>
      </w:r>
      <w:r w:rsidR="005D269F">
        <w:t xml:space="preserve"> lab testing</w:t>
      </w:r>
      <w:r w:rsidR="00754A61">
        <w:t xml:space="preserve"> of the RTT functionality</w:t>
      </w:r>
      <w:r w:rsidR="005D269F">
        <w:t xml:space="preserve">, </w:t>
      </w:r>
      <w:r w:rsidR="00754A61">
        <w:t xml:space="preserve">and the lab testing </w:t>
      </w:r>
      <w:r w:rsidR="005D269F">
        <w:t xml:space="preserve">had to be completed before </w:t>
      </w:r>
      <w:r w:rsidR="00754A61">
        <w:t>upgrading</w:t>
      </w:r>
      <w:r w:rsidR="005D269F">
        <w:t xml:space="preserve"> the Regional Connectivity Center servers.</w:t>
      </w:r>
      <w:r>
        <w:rPr>
          <w:rStyle w:val="FootnoteReference"/>
        </w:rPr>
        <w:footnoteReference w:id="38"/>
      </w:r>
      <w:r w:rsidR="005D269F">
        <w:t xml:space="preserve">  </w:t>
      </w:r>
      <w:r>
        <w:t xml:space="preserve">In addition to modifying its network to accommodate RTT, US Cellular </w:t>
      </w:r>
      <w:r w:rsidR="005D269F">
        <w:t xml:space="preserve">had to </w:t>
      </w:r>
      <w:r>
        <w:t xml:space="preserve">work with </w:t>
      </w:r>
      <w:r w:rsidR="005D269F">
        <w:t xml:space="preserve">a handset manufacturer </w:t>
      </w:r>
      <w:r>
        <w:t xml:space="preserve">to </w:t>
      </w:r>
      <w:r w:rsidR="005D269F">
        <w:t xml:space="preserve">ensure </w:t>
      </w:r>
      <w:r w:rsidR="000A6E1B">
        <w:t xml:space="preserve">that </w:t>
      </w:r>
      <w:r w:rsidR="005D269F">
        <w:t xml:space="preserve">at least one </w:t>
      </w:r>
      <w:r>
        <w:t>handset</w:t>
      </w:r>
      <w:r w:rsidRPr="00754A61" w:rsidR="00754A61">
        <w:t xml:space="preserve"> </w:t>
      </w:r>
      <w:r w:rsidR="00754A61">
        <w:t xml:space="preserve">model can place RTT calls on </w:t>
      </w:r>
      <w:r w:rsidR="00A437FF">
        <w:t>US</w:t>
      </w:r>
      <w:r w:rsidR="00754A61">
        <w:t xml:space="preserve"> Cellular’s network.</w:t>
      </w:r>
      <w:r>
        <w:rPr>
          <w:rStyle w:val="FootnoteReference"/>
        </w:rPr>
        <w:footnoteReference w:id="39"/>
      </w:r>
      <w:r w:rsidR="000A6E1B">
        <w:t xml:space="preserve">  To ensure that 911 calls using RTT can be delivered to PSAPs and are backward compatible with the TTYs on which many PSAPs still rely,</w:t>
      </w:r>
      <w:r>
        <w:rPr>
          <w:rStyle w:val="FootnoteReference"/>
        </w:rPr>
        <w:footnoteReference w:id="40"/>
      </w:r>
      <w:r w:rsidR="000A6E1B">
        <w:t xml:space="preserve"> upgrades were also needed in the service platforms used by the 911 call delivery service </w:t>
      </w:r>
      <w:r w:rsidR="002940C0">
        <w:t xml:space="preserve">engaged by </w:t>
      </w:r>
      <w:r w:rsidR="00A437FF">
        <w:t>US</w:t>
      </w:r>
      <w:r w:rsidR="000A6E1B">
        <w:t xml:space="preserve"> Cellular</w:t>
      </w:r>
      <w:r>
        <w:t>.</w:t>
      </w:r>
      <w:r>
        <w:rPr>
          <w:rStyle w:val="FootnoteReference"/>
        </w:rPr>
        <w:footnoteReference w:id="41"/>
      </w:r>
      <w:r>
        <w:t xml:space="preserve">  </w:t>
      </w:r>
    </w:p>
    <w:p w:rsidR="00410F68" w:rsidP="00410F68" w14:paraId="53BD36CE" w14:textId="4ED4B1BB">
      <w:pPr>
        <w:pStyle w:val="ParaNum"/>
      </w:pPr>
      <w:r>
        <w:t>US</w:t>
      </w:r>
      <w:r w:rsidR="000A6E1B">
        <w:t xml:space="preserve"> Cellular states that it encountered </w:t>
      </w:r>
      <w:r w:rsidR="002940C0">
        <w:t>numerous</w:t>
      </w:r>
      <w:r w:rsidR="000A6E1B">
        <w:t xml:space="preserve"> difficulties and delays in completing each of these tasks.  </w:t>
      </w:r>
      <w:r w:rsidR="00754A61">
        <w:t xml:space="preserve">The need for a Home Subscription Services upgrade, which was not </w:t>
      </w:r>
      <w:r w:rsidR="00C3489B">
        <w:t>deter</w:t>
      </w:r>
      <w:r w:rsidR="008136E4">
        <w:t>mined until after the project was approved,</w:t>
      </w:r>
      <w:r w:rsidR="00754A61">
        <w:t xml:space="preserve"> delayed the start of lab testing to mid-March</w:t>
      </w:r>
      <w:r w:rsidR="00453194">
        <w:t xml:space="preserve"> 2020</w:t>
      </w:r>
      <w:r w:rsidR="00754A61">
        <w:t>, which in turn delayed the Regional Connectivity Center server upgrades.</w:t>
      </w:r>
      <w:r>
        <w:rPr>
          <w:rStyle w:val="FootnoteReference"/>
        </w:rPr>
        <w:footnoteReference w:id="42"/>
      </w:r>
      <w:r w:rsidR="00754A61">
        <w:t xml:space="preserve">  Further, testing of the RTT Application Server in April 2020 revealed compatibility issues between that server and the company’s Telephon</w:t>
      </w:r>
      <w:r w:rsidR="00C17E0E">
        <w:t>y</w:t>
      </w:r>
      <w:r w:rsidR="00754A61">
        <w:t xml:space="preserve"> Application Server, and an attempt to correct this problem caused other issues affecting the company’s ability to terminate </w:t>
      </w:r>
      <w:r w:rsidR="00453194">
        <w:t>RTT robocalls.</w:t>
      </w:r>
      <w:r>
        <w:rPr>
          <w:rStyle w:val="FootnoteReference"/>
        </w:rPr>
        <w:footnoteReference w:id="43"/>
      </w:r>
      <w:r w:rsidR="00754A61">
        <w:t xml:space="preserve"> </w:t>
      </w:r>
      <w:r w:rsidR="00453194">
        <w:t xml:space="preserve"> Resolving this further issue</w:t>
      </w:r>
      <w:r w:rsidR="009D2AA7">
        <w:t>, which delayed the start of user-device testing,</w:t>
      </w:r>
      <w:r w:rsidR="00453194">
        <w:t xml:space="preserve"> </w:t>
      </w:r>
      <w:r w:rsidR="00453194">
        <w:t>required an upgrade to yet another server, which supports call routing, and that upgrade was not available from the manufacturer until June 2020.</w:t>
      </w:r>
      <w:r>
        <w:rPr>
          <w:rStyle w:val="FootnoteReference"/>
        </w:rPr>
        <w:footnoteReference w:id="44"/>
      </w:r>
      <w:r w:rsidR="00453194">
        <w:t xml:space="preserve">  Meanwhile, the company </w:t>
      </w:r>
      <w:r w:rsidR="009D2AA7">
        <w:t>adopted</w:t>
      </w:r>
      <w:r w:rsidR="00453194">
        <w:t xml:space="preserve"> “work arounds” </w:t>
      </w:r>
      <w:r w:rsidR="009D2AA7">
        <w:t>to allow</w:t>
      </w:r>
      <w:r w:rsidR="00453194">
        <w:t xml:space="preserve"> user</w:t>
      </w:r>
      <w:r w:rsidR="009D2AA7">
        <w:t>-</w:t>
      </w:r>
      <w:r w:rsidR="00453194">
        <w:t>device testing to begin.</w:t>
      </w:r>
      <w:r>
        <w:rPr>
          <w:rStyle w:val="FootnoteReference"/>
        </w:rPr>
        <w:footnoteReference w:id="45"/>
      </w:r>
      <w:r w:rsidR="00453194">
        <w:t xml:space="preserve">  </w:t>
      </w:r>
      <w:r w:rsidR="009D2AA7">
        <w:t xml:space="preserve">User-device testing was also delayed by issues requiring an upgrade to US Cellular’s billing system.  In response, the company worked with the affected handset vendor to manually provision test devices and to shorten the handset-testing schedule.  </w:t>
      </w:r>
      <w:r w:rsidR="00720518">
        <w:t xml:space="preserve">Finally, unanticipated issues developed </w:t>
      </w:r>
      <w:r w:rsidR="0047276D">
        <w:t>while</w:t>
      </w:r>
      <w:r w:rsidR="00720518">
        <w:t xml:space="preserve"> </w:t>
      </w:r>
      <w:r w:rsidR="00FA3F75">
        <w:t xml:space="preserve">the company was </w:t>
      </w:r>
      <w:r w:rsidR="00720518">
        <w:t>upgrading and testing the 911 call delivery platform, and additional delays resulted from problems in scheduling collaborative lab testing of 911 call connections with an RTT-capable PSAP.</w:t>
      </w:r>
      <w:r>
        <w:rPr>
          <w:rStyle w:val="FootnoteReference"/>
        </w:rPr>
        <w:footnoteReference w:id="46"/>
      </w:r>
      <w:r w:rsidR="005410FE">
        <w:t xml:space="preserve">  </w:t>
      </w:r>
      <w:r w:rsidR="009D2AA7">
        <w:t>Due to these multiple problems</w:t>
      </w:r>
      <w:r w:rsidR="0014324F">
        <w:t xml:space="preserve"> arising </w:t>
      </w:r>
      <w:r w:rsidR="000D7CDA">
        <w:t>as the p</w:t>
      </w:r>
      <w:r w:rsidR="00BB5C2F">
        <w:t>roject advanced</w:t>
      </w:r>
      <w:r>
        <w:t xml:space="preserve">, </w:t>
      </w:r>
      <w:r w:rsidR="009D2AA7">
        <w:t xml:space="preserve">and despite the reported efforts to work around them, </w:t>
      </w:r>
      <w:r>
        <w:t>US Cellular report</w:t>
      </w:r>
      <w:r w:rsidR="009D2AA7">
        <w:t>s</w:t>
      </w:r>
      <w:r>
        <w:t xml:space="preserve"> that it was unable to meet the June 30, 2020 deadline.</w:t>
      </w:r>
      <w:r>
        <w:rPr>
          <w:rStyle w:val="FootnoteReference"/>
        </w:rPr>
        <w:footnoteReference w:id="47"/>
      </w:r>
      <w:r w:rsidR="00720518">
        <w:t xml:space="preserve">  </w:t>
      </w:r>
    </w:p>
    <w:p w:rsidR="00F52A24" w:rsidP="00410F68" w14:paraId="1BAF2BA6" w14:textId="50B32B33">
      <w:pPr>
        <w:pStyle w:val="ParaNum"/>
      </w:pPr>
      <w:r>
        <w:rPr>
          <w:i/>
          <w:iCs/>
        </w:rPr>
        <w:t>Public Notice and Comments.</w:t>
      </w:r>
      <w:r>
        <w:t xml:space="preserve">  </w:t>
      </w:r>
      <w:r w:rsidR="00E306FC">
        <w:t>By public notice issued July 1, 2020, t</w:t>
      </w:r>
      <w:r>
        <w:t xml:space="preserve">he Bureau </w:t>
      </w:r>
      <w:r w:rsidR="00E306FC">
        <w:t xml:space="preserve">sought comment on </w:t>
      </w:r>
      <w:r>
        <w:t xml:space="preserve">the US Cellular petition and two </w:t>
      </w:r>
      <w:r w:rsidR="00E306FC">
        <w:t>other petitions seeking waiver extensions on behalf of various non-Tier I CMRS providers</w:t>
      </w:r>
      <w:r>
        <w:t>.</w:t>
      </w:r>
      <w:r>
        <w:rPr>
          <w:rStyle w:val="FootnoteReference"/>
        </w:rPr>
        <w:footnoteReference w:id="48"/>
      </w:r>
      <w:r>
        <w:t xml:space="preserve">  </w:t>
      </w:r>
      <w:r w:rsidR="00E306FC">
        <w:t>In their comments on the petitions, t</w:t>
      </w:r>
      <w:r>
        <w:t xml:space="preserve">he Consumer Groups </w:t>
      </w:r>
      <w:bookmarkStart w:id="3" w:name="_Hlk54866993"/>
      <w:r>
        <w:t xml:space="preserve">and Accessibility Researchers </w:t>
      </w:r>
      <w:bookmarkEnd w:id="3"/>
      <w:r w:rsidR="00E306FC">
        <w:t xml:space="preserve">raise </w:t>
      </w:r>
      <w:r>
        <w:t xml:space="preserve">concerns with the ability of individuals with hearing and speech disabilities to make 911 calls on </w:t>
      </w:r>
      <w:r w:rsidR="00E306FC">
        <w:t xml:space="preserve">the petitioning </w:t>
      </w:r>
      <w:r>
        <w:t xml:space="preserve">providers’ IP-based networks, suggesting that </w:t>
      </w:r>
      <w:r w:rsidR="00E306FC">
        <w:t xml:space="preserve">these and other </w:t>
      </w:r>
      <w:r>
        <w:t xml:space="preserve">non-Tier </w:t>
      </w:r>
      <w:r w:rsidR="00FF3CAF">
        <w:t>I</w:t>
      </w:r>
      <w:r>
        <w:t xml:space="preserve"> providers had unreasonably delayed implementation of RTT</w:t>
      </w:r>
      <w:r w:rsidR="006841E2">
        <w:t>.</w:t>
      </w:r>
      <w:r>
        <w:rPr>
          <w:rStyle w:val="FootnoteReference"/>
        </w:rPr>
        <w:footnoteReference w:id="49"/>
      </w:r>
      <w:r w:rsidR="006841E2">
        <w:t xml:space="preserve">  While not objecting to </w:t>
      </w:r>
      <w:r>
        <w:t xml:space="preserve">an extension </w:t>
      </w:r>
      <w:r w:rsidR="006841E2">
        <w:t xml:space="preserve">of waivers </w:t>
      </w:r>
      <w:r>
        <w:t>to September 1, 2020</w:t>
      </w:r>
      <w:r w:rsidR="006841E2">
        <w:t xml:space="preserve">, the Consumer Groups </w:t>
      </w:r>
      <w:r w:rsidRPr="006841E2" w:rsidR="006841E2">
        <w:t xml:space="preserve">and Accessibility Researchers </w:t>
      </w:r>
      <w:r w:rsidR="006841E2">
        <w:t>urge</w:t>
      </w:r>
      <w:r w:rsidR="00EB499A">
        <w:t>d</w:t>
      </w:r>
      <w:r w:rsidR="006841E2">
        <w:t xml:space="preserve"> the Commission to institute enforcement actions if noncompliance extended beyond that date</w:t>
      </w:r>
      <w:r>
        <w:t>.</w:t>
      </w:r>
      <w:r>
        <w:rPr>
          <w:rStyle w:val="FootnoteReference"/>
        </w:rPr>
        <w:footnoteReference w:id="50"/>
      </w:r>
      <w:r>
        <w:t xml:space="preserve"> </w:t>
      </w:r>
    </w:p>
    <w:p w:rsidR="00410F68" w:rsidP="00B15EBB" w14:paraId="1CEC6896" w14:textId="00774D5C">
      <w:pPr>
        <w:pStyle w:val="ParaNum"/>
        <w:widowControl/>
      </w:pPr>
      <w:r>
        <w:t xml:space="preserve">In </w:t>
      </w:r>
      <w:r>
        <w:t>US Cellular</w:t>
      </w:r>
      <w:r>
        <w:t>’s</w:t>
      </w:r>
      <w:r>
        <w:t xml:space="preserve"> reply</w:t>
      </w:r>
      <w:r>
        <w:t>, it</w:t>
      </w:r>
      <w:r>
        <w:t xml:space="preserve"> </w:t>
      </w:r>
      <w:r>
        <w:t>acknowledge</w:t>
      </w:r>
      <w:r w:rsidR="00F52A24">
        <w:t>s</w:t>
      </w:r>
      <w:r>
        <w:t xml:space="preserve"> </w:t>
      </w:r>
      <w:r>
        <w:t>the concerns of the Consumer Groups and Accessibility Researchers</w:t>
      </w:r>
      <w:r>
        <w:t xml:space="preserve"> and</w:t>
      </w:r>
      <w:r>
        <w:t xml:space="preserve"> </w:t>
      </w:r>
      <w:r>
        <w:t>provide</w:t>
      </w:r>
      <w:r w:rsidR="00F52A24">
        <w:t>s</w:t>
      </w:r>
      <w:r>
        <w:t xml:space="preserve"> additional </w:t>
      </w:r>
      <w:r>
        <w:t xml:space="preserve">detail </w:t>
      </w:r>
      <w:r>
        <w:t xml:space="preserve">on </w:t>
      </w:r>
      <w:r>
        <w:t>its efforts to deploy RTT before the end of 2020.</w:t>
      </w:r>
      <w:r>
        <w:rPr>
          <w:rStyle w:val="FootnoteReference"/>
        </w:rPr>
        <w:footnoteReference w:id="51"/>
      </w:r>
      <w:r>
        <w:t xml:space="preserve">  </w:t>
      </w:r>
      <w:r w:rsidR="00F52A24">
        <w:t xml:space="preserve">Specifically, US Cellular states it was able to complete all upgrades necessary in its core network, provides an anticipated September 2 date for the completion of 911 testing, and </w:t>
      </w:r>
      <w:r w:rsidR="00BD31F7">
        <w:t>projects the completion of user-device testing in sufficient time to support a launch of the RTT service by “approximately October 26, 2020.”</w:t>
      </w:r>
      <w:r>
        <w:rPr>
          <w:rStyle w:val="FootnoteReference"/>
        </w:rPr>
        <w:footnoteReference w:id="52"/>
      </w:r>
      <w:r w:rsidR="00BD31F7">
        <w:t xml:space="preserve"> </w:t>
      </w:r>
      <w:r w:rsidR="00F52A24">
        <w:t xml:space="preserve"> </w:t>
      </w:r>
      <w:r>
        <w:t xml:space="preserve">In a subsequent </w:t>
      </w:r>
      <w:r w:rsidRPr="00131F51">
        <w:rPr>
          <w:i/>
          <w:iCs/>
        </w:rPr>
        <w:t>ex parte</w:t>
      </w:r>
      <w:r>
        <w:t xml:space="preserve"> meeting with CGB Staff, </w:t>
      </w:r>
      <w:r w:rsidR="00BD31F7">
        <w:t>while</w:t>
      </w:r>
      <w:r>
        <w:t xml:space="preserve"> </w:t>
      </w:r>
      <w:r w:rsidR="00BD31F7">
        <w:t xml:space="preserve">reiterating their </w:t>
      </w:r>
      <w:r w:rsidR="00926D64">
        <w:t xml:space="preserve">position that a six-month extension </w:t>
      </w:r>
      <w:r w:rsidRPr="00926D64" w:rsidR="00926D64">
        <w:t xml:space="preserve">is </w:t>
      </w:r>
      <w:r w:rsidR="00926D64">
        <w:t>“</w:t>
      </w:r>
      <w:r w:rsidRPr="00926D64" w:rsidR="00926D64">
        <w:t>unacceptable and unfortunate</w:t>
      </w:r>
      <w:r w:rsidR="00926D64">
        <w:t xml:space="preserve">,” </w:t>
      </w:r>
      <w:r w:rsidR="00BD31F7">
        <w:t xml:space="preserve">the Consumer Groups and Accessibility Researchers </w:t>
      </w:r>
      <w:r w:rsidR="00C46594">
        <w:t>“</w:t>
      </w:r>
      <w:r w:rsidRPr="00926D64" w:rsidR="00926D64">
        <w:t>acknowledged US Cellular’s commitment to provide support for RTT services by Dec. 31, 2020 and detailed progress updates on its efforts to come into compliance ahead of that date</w:t>
      </w:r>
      <w:r w:rsidR="00804377">
        <w:t>.</w:t>
      </w:r>
      <w:r w:rsidR="001E56A1">
        <w:t>”</w:t>
      </w:r>
      <w:r>
        <w:rPr>
          <w:rStyle w:val="FootnoteReference"/>
        </w:rPr>
        <w:footnoteReference w:id="53"/>
      </w:r>
    </w:p>
    <w:p w:rsidR="00BD31F7" w:rsidP="00410F68" w14:paraId="67C9C16B" w14:textId="51BB01D4">
      <w:pPr>
        <w:pStyle w:val="ParaNum"/>
      </w:pPr>
      <w:r>
        <w:t xml:space="preserve">Finally, in an </w:t>
      </w:r>
      <w:r w:rsidRPr="00B15EBB">
        <w:rPr>
          <w:i/>
          <w:iCs/>
        </w:rPr>
        <w:t>ex parte</w:t>
      </w:r>
      <w:r>
        <w:t xml:space="preserve"> letter filed October 29, 2020, US Cellular informs the Commission that it was in fact able to launch its RTT service on October 26, 2020, and consequently that it no longer needs a waiver extending through the end of the year.</w:t>
      </w:r>
      <w:r>
        <w:rPr>
          <w:rStyle w:val="FootnoteReference"/>
        </w:rPr>
        <w:footnoteReference w:id="54"/>
      </w:r>
    </w:p>
    <w:p w:rsidR="00410F68" w:rsidRPr="001F7A15" w:rsidP="00410F68" w14:paraId="3474FD9D" w14:textId="77777777">
      <w:pPr>
        <w:pStyle w:val="Heading1"/>
      </w:pPr>
      <w:r>
        <w:t>discussion</w:t>
      </w:r>
    </w:p>
    <w:p w:rsidR="00410F68" w:rsidP="00410F68" w14:paraId="07322F94" w14:textId="4364749F">
      <w:pPr>
        <w:pStyle w:val="ParaNum"/>
      </w:pPr>
      <w:r>
        <w:rPr>
          <w:i/>
          <w:iCs/>
        </w:rPr>
        <w:t>Waiver Standard.</w:t>
      </w:r>
      <w:r>
        <w:t xml:space="preserve">  </w:t>
      </w:r>
      <w:r w:rsidRPr="001F7A15">
        <w:t>A Commission rule may be waived for “good cause shown.”</w:t>
      </w:r>
      <w:r>
        <w:rPr>
          <w:rStyle w:val="FootnoteReference"/>
        </w:rPr>
        <w:footnoteReference w:id="55"/>
      </w:r>
      <w:r w:rsidRPr="001F7A15">
        <w:t xml:space="preserve">  In particular, a waiver is appropriate where the particular facts make strict compliance inconsistent with the public interest.</w:t>
      </w:r>
      <w:r>
        <w:rPr>
          <w:rStyle w:val="FootnoteReference"/>
        </w:rPr>
        <w:footnoteReference w:id="56"/>
      </w:r>
      <w:r w:rsidRPr="001F7A15">
        <w:t xml:space="preserve">  In addition, we may take into account considerations of hardship, equity, or more effective implementation of overall policy on an individual basis.</w:t>
      </w:r>
      <w:r>
        <w:rPr>
          <w:rStyle w:val="FootnoteReference"/>
        </w:rPr>
        <w:footnoteReference w:id="57"/>
      </w:r>
      <w:r w:rsidRPr="001F7A15">
        <w:t xml:space="preserve">  </w:t>
      </w:r>
      <w:r w:rsidR="00F44C43">
        <w:t xml:space="preserve">Good cause for </w:t>
      </w:r>
      <w:r w:rsidRPr="001F7A15">
        <w:t xml:space="preserve">a waiver </w:t>
      </w:r>
      <w:r w:rsidR="00F44C43">
        <w:t>may be found</w:t>
      </w:r>
      <w:r w:rsidRPr="001F7A15">
        <w:t xml:space="preserve"> if special circumstances warrant a deviation from the general rule and such deviation will serve the public interest.</w:t>
      </w:r>
      <w:r>
        <w:rPr>
          <w:rStyle w:val="FootnoteReference"/>
        </w:rPr>
        <w:footnoteReference w:id="58"/>
      </w:r>
      <w:r w:rsidR="00BC469F">
        <w:t xml:space="preserve"> </w:t>
      </w:r>
    </w:p>
    <w:p w:rsidR="00410F68" w:rsidP="00410F68" w14:paraId="47351D38" w14:textId="2A1BCDCC">
      <w:pPr>
        <w:pStyle w:val="ParaNum"/>
      </w:pPr>
      <w:r>
        <w:rPr>
          <w:i/>
          <w:iCs/>
        </w:rPr>
        <w:t>Grant of Waiver.</w:t>
      </w:r>
      <w:r>
        <w:t xml:space="preserve">  We find good cause to grant US Cellular</w:t>
      </w:r>
      <w:r w:rsidR="00406EB3">
        <w:t xml:space="preserve"> </w:t>
      </w:r>
      <w:r w:rsidR="00BD31F7">
        <w:t>a retroactive</w:t>
      </w:r>
      <w:r>
        <w:t xml:space="preserve"> extension of </w:t>
      </w:r>
      <w:r w:rsidR="00BD31F7">
        <w:t xml:space="preserve">its </w:t>
      </w:r>
      <w:r>
        <w:t xml:space="preserve">TTY-support waiver </w:t>
      </w:r>
      <w:r w:rsidR="00BD31F7">
        <w:t>through October 26, 2020, the date of US Cellular’s “consumer launch” of its RTT service</w:t>
      </w:r>
      <w:r>
        <w:t xml:space="preserve">.  Its petition and reply comments demonstrate that US Cellular </w:t>
      </w:r>
      <w:r w:rsidR="003F6B41">
        <w:t xml:space="preserve">faced major, unexpected difficulties that prevented the timely completion of its deployment of </w:t>
      </w:r>
      <w:r>
        <w:t xml:space="preserve">an RTT solution </w:t>
      </w:r>
      <w:r w:rsidR="003F6B41">
        <w:t xml:space="preserve">in </w:t>
      </w:r>
      <w:r>
        <w:t xml:space="preserve">its network, </w:t>
      </w:r>
      <w:r w:rsidR="003F6B41">
        <w:t xml:space="preserve">including </w:t>
      </w:r>
      <w:r>
        <w:t xml:space="preserve">the capability to deliver 911 RTT calls to PSAPs and </w:t>
      </w:r>
      <w:r w:rsidR="003F6B41">
        <w:t xml:space="preserve">its inclusion of </w:t>
      </w:r>
      <w:r>
        <w:t xml:space="preserve">a native RTT application in </w:t>
      </w:r>
      <w:r w:rsidR="003F6B41">
        <w:t xml:space="preserve">at least one </w:t>
      </w:r>
      <w:r>
        <w:t>handset</w:t>
      </w:r>
      <w:r w:rsidR="003F6B41">
        <w:t xml:space="preserve"> model</w:t>
      </w:r>
      <w:r>
        <w:t xml:space="preserve">. </w:t>
      </w:r>
      <w:r w:rsidR="008C50CF">
        <w:t xml:space="preserve"> </w:t>
      </w:r>
      <w:r w:rsidR="00D4599C">
        <w:t>The particularized showing</w:t>
      </w:r>
      <w:r>
        <w:rPr>
          <w:rStyle w:val="FootnoteReference"/>
        </w:rPr>
        <w:footnoteReference w:id="59"/>
      </w:r>
      <w:r w:rsidR="00D4599C">
        <w:t xml:space="preserve"> laid out in US Cellular’s petition indicates that US Cellular missed the June 30 deadline due to a combination of numerous technology issues.  </w:t>
      </w:r>
      <w:r w:rsidR="008220AB">
        <w:t>We</w:t>
      </w:r>
      <w:r w:rsidR="00D4599C">
        <w:t xml:space="preserve"> are concerned that the company apparently did not begin preparing for this major network change until 2019</w:t>
      </w:r>
      <w:r>
        <w:rPr>
          <w:rStyle w:val="FootnoteReference"/>
        </w:rPr>
        <w:footnoteReference w:id="60"/>
      </w:r>
      <w:r w:rsidR="00C83D0E">
        <w:t xml:space="preserve"> and did not communicate with the Commission regarding its compliance issues until shortly before the June 30 deadline,</w:t>
      </w:r>
      <w:r>
        <w:t xml:space="preserve"> </w:t>
      </w:r>
      <w:r w:rsidR="008220AB">
        <w:t>making it impossible for the Commission to act on its request prior to the deadline.</w:t>
      </w:r>
      <w:r>
        <w:rPr>
          <w:rStyle w:val="FootnoteReference"/>
        </w:rPr>
        <w:footnoteReference w:id="61"/>
      </w:r>
      <w:r w:rsidR="008220AB">
        <w:t xml:space="preserve">  </w:t>
      </w:r>
      <w:r w:rsidR="00983F51">
        <w:t xml:space="preserve">We reiterate that applicants for waiver (including a waiver extension, if the initial waiver has expired) </w:t>
      </w:r>
      <w:r w:rsidR="00983F51">
        <w:t>have a duty to comply with all applicable regulations pending a decision on such application.</w:t>
      </w:r>
      <w:r>
        <w:rPr>
          <w:rStyle w:val="FootnoteReference"/>
        </w:rPr>
        <w:footnoteReference w:id="62"/>
      </w:r>
      <w:r w:rsidR="00983F51">
        <w:t xml:space="preserve">  </w:t>
      </w:r>
      <w:r w:rsidR="008220AB">
        <w:t xml:space="preserve">However, </w:t>
      </w:r>
      <w:r w:rsidR="00044881">
        <w:t xml:space="preserve">while US Cellular’s </w:t>
      </w:r>
      <w:r w:rsidR="00A93340">
        <w:t xml:space="preserve">performance </w:t>
      </w:r>
      <w:r w:rsidR="00044881">
        <w:t xml:space="preserve">could have been improved by </w:t>
      </w:r>
      <w:r w:rsidR="00301BED">
        <w:t xml:space="preserve">allowing more lead time, </w:t>
      </w:r>
      <w:r w:rsidR="00D25D16">
        <w:t>o</w:t>
      </w:r>
      <w:r w:rsidR="00BD4D87">
        <w:t xml:space="preserve">nce </w:t>
      </w:r>
      <w:r w:rsidR="00301BED">
        <w:t xml:space="preserve">it </w:t>
      </w:r>
      <w:r w:rsidR="00BD4D87">
        <w:t xml:space="preserve">took concrete steps </w:t>
      </w:r>
      <w:r w:rsidR="00301BED">
        <w:t xml:space="preserve">in 2019 </w:t>
      </w:r>
      <w:r w:rsidR="00BD4D87">
        <w:t xml:space="preserve">toward deploying RTT, it showed </w:t>
      </w:r>
      <w:r>
        <w:t>reasonable diligence in</w:t>
      </w:r>
      <w:r w:rsidR="00D4599C">
        <w:t xml:space="preserve"> preparing to</w:t>
      </w:r>
      <w:r>
        <w:t xml:space="preserve"> deploy RTT</w:t>
      </w:r>
      <w:r w:rsidR="00D4599C">
        <w:t xml:space="preserve"> and commendable energy in its efforts to overcome the various unexpected obstacles to completing deployment in a timely fashion.</w:t>
      </w:r>
      <w:r>
        <w:t xml:space="preserve"> </w:t>
      </w:r>
      <w:r w:rsidR="00D4599C">
        <w:t xml:space="preserve"> </w:t>
      </w:r>
      <w:r w:rsidR="00E924CA">
        <w:t xml:space="preserve">As a result of these efforts, the company was </w:t>
      </w:r>
      <w:r w:rsidR="003F6B41">
        <w:t>able to launch RTT service more than two months prior to the December 31 end date requested in its waiver extension petition</w:t>
      </w:r>
      <w:r>
        <w:t>.</w:t>
      </w:r>
      <w:r>
        <w:rPr>
          <w:rStyle w:val="FootnoteReference"/>
        </w:rPr>
        <w:footnoteReference w:id="63"/>
      </w:r>
      <w:r>
        <w:t xml:space="preserve">  Further, </w:t>
      </w:r>
      <w:r w:rsidR="003F6B41">
        <w:t xml:space="preserve">during the approximately four-month period between the June 30 expiration of its existing waiver and the October 26 launch of RTT, </w:t>
      </w:r>
      <w:r>
        <w:t xml:space="preserve">it </w:t>
      </w:r>
      <w:r w:rsidR="00852F88">
        <w:t xml:space="preserve">continued to maintain </w:t>
      </w:r>
      <w:r>
        <w:t>its 3G network</w:t>
      </w:r>
      <w:r w:rsidR="00852F88">
        <w:t>, which may have allowed</w:t>
      </w:r>
      <w:r>
        <w:t xml:space="preserve"> persons </w:t>
      </w:r>
      <w:r w:rsidR="003F6B41">
        <w:t xml:space="preserve">reliant on that technology </w:t>
      </w:r>
      <w:r w:rsidR="00F434BA">
        <w:t xml:space="preserve">some capability to </w:t>
      </w:r>
      <w:r w:rsidR="003F6B41">
        <w:t>continue making</w:t>
      </w:r>
      <w:r>
        <w:t xml:space="preserve"> text calls.</w:t>
      </w:r>
      <w:r>
        <w:rPr>
          <w:rStyle w:val="FootnoteReference"/>
        </w:rPr>
        <w:footnoteReference w:id="64"/>
      </w:r>
      <w:r w:rsidR="00F434BA">
        <w:t xml:space="preserve">  </w:t>
      </w:r>
      <w:r w:rsidR="000A4528">
        <w:t>Based on</w:t>
      </w:r>
      <w:r w:rsidR="008220AB">
        <w:t xml:space="preserve"> these special circumstances, w</w:t>
      </w:r>
      <w:r>
        <w:t xml:space="preserve">e grant </w:t>
      </w:r>
      <w:r w:rsidR="00E924CA">
        <w:t xml:space="preserve">an </w:t>
      </w:r>
      <w:r>
        <w:t xml:space="preserve">extension retroactively </w:t>
      </w:r>
      <w:r w:rsidR="00E924CA">
        <w:t xml:space="preserve">for the period from </w:t>
      </w:r>
      <w:r>
        <w:t>July 1</w:t>
      </w:r>
      <w:r w:rsidR="00985021">
        <w:t xml:space="preserve"> </w:t>
      </w:r>
      <w:r w:rsidR="00E924CA">
        <w:t>through October 26, 2020.</w:t>
      </w:r>
    </w:p>
    <w:p w:rsidR="00410F68" w:rsidRPr="001F7A15" w:rsidP="00410F68" w14:paraId="2BA68E7F" w14:textId="55D57DBA">
      <w:pPr>
        <w:keepNext/>
        <w:numPr>
          <w:ilvl w:val="0"/>
          <w:numId w:val="3"/>
        </w:numPr>
        <w:suppressAutoHyphens/>
        <w:spacing w:after="120"/>
        <w:outlineLvl w:val="0"/>
        <w:rPr>
          <w:rFonts w:ascii="Times New Roman Bold" w:hAnsi="Times New Roman Bold"/>
          <w:b/>
          <w:caps/>
        </w:rPr>
      </w:pPr>
      <w:r w:rsidRPr="001F7A15">
        <w:rPr>
          <w:rFonts w:ascii="Times New Roman Bold" w:hAnsi="Times New Roman Bold"/>
          <w:b/>
          <w:caps/>
        </w:rPr>
        <w:t>Ordering Clauses</w:t>
      </w:r>
    </w:p>
    <w:p w:rsidR="00410F68" w:rsidRPr="001F7A15" w:rsidP="00410F68" w14:paraId="2FB55656" w14:textId="1779917C">
      <w:pPr>
        <w:pStyle w:val="ParaNum"/>
      </w:pPr>
      <w:r w:rsidRPr="001F7A15">
        <w:t>Accordingly, IT IS ORDERED that, pursuant to the authority contained in sections 4(i), 4(j), 225, 255, and 617 of the Communications Act of 1934, as amended, 47 U.S.C. §§ 154(i), 154(j), 225, 255, 716, and sections 0.141, 0.361, and 1.3 of the Commission’s rules, 47 C</w:t>
      </w:r>
      <w:r>
        <w:t>FR</w:t>
      </w:r>
      <w:r w:rsidRPr="001F7A15">
        <w:t xml:space="preserve"> §§ 0.141, 0.361, 1.3, this Order is ADOPTED.</w:t>
      </w:r>
    </w:p>
    <w:p w:rsidR="00410F68" w:rsidRPr="001F7A15" w:rsidP="00410F68" w14:paraId="5ABDDD8F" w14:textId="19E6D04E">
      <w:pPr>
        <w:pStyle w:val="ParaNum"/>
      </w:pPr>
      <w:r>
        <w:t>IT IS FURTHER ORDERED that the petition for waiver of US Cellular filed June 22, 2020, IS GRANTED to the exten</w:t>
      </w:r>
      <w:r w:rsidR="00042A7F">
        <w:t>t</w:t>
      </w:r>
      <w:r>
        <w:t xml:space="preserve"> described herein.</w:t>
      </w:r>
      <w:r w:rsidRPr="001F7A15">
        <w:t xml:space="preserve">  </w:t>
      </w:r>
    </w:p>
    <w:p w:rsidR="00410F68" w:rsidP="00410F68" w14:paraId="40E99941" w14:textId="19F897DA">
      <w:pPr>
        <w:pStyle w:val="ParaNum"/>
      </w:pPr>
      <w:r w:rsidRPr="001F7A15">
        <w:t xml:space="preserve">IT IS FURTHER ORDERED that the </w:t>
      </w:r>
      <w:r w:rsidR="00042A7F">
        <w:t xml:space="preserve">partial </w:t>
      </w:r>
      <w:r w:rsidRPr="001F7A15">
        <w:t xml:space="preserve">waiver of sections 6.5, 7.5, </w:t>
      </w:r>
      <w:r w:rsidR="00C21384">
        <w:t xml:space="preserve">9.10(c), </w:t>
      </w:r>
      <w:r w:rsidRPr="001F7A15">
        <w:t>14.2</w:t>
      </w:r>
      <w:r w:rsidR="00893D11">
        <w:t>0</w:t>
      </w:r>
      <w:r w:rsidR="00C21384">
        <w:t xml:space="preserve">, </w:t>
      </w:r>
      <w:r w:rsidRPr="001F7A15">
        <w:t>and 64.603 of the Commission’s rules, 47 C</w:t>
      </w:r>
      <w:r>
        <w:t>FR</w:t>
      </w:r>
      <w:r w:rsidRPr="001F7A15">
        <w:t xml:space="preserve"> §§ 6.5, 7.5, </w:t>
      </w:r>
      <w:r>
        <w:t>9.10</w:t>
      </w:r>
      <w:r w:rsidR="008E5E1F">
        <w:t>(c)</w:t>
      </w:r>
      <w:r w:rsidRPr="001F7A15">
        <w:t xml:space="preserve">, </w:t>
      </w:r>
      <w:r w:rsidRPr="00271113" w:rsidR="00271113">
        <w:t xml:space="preserve">14.20, </w:t>
      </w:r>
      <w:r w:rsidRPr="001F7A15">
        <w:t xml:space="preserve">64.603 </w:t>
      </w:r>
      <w:r w:rsidR="00042A7F">
        <w:t>shall apply retroactively to the period from</w:t>
      </w:r>
      <w:r>
        <w:t xml:space="preserve"> July 1</w:t>
      </w:r>
      <w:r w:rsidR="00042A7F">
        <w:t xml:space="preserve"> to October 26</w:t>
      </w:r>
      <w:r>
        <w:t>, 2020</w:t>
      </w:r>
      <w:r w:rsidRPr="001F7A15">
        <w:t>.</w:t>
      </w:r>
    </w:p>
    <w:p w:rsidR="006C7F29" w:rsidP="00410F68" w14:paraId="2DD7DF0D" w14:textId="7074575D">
      <w:pPr>
        <w:pStyle w:val="ParaNum"/>
      </w:pPr>
      <w:r>
        <w:t>IT IS FURTHER ORDERED that</w:t>
      </w:r>
      <w:r w:rsidR="00AA2F6B">
        <w:t>, pursuant to section 1.102(b) of the Commission’s rules, 47 CFR § 1.102(b),</w:t>
      </w:r>
      <w:r>
        <w:t xml:space="preserve"> this Order SHALL BE EFFECTIVE upon release.</w:t>
      </w:r>
    </w:p>
    <w:p w:rsidR="00410F68" w:rsidRPr="001F7A15" w:rsidP="00410F68" w14:paraId="5CA93870" w14:textId="53F93EE6">
      <w:pPr>
        <w:pStyle w:val="ParaNum"/>
      </w:pPr>
      <w:r w:rsidRPr="001F7A15">
        <w:t xml:space="preserve">To request materials in accessible formats (such as Braille, large print, electronic files, or audio format), send an e-mail to: </w:t>
      </w:r>
      <w:r w:rsidR="00C21384">
        <w:t xml:space="preserve"> </w:t>
      </w:r>
      <w:hyperlink r:id="rId5" w:history="1">
        <w:r w:rsidRPr="00B97F9B" w:rsidR="00C21384">
          <w:rPr>
            <w:rStyle w:val="Hyperlink"/>
          </w:rPr>
          <w:t>fcc504@fcc.gov</w:t>
        </w:r>
      </w:hyperlink>
      <w:r w:rsidR="00C21384">
        <w:t xml:space="preserve">, </w:t>
      </w:r>
      <w:r w:rsidRPr="001F7A15">
        <w:t xml:space="preserve">or call the Consumer &amp; Governmental Affairs Bureau at (202) 418-0530.  </w:t>
      </w:r>
    </w:p>
    <w:p w:rsidR="00410F68" w:rsidRPr="001F7A15" w:rsidP="00410F68" w14:paraId="62E71B1E" w14:textId="77777777">
      <w:pPr>
        <w:keepNext/>
        <w:widowControl/>
        <w:ind w:left="4320"/>
      </w:pPr>
    </w:p>
    <w:p w:rsidR="00410F68" w:rsidRPr="001F7A15" w:rsidP="00410F68" w14:paraId="57084675" w14:textId="77777777">
      <w:pPr>
        <w:keepNext/>
        <w:widowControl/>
        <w:ind w:left="4320"/>
      </w:pPr>
      <w:r w:rsidRPr="001F7A15">
        <w:t>FEDERAL COMMUNICATIONS COMMISSION</w:t>
      </w:r>
    </w:p>
    <w:p w:rsidR="00410F68" w:rsidRPr="001F7A15" w:rsidP="00410F68" w14:paraId="7383DA4E" w14:textId="77777777">
      <w:pPr>
        <w:keepNext/>
        <w:widowControl/>
        <w:ind w:left="4320"/>
      </w:pPr>
    </w:p>
    <w:p w:rsidR="00410F68" w:rsidRPr="001F7A15" w:rsidP="00410F68" w14:paraId="245AE071" w14:textId="77777777">
      <w:pPr>
        <w:keepNext/>
        <w:widowControl/>
        <w:ind w:left="4320"/>
      </w:pPr>
    </w:p>
    <w:p w:rsidR="00410F68" w:rsidRPr="001F7A15" w:rsidP="00410F68" w14:paraId="4D611D80" w14:textId="77777777">
      <w:pPr>
        <w:keepNext/>
        <w:widowControl/>
        <w:ind w:left="4320"/>
      </w:pPr>
    </w:p>
    <w:p w:rsidR="00410F68" w:rsidRPr="001F7A15" w:rsidP="00410F68" w14:paraId="21B59829" w14:textId="77777777">
      <w:pPr>
        <w:keepNext/>
        <w:widowControl/>
        <w:ind w:left="4320"/>
      </w:pPr>
    </w:p>
    <w:p w:rsidR="00410F68" w:rsidRPr="001F7A15" w:rsidP="00410F68" w14:paraId="4E9B1C82" w14:textId="77777777">
      <w:pPr>
        <w:keepNext/>
        <w:widowControl/>
        <w:ind w:left="4320"/>
      </w:pPr>
      <w:r>
        <w:t>Patrick Webre</w:t>
      </w:r>
    </w:p>
    <w:p w:rsidR="00410F68" w:rsidRPr="001F7A15" w:rsidP="00410F68" w14:paraId="2FA1893C" w14:textId="77777777">
      <w:pPr>
        <w:keepNext/>
        <w:widowControl/>
        <w:ind w:left="4320"/>
      </w:pPr>
      <w:r w:rsidRPr="001F7A15">
        <w:t>Chief</w:t>
      </w:r>
      <w:r>
        <w:t>,</w:t>
      </w:r>
    </w:p>
    <w:p w:rsidR="004C2EE3" w:rsidP="00DA740B" w14:paraId="58F125CE" w14:textId="56DC12C1">
      <w:pPr>
        <w:keepNext/>
        <w:widowControl/>
        <w:ind w:left="4320"/>
      </w:pPr>
      <w:r w:rsidRPr="001F7A15">
        <w:t>Consumer and Governmental Affairs Bureau</w:t>
      </w:r>
    </w:p>
    <w:tbl>
      <w:tblPr>
        <w:tblW w:w="0" w:type="auto"/>
        <w:tblLayout w:type="fixed"/>
        <w:tblLook w:val="0000"/>
      </w:tblPr>
      <w:tblGrid>
        <w:gridCol w:w="4698"/>
        <w:gridCol w:w="630"/>
        <w:gridCol w:w="4248"/>
      </w:tblGrid>
      <w:tr w14:paraId="302B6645" w14:textId="77777777">
        <w:tblPrEx>
          <w:tblW w:w="0" w:type="auto"/>
          <w:tblLayout w:type="fixed"/>
          <w:tblLook w:val="0000"/>
        </w:tblPrEx>
        <w:tc>
          <w:tcPr>
            <w:tcW w:w="4698" w:type="dxa"/>
          </w:tcPr>
          <w:p w:rsidR="004C2EE3" w:rsidRPr="007115F7" w:rsidP="007115F7" w14:paraId="74066AE2" w14:textId="77777777">
            <w:pPr>
              <w:tabs>
                <w:tab w:val="center" w:pos="4680"/>
              </w:tabs>
              <w:suppressAutoHyphens/>
              <w:rPr>
                <w:spacing w:val="-2"/>
              </w:rPr>
            </w:pPr>
          </w:p>
        </w:tc>
        <w:tc>
          <w:tcPr>
            <w:tcW w:w="630" w:type="dxa"/>
          </w:tcPr>
          <w:p w:rsidR="004C2EE3" w:rsidRPr="00410F68" w14:paraId="353F4508" w14:textId="77777777">
            <w:pPr>
              <w:tabs>
                <w:tab w:val="center" w:pos="4680"/>
              </w:tabs>
              <w:suppressAutoHyphens/>
              <w:rPr>
                <w:b/>
                <w:spacing w:val="-2"/>
              </w:rPr>
            </w:pPr>
          </w:p>
        </w:tc>
        <w:tc>
          <w:tcPr>
            <w:tcW w:w="4248" w:type="dxa"/>
          </w:tcPr>
          <w:p w:rsidR="004C2EE3" w14:paraId="29B56D35" w14:textId="77777777">
            <w:pPr>
              <w:tabs>
                <w:tab w:val="center" w:pos="4680"/>
              </w:tabs>
              <w:suppressAutoHyphens/>
              <w:rPr>
                <w:spacing w:val="-2"/>
              </w:rPr>
            </w:pPr>
          </w:p>
        </w:tc>
      </w:tr>
    </w:tbl>
    <w:p w:rsidR="00412FC5" w:rsidRPr="00410F68" w:rsidP="00410F68" w14:paraId="0BFF31A6" w14:textId="77777777">
      <w:pPr>
        <w:pStyle w:val="StyleBoldCentered"/>
        <w:jc w:val="left"/>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65C7" w:rsidP="0055614C" w14:paraId="0A86C4CE" w14:textId="77777777">
    <w:pPr>
      <w:pStyle w:val="Footer"/>
      <w:framePr w:wrap="around" w:vAnchor="text" w:hAnchor="margin" w:xAlign="center" w:y="1"/>
    </w:pPr>
    <w:r>
      <w:fldChar w:fldCharType="begin"/>
    </w:r>
    <w:r>
      <w:instrText xml:space="preserve">PAGE  </w:instrText>
    </w:r>
    <w:r>
      <w:fldChar w:fldCharType="separate"/>
    </w:r>
    <w:r>
      <w:fldChar w:fldCharType="end"/>
    </w:r>
  </w:p>
  <w:p w:rsidR="000B65C7" w14:paraId="6F38BFC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65C7" w:rsidP="00E04B79" w14:paraId="723B3977" w14:textId="609428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65C7" w14:paraId="200B4BD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39FF" w14:paraId="36A745B0" w14:textId="77777777">
      <w:r>
        <w:separator/>
      </w:r>
    </w:p>
  </w:footnote>
  <w:footnote w:type="continuationSeparator" w:id="1">
    <w:p w:rsidR="002639FF" w:rsidP="00C721AC" w14:paraId="2C5D4F05" w14:textId="77777777">
      <w:pPr>
        <w:spacing w:before="120"/>
        <w:rPr>
          <w:sz w:val="20"/>
        </w:rPr>
      </w:pPr>
      <w:r>
        <w:rPr>
          <w:sz w:val="20"/>
        </w:rPr>
        <w:t xml:space="preserve">(Continued from previous page)  </w:t>
      </w:r>
      <w:r>
        <w:rPr>
          <w:sz w:val="20"/>
        </w:rPr>
        <w:separator/>
      </w:r>
    </w:p>
  </w:footnote>
  <w:footnote w:type="continuationNotice" w:id="2">
    <w:p w:rsidR="002639FF" w:rsidP="00C721AC" w14:paraId="1A8E3B4C" w14:textId="77777777">
      <w:pPr>
        <w:jc w:val="right"/>
        <w:rPr>
          <w:sz w:val="20"/>
        </w:rPr>
      </w:pPr>
      <w:r>
        <w:rPr>
          <w:sz w:val="20"/>
        </w:rPr>
        <w:t>(continued….)</w:t>
      </w:r>
    </w:p>
  </w:footnote>
  <w:footnote w:id="3">
    <w:p w:rsidR="000850BC" w14:paraId="3630762B" w14:textId="27135942">
      <w:pPr>
        <w:pStyle w:val="FootnoteText"/>
      </w:pPr>
      <w:r>
        <w:rPr>
          <w:rStyle w:val="FootnoteReference"/>
        </w:rPr>
        <w:footnoteRef/>
      </w:r>
      <w:r>
        <w:t xml:space="preserve"> US Cellular is a</w:t>
      </w:r>
      <w:r w:rsidR="00C63931">
        <w:t xml:space="preserve"> CMRS provider, serving 4.9 million </w:t>
      </w:r>
      <w:r w:rsidR="005773D5">
        <w:t xml:space="preserve">customers in 21 states.  </w:t>
      </w:r>
      <w:r w:rsidR="00F868F1">
        <w:t xml:space="preserve">United States Cellular Corp., </w:t>
      </w:r>
      <w:r w:rsidR="00176A9D">
        <w:t>Quarterly Report on Form</w:t>
      </w:r>
      <w:r w:rsidR="00022C0A">
        <w:t xml:space="preserve"> </w:t>
      </w:r>
      <w:r w:rsidR="00F868F1">
        <w:t xml:space="preserve">10-Q, at 3 </w:t>
      </w:r>
      <w:r w:rsidR="00067346">
        <w:t>(Aug. 6, 202</w:t>
      </w:r>
      <w:r w:rsidR="009759C9">
        <w:t>0</w:t>
      </w:r>
      <w:r w:rsidR="00022C0A">
        <w:t xml:space="preserve">), </w:t>
      </w:r>
      <w:r w:rsidRPr="00022C0A" w:rsidR="00022C0A">
        <w:t>https://d18rn0p25nwr6d.cloudfront.net/CIK-0000821130/225bb0fd-914d-463b-9f91-c7f63b4e3988.pdf</w:t>
      </w:r>
      <w:r w:rsidR="00022C0A">
        <w:t>.</w:t>
      </w:r>
    </w:p>
  </w:footnote>
  <w:footnote w:id="4">
    <w:p w:rsidR="000B65C7" w:rsidRPr="00886A9D" w14:paraId="62F27E37" w14:textId="52E37258">
      <w:pPr>
        <w:pStyle w:val="FootnoteText"/>
      </w:pPr>
      <w:r>
        <w:rPr>
          <w:rStyle w:val="FootnoteReference"/>
        </w:rPr>
        <w:footnoteRef/>
      </w:r>
      <w:r>
        <w:t xml:space="preserve"> </w:t>
      </w:r>
      <w:r w:rsidR="001E0F51">
        <w:rPr>
          <w:i/>
          <w:iCs/>
        </w:rPr>
        <w:t>Petition for Waiver of Rules Requiring Support of TTY Technology of Competitive Carriers Association</w:t>
      </w:r>
      <w:r w:rsidRPr="00FA3F75" w:rsidR="001E0F51">
        <w:t>,</w:t>
      </w:r>
      <w:r w:rsidR="001E0F51">
        <w:rPr>
          <w:i/>
          <w:iCs/>
        </w:rPr>
        <w:t xml:space="preserve"> </w:t>
      </w:r>
      <w:r w:rsidR="001E0F51">
        <w:t>GN Docket No. 15-178, Order, 31 FCC Rcd 3778 (CGB PSHSB WTB WCB 2016) (</w:t>
      </w:r>
      <w:r w:rsidR="001E0F51">
        <w:rPr>
          <w:i/>
          <w:iCs/>
        </w:rPr>
        <w:t>CCA TTY-RTT Transition Waiver Order</w:t>
      </w:r>
      <w:r w:rsidR="001E0F51">
        <w:t>). This waiver order applied to all members of</w:t>
      </w:r>
      <w:r w:rsidR="00A7236F">
        <w:t xml:space="preserve"> the Competitive Carriers Association (CCA</w:t>
      </w:r>
      <w:r w:rsidR="009021EA">
        <w:t>)</w:t>
      </w:r>
      <w:r w:rsidR="001E0F51">
        <w:t xml:space="preserve"> that chose to opt in by July 19, 2016. </w:t>
      </w:r>
      <w:r w:rsidR="00AD28B5">
        <w:t xml:space="preserve"> </w:t>
      </w:r>
      <w:r w:rsidR="001E0F51">
        <w:rPr>
          <w:i/>
          <w:iCs/>
        </w:rPr>
        <w:t>Id.</w:t>
      </w:r>
      <w:r w:rsidR="001E0F51">
        <w:t xml:space="preserve"> at 3785, para. 21</w:t>
      </w:r>
      <w:r w:rsidR="008B0690">
        <w:t xml:space="preserve">.  </w:t>
      </w:r>
      <w:r w:rsidR="002155BD">
        <w:t>In</w:t>
      </w:r>
      <w:r w:rsidR="00154AD1">
        <w:t xml:space="preserve"> its initial report, </w:t>
      </w:r>
      <w:r w:rsidR="00886A9D">
        <w:t>CCA</w:t>
      </w:r>
      <w:r w:rsidR="00910A92">
        <w:t xml:space="preserve"> </w:t>
      </w:r>
      <w:r w:rsidR="00886A9D">
        <w:t xml:space="preserve">identified US Cellular as one of its members opting in.  </w:t>
      </w:r>
      <w:r w:rsidR="00886A9D">
        <w:rPr>
          <w:i/>
          <w:iCs/>
        </w:rPr>
        <w:t>See</w:t>
      </w:r>
      <w:r w:rsidR="00886A9D">
        <w:t xml:space="preserve"> CCA, Report, CG Docket No. 15</w:t>
      </w:r>
      <w:r w:rsidR="002155BD">
        <w:t>-178, Attach. A, at 35 (filed July 19, 2016)</w:t>
      </w:r>
      <w:r w:rsidR="0050352E">
        <w:t xml:space="preserve"> (CCA Initial Report).</w:t>
      </w:r>
    </w:p>
  </w:footnote>
  <w:footnote w:id="5">
    <w:p w:rsidR="0053029D" w:rsidRPr="00724892" w14:paraId="4031B2F3" w14:textId="2906470D">
      <w:pPr>
        <w:pStyle w:val="FootnoteText"/>
      </w:pPr>
      <w:r>
        <w:rPr>
          <w:rStyle w:val="FootnoteReference"/>
        </w:rPr>
        <w:footnoteRef/>
      </w:r>
      <w:r>
        <w:t xml:space="preserve"> </w:t>
      </w:r>
      <w:r>
        <w:rPr>
          <w:i/>
          <w:iCs/>
        </w:rPr>
        <w:t>See</w:t>
      </w:r>
      <w:r w:rsidR="00724892">
        <w:t xml:space="preserve"> </w:t>
      </w:r>
      <w:r w:rsidRPr="00754DD1" w:rsidR="009139C9">
        <w:rPr>
          <w:i/>
          <w:iCs/>
        </w:rPr>
        <w:t>Transition from TTY to Real-Time Text Technology; Petition for Rulemaking to Update the Commission’s Rules for Access to Support the Transition from TTY to Real-Time Text Technology, and Petition for Waiver of Rules Requiring Support of TTY Technology</w:t>
      </w:r>
      <w:r w:rsidRPr="00FA3F75" w:rsidR="009139C9">
        <w:t>,</w:t>
      </w:r>
      <w:r w:rsidRPr="00754DD1" w:rsidR="009139C9">
        <w:rPr>
          <w:i/>
          <w:iCs/>
        </w:rPr>
        <w:t xml:space="preserve"> </w:t>
      </w:r>
      <w:r w:rsidRPr="00754DD1" w:rsidR="009139C9">
        <w:rPr>
          <w:iCs/>
        </w:rPr>
        <w:t>CG Docket No. 16-145 and GN Docket No.</w:t>
      </w:r>
      <w:r w:rsidR="008648E1">
        <w:rPr>
          <w:iCs/>
        </w:rPr>
        <w:t xml:space="preserve"> </w:t>
      </w:r>
      <w:r w:rsidRPr="00754DD1" w:rsidR="009139C9">
        <w:rPr>
          <w:iCs/>
        </w:rPr>
        <w:t>15-278,</w:t>
      </w:r>
      <w:r w:rsidRPr="00754DD1" w:rsidR="009139C9">
        <w:rPr>
          <w:i/>
          <w:iCs/>
        </w:rPr>
        <w:t xml:space="preserve"> </w:t>
      </w:r>
      <w:r w:rsidRPr="00754DD1" w:rsidR="009139C9">
        <w:rPr>
          <w:iCs/>
        </w:rPr>
        <w:t>Report and Order and Further Notice of Proposed Rulemaking, 31 FCC Rcd 13568, 13</w:t>
      </w:r>
      <w:r w:rsidR="00A32103">
        <w:rPr>
          <w:iCs/>
        </w:rPr>
        <w:t>602</w:t>
      </w:r>
      <w:r w:rsidRPr="00754DD1" w:rsidR="009139C9">
        <w:rPr>
          <w:iCs/>
        </w:rPr>
        <w:t xml:space="preserve">, para. </w:t>
      </w:r>
      <w:r w:rsidR="00F3079B">
        <w:rPr>
          <w:iCs/>
        </w:rPr>
        <w:t>66</w:t>
      </w:r>
      <w:r w:rsidRPr="00754DD1" w:rsidR="009139C9">
        <w:rPr>
          <w:iCs/>
        </w:rPr>
        <w:t xml:space="preserve"> (2016) (</w:t>
      </w:r>
      <w:r w:rsidRPr="00754DD1" w:rsidR="009139C9">
        <w:rPr>
          <w:i/>
          <w:iCs/>
        </w:rPr>
        <w:t>TTY-RTT Transition Order</w:t>
      </w:r>
      <w:r w:rsidRPr="00754DD1" w:rsidR="009139C9">
        <w:rPr>
          <w:iCs/>
        </w:rPr>
        <w:t>)</w:t>
      </w:r>
      <w:r w:rsidR="00910A92">
        <w:rPr>
          <w:iCs/>
        </w:rPr>
        <w:t xml:space="preserve"> </w:t>
      </w:r>
      <w:r w:rsidR="00431521">
        <w:rPr>
          <w:iCs/>
        </w:rPr>
        <w:t>(extending previously granted waivers for non-Tier 1</w:t>
      </w:r>
      <w:r w:rsidR="00D61B7C">
        <w:rPr>
          <w:iCs/>
        </w:rPr>
        <w:t xml:space="preserve"> CMRS providers, including US Cellular).</w:t>
      </w:r>
    </w:p>
  </w:footnote>
  <w:footnote w:id="6">
    <w:p w:rsidR="00473385" w14:paraId="20662606" w14:textId="274E0A83">
      <w:pPr>
        <w:pStyle w:val="FootnoteText"/>
      </w:pPr>
      <w:r>
        <w:rPr>
          <w:rStyle w:val="FootnoteReference"/>
        </w:rPr>
        <w:footnoteRef/>
      </w:r>
      <w:r>
        <w:t xml:space="preserve"> 47</w:t>
      </w:r>
      <w:r w:rsidR="00A4023C">
        <w:t xml:space="preserve"> U.S.C. §</w:t>
      </w:r>
      <w:r w:rsidR="0080123B">
        <w:t>§</w:t>
      </w:r>
      <w:r w:rsidR="00A4023C">
        <w:t xml:space="preserve"> </w:t>
      </w:r>
      <w:r w:rsidR="0080123B">
        <w:t>225</w:t>
      </w:r>
      <w:r w:rsidR="00023A5F">
        <w:t xml:space="preserve"> (teleco</w:t>
      </w:r>
      <w:r w:rsidR="00CA7E19">
        <w:t>mmunications relay services)</w:t>
      </w:r>
      <w:r w:rsidR="003B6F61">
        <w:t xml:space="preserve">, </w:t>
      </w:r>
      <w:r w:rsidR="00A4023C">
        <w:t>255</w:t>
      </w:r>
      <w:r w:rsidR="00CA7E19">
        <w:t xml:space="preserve"> (telecommunications services)</w:t>
      </w:r>
      <w:r w:rsidR="003B6F61">
        <w:t>, 617</w:t>
      </w:r>
      <w:r w:rsidR="00CA7E19">
        <w:t xml:space="preserve"> (advanced telecommunication services)</w:t>
      </w:r>
      <w:r w:rsidR="00A4023C">
        <w:t>.</w:t>
      </w:r>
    </w:p>
  </w:footnote>
  <w:footnote w:id="7">
    <w:p w:rsidR="00AD28B5" w:rsidP="00AD28B5" w14:paraId="517A38AD" w14:textId="4A9BB782">
      <w:pPr>
        <w:pStyle w:val="FootnoteText"/>
      </w:pPr>
      <w:r>
        <w:rPr>
          <w:rStyle w:val="FootnoteReference"/>
        </w:rPr>
        <w:footnoteRef/>
      </w:r>
      <w:r>
        <w:t xml:space="preserve"> </w:t>
      </w:r>
      <w:r w:rsidRPr="00390E9F">
        <w:rPr>
          <w:i/>
          <w:iCs/>
        </w:rPr>
        <w:t>See</w:t>
      </w:r>
      <w:r w:rsidRPr="00AD28B5">
        <w:rPr>
          <w:rFonts w:ascii="TimesNewRoman,Italic" w:hAnsi="TimesNewRoman,Italic" w:cs="TimesNewRoman,Italic"/>
          <w:i/>
          <w:iCs/>
          <w:color w:val="010101"/>
        </w:rPr>
        <w:t xml:space="preserve"> </w:t>
      </w:r>
      <w:r w:rsidRPr="00AD28B5">
        <w:rPr>
          <w:i/>
          <w:iCs/>
        </w:rPr>
        <w:t>Revision of the Commission’s Rules to Ensure Compatibility with Enhanced 911 Emergency Calling Systems</w:t>
      </w:r>
      <w:r w:rsidRPr="00AD28B5">
        <w:t>,</w:t>
      </w:r>
      <w:r>
        <w:t xml:space="preserve"> </w:t>
      </w:r>
      <w:r w:rsidRPr="00AD28B5">
        <w:t>11 FCC Rcd 18676, 18682, para. 10 (1996) (</w:t>
      </w:r>
      <w:r w:rsidRPr="00AD28B5">
        <w:rPr>
          <w:i/>
          <w:iCs/>
        </w:rPr>
        <w:t>E911 1996 Order</w:t>
      </w:r>
      <w:r w:rsidRPr="00AD28B5">
        <w:t>) (</w:t>
      </w:r>
      <w:r w:rsidRPr="00AD28B5">
        <w:rPr>
          <w:i/>
          <w:iCs/>
        </w:rPr>
        <w:t xml:space="preserve">citing </w:t>
      </w:r>
      <w:r w:rsidRPr="00AD28B5">
        <w:t>47 U.S.C. §§ 301, 303(r) as authority for</w:t>
      </w:r>
      <w:r>
        <w:t xml:space="preserve"> </w:t>
      </w:r>
      <w:r w:rsidRPr="00AD28B5">
        <w:t xml:space="preserve">adopting 47 CFR </w:t>
      </w:r>
      <w:bookmarkStart w:id="1" w:name="_Hlk57818660"/>
      <w:r w:rsidRPr="00AD28B5">
        <w:t xml:space="preserve">§ </w:t>
      </w:r>
      <w:bookmarkEnd w:id="1"/>
      <w:r w:rsidRPr="00AD28B5">
        <w:t>20.18</w:t>
      </w:r>
      <w:r>
        <w:t xml:space="preserve"> (now 47 CFR </w:t>
      </w:r>
      <w:r w:rsidRPr="00AD28B5">
        <w:t>§</w:t>
      </w:r>
      <w:r>
        <w:t xml:space="preserve"> 9.10)</w:t>
      </w:r>
      <w:r w:rsidRPr="00AD28B5">
        <w:t xml:space="preserve">, </w:t>
      </w:r>
      <w:r>
        <w:t>which</w:t>
      </w:r>
      <w:r w:rsidRPr="00AD28B5">
        <w:t xml:space="preserve"> includ</w:t>
      </w:r>
      <w:r>
        <w:t>es</w:t>
      </w:r>
      <w:r w:rsidRPr="00AD28B5">
        <w:t xml:space="preserve"> the </w:t>
      </w:r>
      <w:r>
        <w:t xml:space="preserve">provision addressing </w:t>
      </w:r>
      <w:r w:rsidRPr="00AD28B5">
        <w:t>transmission of TTY</w:t>
      </w:r>
      <w:r w:rsidR="00390E9F">
        <w:t>-initiated</w:t>
      </w:r>
      <w:r w:rsidRPr="00AD28B5">
        <w:t xml:space="preserve"> </w:t>
      </w:r>
      <w:r>
        <w:t xml:space="preserve">911 </w:t>
      </w:r>
      <w:r w:rsidRPr="00AD28B5">
        <w:t>calls)</w:t>
      </w:r>
      <w:r w:rsidR="00A437FF">
        <w:t>.</w:t>
      </w:r>
      <w:r>
        <w:t xml:space="preserve"> </w:t>
      </w:r>
    </w:p>
  </w:footnote>
  <w:footnote w:id="8">
    <w:p w:rsidR="000B65C7" w14:paraId="402CB487" w14:textId="70E09383">
      <w:pPr>
        <w:pStyle w:val="FootnoteText"/>
      </w:pPr>
      <w:r>
        <w:rPr>
          <w:rStyle w:val="FootnoteReference"/>
        </w:rPr>
        <w:footnoteRef/>
      </w:r>
      <w:r>
        <w:t xml:space="preserve"> </w:t>
      </w:r>
      <w:r w:rsidRPr="00366F82">
        <w:rPr>
          <w:iCs/>
        </w:rPr>
        <w:t>A TTY is a “machine that employs graphic communication in the transmission of coded signals through a wire or radio communication system,” using a legacy transmission technology called 5-level Baudot</w:t>
      </w:r>
      <w:r>
        <w:rPr>
          <w:iCs/>
        </w:rPr>
        <w:t>, which was developed more than 50 years ago</w:t>
      </w:r>
      <w:r w:rsidRPr="00366F82">
        <w:rPr>
          <w:iCs/>
        </w:rPr>
        <w:t>.</w:t>
      </w:r>
      <w:r>
        <w:rPr>
          <w:iCs/>
        </w:rPr>
        <w:t xml:space="preserve">  </w:t>
      </w:r>
      <w:r w:rsidRPr="006F66F0">
        <w:rPr>
          <w:iCs/>
        </w:rPr>
        <w:t>47 CFR § 64.601(a)(</w:t>
      </w:r>
      <w:r w:rsidR="008648E1">
        <w:rPr>
          <w:iCs/>
        </w:rPr>
        <w:t>4</w:t>
      </w:r>
      <w:r w:rsidRPr="006F66F0">
        <w:rPr>
          <w:iCs/>
        </w:rPr>
        <w:t>3).</w:t>
      </w:r>
      <w:r>
        <w:rPr>
          <w:iCs/>
        </w:rPr>
        <w:t xml:space="preserve">  </w:t>
      </w:r>
    </w:p>
  </w:footnote>
  <w:footnote w:id="9">
    <w:p w:rsidR="000B65C7" w:rsidRPr="00CD7DA0" w:rsidP="00E609A0" w14:paraId="4A84FA69" w14:textId="7AA66A83">
      <w:pPr>
        <w:pStyle w:val="FootnoteText"/>
        <w:rPr>
          <w:iCs/>
        </w:rPr>
      </w:pPr>
      <w:r>
        <w:rPr>
          <w:rStyle w:val="FootnoteReference"/>
        </w:rPr>
        <w:footnoteRef/>
      </w:r>
      <w:r>
        <w:t xml:space="preserve"> </w:t>
      </w:r>
      <w:r w:rsidRPr="00A437FF" w:rsidR="00A437FF">
        <w:rPr>
          <w:i/>
          <w:iCs/>
        </w:rPr>
        <w:t>Id</w:t>
      </w:r>
      <w:r w:rsidR="00A437FF">
        <w:t>.</w:t>
      </w:r>
      <w:r>
        <w:t xml:space="preserve"> § 9.10</w:t>
      </w:r>
      <w:r w:rsidRPr="00B9010F">
        <w:t>(c)</w:t>
      </w:r>
      <w:r>
        <w:t>.</w:t>
      </w:r>
      <w:r w:rsidRPr="008110BC">
        <w:rPr>
          <w:i/>
        </w:rPr>
        <w:t xml:space="preserve"> </w:t>
      </w:r>
      <w:r>
        <w:rPr>
          <w:iCs/>
        </w:rPr>
        <w:t xml:space="preserve"> All Commission 911-related rules were consolidated into Part 9 in 2019.  </w:t>
      </w:r>
      <w:r>
        <w:rPr>
          <w:i/>
        </w:rPr>
        <w:t>See</w:t>
      </w:r>
      <w:r>
        <w:rPr>
          <w:iCs/>
        </w:rPr>
        <w:t xml:space="preserve"> </w:t>
      </w:r>
      <w:r>
        <w:rPr>
          <w:i/>
        </w:rPr>
        <w:t>Implementing Kari’s Law and Section 506 of RAY BAUM’S Act, et al.</w:t>
      </w:r>
      <w:r w:rsidRPr="00FA3F75">
        <w:rPr>
          <w:iCs/>
        </w:rPr>
        <w:t>,</w:t>
      </w:r>
      <w:r>
        <w:rPr>
          <w:i/>
        </w:rPr>
        <w:t xml:space="preserve"> </w:t>
      </w:r>
      <w:r>
        <w:rPr>
          <w:iCs/>
        </w:rPr>
        <w:t xml:space="preserve">PS Docket No. 18-261, </w:t>
      </w:r>
      <w:r>
        <w:rPr>
          <w:i/>
        </w:rPr>
        <w:t>et al</w:t>
      </w:r>
      <w:r>
        <w:rPr>
          <w:iCs/>
        </w:rPr>
        <w:t>., Report and Order, 34 FCC Rcd 6607 (2019).</w:t>
      </w:r>
    </w:p>
  </w:footnote>
  <w:footnote w:id="10">
    <w:p w:rsidR="000B65C7" w:rsidRPr="00493AAB" w:rsidP="00E609A0" w14:paraId="6A8771CC" w14:textId="5D512DE8">
      <w:pPr>
        <w:pStyle w:val="FootnoteText"/>
      </w:pPr>
      <w:r>
        <w:rPr>
          <w:rStyle w:val="FootnoteReference"/>
        </w:rPr>
        <w:footnoteRef/>
      </w:r>
      <w:r>
        <w:t xml:space="preserve"> 47 CFR § </w:t>
      </w:r>
      <w:r w:rsidRPr="00D828F6">
        <w:t>64.603</w:t>
      </w:r>
      <w:r>
        <w:t xml:space="preserve">; </w:t>
      </w:r>
      <w:r w:rsidRPr="004D27AE">
        <w:rPr>
          <w:i/>
          <w:iCs/>
        </w:rPr>
        <w:t>see also</w:t>
      </w:r>
      <w:r>
        <w:t xml:space="preserve"> </w:t>
      </w:r>
      <w:r w:rsidRPr="00A33137">
        <w:rPr>
          <w:i/>
        </w:rPr>
        <w:t>Use of N11 Codes and Other Abbreviated Dialing Arrangements</w:t>
      </w:r>
      <w:r>
        <w:t>, CC Docket No. 92-105, Second Report and Order, 15 FCC Rcd 15188, 15191, para. 3 (2000) (</w:t>
      </w:r>
      <w:r>
        <w:rPr>
          <w:i/>
        </w:rPr>
        <w:t>711 Order</w:t>
      </w:r>
      <w:r>
        <w:t xml:space="preserve">).  </w:t>
      </w:r>
      <w:r w:rsidRPr="00777963">
        <w:t>TRS</w:t>
      </w:r>
      <w:r>
        <w:t xml:space="preserve"> are </w:t>
      </w:r>
      <w:r w:rsidRPr="00F45417">
        <w:rPr>
          <w:rStyle w:val="FootnoteTextChar1Char1"/>
        </w:rPr>
        <w:t>“</w:t>
      </w:r>
      <w:r w:rsidRPr="00F45417">
        <w:t>telephone transmission services that provide the ability for an individual who is deaf, hard of hearing, deaf-blind, or who has a speech disability to engage in communication by wire or radio with one or more individuals, in a manner that is functionally equivalent to the ability of a hearing individual who does not have a speech disability to communicate using voice communication services by wire or radio</w:t>
      </w:r>
      <w:r>
        <w:t>.</w:t>
      </w:r>
      <w:r w:rsidRPr="00F45417">
        <w:t>”</w:t>
      </w:r>
      <w:r>
        <w:t xml:space="preserve">  </w:t>
      </w:r>
      <w:r w:rsidRPr="00777963">
        <w:t>47 U.S.C. § 225(a)(3)</w:t>
      </w:r>
      <w:r>
        <w:t xml:space="preserve">.  Traditional TRS is a text-based relay service that enables telephone conversations between TTY users and voice telephone users.  The Commission adopted 711 dialing access so that TRS users could initiate a relay call, anywhere in the United States, without having to remember and dial different 7- and 10-digit toll free numbers when traveling from state to state.  </w:t>
      </w:r>
      <w:r w:rsidRPr="00245B11">
        <w:rPr>
          <w:i/>
        </w:rPr>
        <w:t>711 Order</w:t>
      </w:r>
      <w:r>
        <w:t xml:space="preserve">, 15 FCC Rcd at 15191, para. 3.  </w:t>
      </w:r>
    </w:p>
  </w:footnote>
  <w:footnote w:id="11">
    <w:p w:rsidR="000B65C7" w:rsidRPr="005E16E5" w:rsidP="00E609A0" w14:paraId="69258F46" w14:textId="1B3A35BE">
      <w:pPr>
        <w:pStyle w:val="FootnoteText"/>
      </w:pPr>
      <w:r>
        <w:rPr>
          <w:rStyle w:val="FootnoteReference"/>
        </w:rPr>
        <w:footnoteRef/>
      </w:r>
      <w:r>
        <w:t xml:space="preserve"> </w:t>
      </w:r>
      <w:r w:rsidR="00DA522E">
        <w:t>47 CFR §§ 6.5, 7.5</w:t>
      </w:r>
      <w:r w:rsidR="00CC19AE">
        <w:t>; 14.</w:t>
      </w:r>
      <w:r w:rsidR="00B96BEE">
        <w:t>20(a)</w:t>
      </w:r>
      <w:r w:rsidR="00DA522E">
        <w:t xml:space="preserve">. </w:t>
      </w:r>
      <w:r w:rsidR="00A437FF">
        <w:t xml:space="preserve"> </w:t>
      </w:r>
      <w:r>
        <w:t xml:space="preserve">Telecommunications, </w:t>
      </w:r>
      <w:r w:rsidRPr="005E16E5">
        <w:t>voicemail</w:t>
      </w:r>
      <w:r>
        <w:t>,</w:t>
      </w:r>
      <w:r w:rsidRPr="005E16E5">
        <w:t xml:space="preserve"> and interactive menu</w:t>
      </w:r>
      <w:r>
        <w:t xml:space="preserve"> service</w:t>
      </w:r>
      <w:r w:rsidRPr="005E16E5">
        <w:t>s</w:t>
      </w:r>
      <w:r>
        <w:t>, as well as the equipment used with these services, must be accessible to and usable by individuals with disabilities, “if readily achievable</w:t>
      </w:r>
      <w:r w:rsidR="00B96BEE">
        <w:t>.</w:t>
      </w:r>
      <w:r>
        <w:t xml:space="preserve">” </w:t>
      </w:r>
      <w:r w:rsidR="00A437FF">
        <w:t xml:space="preserve"> </w:t>
      </w:r>
      <w:r w:rsidRPr="005E16E5">
        <w:rPr>
          <w:i/>
        </w:rPr>
        <w:t>Id.</w:t>
      </w:r>
      <w:r w:rsidRPr="005E16E5">
        <w:t xml:space="preserve"> </w:t>
      </w:r>
      <w:r>
        <w:t>§</w:t>
      </w:r>
      <w:r w:rsidRPr="005E16E5">
        <w:t xml:space="preserve">§ </w:t>
      </w:r>
      <w:r w:rsidR="00BB4E6E">
        <w:t>6.5,</w:t>
      </w:r>
      <w:r w:rsidR="00B96BEE">
        <w:t xml:space="preserve"> </w:t>
      </w:r>
      <w:r>
        <w:t>7.5</w:t>
      </w:r>
      <w:r w:rsidRPr="00DE3435">
        <w:t xml:space="preserve">.  </w:t>
      </w:r>
      <w:r>
        <w:t>A</w:t>
      </w:r>
      <w:r w:rsidRPr="00DE3435">
        <w:t xml:space="preserve">dvanced communications </w:t>
      </w:r>
      <w:r>
        <w:t xml:space="preserve">services and </w:t>
      </w:r>
      <w:r w:rsidRPr="00DE3435">
        <w:t xml:space="preserve">equipment </w:t>
      </w:r>
      <w:r>
        <w:t>must</w:t>
      </w:r>
      <w:r w:rsidRPr="00DE3435">
        <w:t xml:space="preserve"> </w:t>
      </w:r>
      <w:r w:rsidR="00B96BEE">
        <w:t xml:space="preserve">be accessible to and usable by individuals with disabilities </w:t>
      </w:r>
      <w:r w:rsidRPr="00DE3435">
        <w:t>unless compliance</w:t>
      </w:r>
      <w:r>
        <w:t xml:space="preserve"> is “not achievable</w:t>
      </w:r>
      <w:r w:rsidRPr="005E16E5">
        <w:t>.</w:t>
      </w:r>
      <w:r>
        <w:t>”</w:t>
      </w:r>
      <w:r w:rsidRPr="005E16E5">
        <w:t xml:space="preserve">  </w:t>
      </w:r>
      <w:r w:rsidRPr="0018128F">
        <w:rPr>
          <w:i/>
        </w:rPr>
        <w:t>Id</w:t>
      </w:r>
      <w:r w:rsidRPr="005E16E5">
        <w:t xml:space="preserve">. § </w:t>
      </w:r>
      <w:r>
        <w:t>14.20</w:t>
      </w:r>
      <w:r w:rsidRPr="005E16E5">
        <w:t>(a).</w:t>
      </w:r>
    </w:p>
  </w:footnote>
  <w:footnote w:id="12">
    <w:p w:rsidR="00390E9F" w14:paraId="2068E7D8" w14:textId="6AC2D67D">
      <w:pPr>
        <w:pStyle w:val="FootnoteText"/>
      </w:pPr>
      <w:r>
        <w:rPr>
          <w:rStyle w:val="FootnoteReference"/>
        </w:rPr>
        <w:footnoteRef/>
      </w:r>
      <w:r>
        <w:t xml:space="preserve"> </w:t>
      </w:r>
      <w:r w:rsidRPr="00A437FF" w:rsidR="00A437FF">
        <w:rPr>
          <w:i/>
          <w:iCs/>
        </w:rPr>
        <w:t>Id</w:t>
      </w:r>
      <w:r w:rsidR="00A437FF">
        <w:t>.</w:t>
      </w:r>
      <w:r w:rsidRPr="00F4268B" w:rsidR="00F4268B">
        <w:t xml:space="preserve"> §§ 6.3(b)(3), (4), 7.3(b)(3), (4)</w:t>
      </w:r>
      <w:r w:rsidR="00A437FF">
        <w:t>,</w:t>
      </w:r>
      <w:r w:rsidRPr="00F4268B" w:rsidR="00F4268B">
        <w:t xml:space="preserve"> 14.21(d)(3), (4).</w:t>
      </w:r>
      <w:r w:rsidR="00F4268B">
        <w:t xml:space="preserve">  To the extent that</w:t>
      </w:r>
      <w:r w:rsidRPr="00C567D8" w:rsidR="00C567D8">
        <w:t xml:space="preserve"> </w:t>
      </w:r>
      <w:r w:rsidR="00F4268B">
        <w:t>it</w:t>
      </w:r>
      <w:r w:rsidRPr="00C567D8" w:rsidR="00C567D8">
        <w:t xml:space="preserve"> is not achievable (or not “readily” achievable, in the case of sections 6.5 and 7.5)</w:t>
      </w:r>
      <w:r w:rsidR="00F4268B">
        <w:t xml:space="preserve"> to ensure accessibility and usability through built-in functionality (such as by incorporating a TTY keyboard and transmission capability within a mobile handset)</w:t>
      </w:r>
      <w:r w:rsidRPr="00C567D8" w:rsidR="00C567D8">
        <w:t xml:space="preserve">, covered equipment or services must be compatible with peripheral devices and specialized customer premises equipment commonly used for accessibility by individuals with disabilities—again, subject to achievability.  </w:t>
      </w:r>
      <w:r w:rsidRPr="00A437FF" w:rsidR="00A437FF">
        <w:rPr>
          <w:i/>
          <w:iCs/>
        </w:rPr>
        <w:t>Id</w:t>
      </w:r>
      <w:r w:rsidR="00A437FF">
        <w:t>.</w:t>
      </w:r>
      <w:r w:rsidRPr="00C567D8" w:rsidR="00C567D8">
        <w:t xml:space="preserve"> §§ 6.5, 7.5, 14.20(a).  TTYs are expressly included among the “peripheral devices and specialized customer premises equipment” referenced by these requirements.  </w:t>
      </w:r>
      <w:r w:rsidRPr="00C567D8" w:rsidR="00C567D8">
        <w:rPr>
          <w:i/>
          <w:iCs/>
        </w:rPr>
        <w:t>See</w:t>
      </w:r>
      <w:r w:rsidRPr="00C567D8" w:rsidR="00C567D8">
        <w:t xml:space="preserve"> </w:t>
      </w:r>
      <w:r w:rsidRPr="00A437FF" w:rsidR="00A437FF">
        <w:rPr>
          <w:i/>
          <w:iCs/>
        </w:rPr>
        <w:t>id</w:t>
      </w:r>
      <w:r w:rsidR="00A437FF">
        <w:t>.</w:t>
      </w:r>
      <w:r w:rsidRPr="00C567D8" w:rsidR="00C567D8">
        <w:t xml:space="preserve"> §§ 6.3(b)(3), (4), 7.3(b)(3), (4); 14.21(d)(3), (4).</w:t>
      </w:r>
    </w:p>
  </w:footnote>
  <w:footnote w:id="13">
    <w:p w:rsidR="000B65C7" w:rsidP="00342817" w14:paraId="5AC32132" w14:textId="728807F7">
      <w:pPr>
        <w:pStyle w:val="FootnoteText"/>
      </w:pPr>
      <w:r>
        <w:rPr>
          <w:rStyle w:val="FootnoteReference"/>
        </w:rPr>
        <w:footnoteRef/>
      </w:r>
      <w:r>
        <w:t xml:space="preserve"> </w:t>
      </w:r>
      <w:r w:rsidRPr="00754DD1">
        <w:rPr>
          <w:i/>
          <w:iCs/>
        </w:rPr>
        <w:t>Transition from TTY to Real-Time Text Technology; Petition for Rulemaking to Update the Commission’s Rules for Access to Support the Transition from TTY to Real-Time Text Technology, and Petition for Waiver of Rules Requiring Support of TTY Technology</w:t>
      </w:r>
      <w:r w:rsidRPr="00FA3F75">
        <w:t>,</w:t>
      </w:r>
      <w:r w:rsidRPr="00754DD1">
        <w:rPr>
          <w:i/>
          <w:iCs/>
        </w:rPr>
        <w:t xml:space="preserve"> </w:t>
      </w:r>
      <w:r w:rsidRPr="00754DD1">
        <w:rPr>
          <w:iCs/>
        </w:rPr>
        <w:t>CG Docket No. 16-145 and GN Docket No.15-</w:t>
      </w:r>
      <w:r w:rsidR="004560DC">
        <w:rPr>
          <w:iCs/>
        </w:rPr>
        <w:t>1</w:t>
      </w:r>
      <w:r w:rsidRPr="00754DD1">
        <w:rPr>
          <w:iCs/>
        </w:rPr>
        <w:t xml:space="preserve">78, </w:t>
      </w:r>
      <w:r w:rsidRPr="00754DD1">
        <w:rPr>
          <w:i/>
          <w:iCs/>
        </w:rPr>
        <w:t xml:space="preserve"> </w:t>
      </w:r>
      <w:r w:rsidRPr="00754DD1">
        <w:rPr>
          <w:iCs/>
        </w:rPr>
        <w:t>Report and Order and Further Notice of Proposed Rulemaking, 31 FCC Rcd 13568, 13574</w:t>
      </w:r>
      <w:r w:rsidR="000F440E">
        <w:rPr>
          <w:iCs/>
        </w:rPr>
        <w:t>-75</w:t>
      </w:r>
      <w:r w:rsidRPr="00754DD1">
        <w:rPr>
          <w:iCs/>
        </w:rPr>
        <w:t>, para. 8 (2016) (</w:t>
      </w:r>
      <w:r w:rsidRPr="00754DD1">
        <w:rPr>
          <w:i/>
          <w:iCs/>
        </w:rPr>
        <w:t>TTY-RTT Transition Order</w:t>
      </w:r>
      <w:r w:rsidRPr="00754DD1">
        <w:rPr>
          <w:iCs/>
        </w:rPr>
        <w:t>)</w:t>
      </w:r>
      <w:r>
        <w:rPr>
          <w:iCs/>
        </w:rPr>
        <w:t xml:space="preserve"> (noting commenters’ “overwhelmin[g]” agreement that “</w:t>
      </w:r>
      <w:r w:rsidRPr="00342817">
        <w:rPr>
          <w:iCs/>
        </w:rPr>
        <w:t>the technical and functional limitations of TTY technology, which was developed more than 50 years ago</w:t>
      </w:r>
      <w:r>
        <w:rPr>
          <w:iCs/>
        </w:rPr>
        <w:t xml:space="preserve"> </w:t>
      </w:r>
      <w:r w:rsidRPr="00342817">
        <w:rPr>
          <w:iCs/>
        </w:rPr>
        <w:t>for a circuit switched environment, make that technology unsuitable for providing full and effective</w:t>
      </w:r>
      <w:r>
        <w:rPr>
          <w:iCs/>
        </w:rPr>
        <w:t xml:space="preserve"> </w:t>
      </w:r>
      <w:r w:rsidRPr="00342817">
        <w:rPr>
          <w:iCs/>
        </w:rPr>
        <w:t>access to IP-based wireless telephone networks</w:t>
      </w:r>
      <w:r>
        <w:rPr>
          <w:iCs/>
        </w:rPr>
        <w:t>”).</w:t>
      </w:r>
    </w:p>
  </w:footnote>
  <w:footnote w:id="14">
    <w:p w:rsidR="000B65C7" w:rsidP="00E609A0" w14:paraId="1584CCC6" w14:textId="67A686D7">
      <w:pPr>
        <w:pStyle w:val="FootnoteText"/>
      </w:pPr>
      <w:r>
        <w:rPr>
          <w:rStyle w:val="FootnoteReference"/>
        </w:rPr>
        <w:footnoteRef/>
      </w:r>
      <w:r>
        <w:t xml:space="preserve">  </w:t>
      </w:r>
      <w:r w:rsidRPr="00D37066">
        <w:rPr>
          <w:i/>
        </w:rPr>
        <w:t>See</w:t>
      </w:r>
      <w:r>
        <w:rPr>
          <w:i/>
        </w:rPr>
        <w:t>, e.g</w:t>
      </w:r>
      <w:r w:rsidRPr="00A24B29">
        <w:rPr>
          <w:iCs/>
        </w:rPr>
        <w:t>.,</w:t>
      </w:r>
      <w:r w:rsidRPr="00D37066">
        <w:rPr>
          <w:i/>
        </w:rPr>
        <w:t xml:space="preserve"> </w:t>
      </w:r>
      <w:r w:rsidRPr="009F7916">
        <w:rPr>
          <w:i/>
          <w:iCs/>
        </w:rPr>
        <w:t>Petition for Waiver of Rules Requiring Support of TTY Technology</w:t>
      </w:r>
      <w:r w:rsidRPr="00496FE3">
        <w:t xml:space="preserve">, GN Docket No. 15-178, Order, 30 FCC Rcd 10855 (CGB PSHSB WTC WCB 2015) </w:t>
      </w:r>
      <w:r w:rsidRPr="00964A25">
        <w:rPr>
          <w:iCs/>
        </w:rPr>
        <w:t>(</w:t>
      </w:r>
      <w:r>
        <w:rPr>
          <w:i/>
        </w:rPr>
        <w:t>AT&amp;T TTY-RTT Transition Waiver Order</w:t>
      </w:r>
      <w:r>
        <w:rPr>
          <w:iCs/>
        </w:rPr>
        <w:t xml:space="preserve">); </w:t>
      </w:r>
      <w:r w:rsidRPr="005A316E">
        <w:rPr>
          <w:i/>
        </w:rPr>
        <w:t>Petition for Waiver of Rules Requiring Support of TTY Technology</w:t>
      </w:r>
      <w:r w:rsidRPr="005A316E">
        <w:t xml:space="preserve">, </w:t>
      </w:r>
      <w:r>
        <w:t>GN Docket No</w:t>
      </w:r>
      <w:r w:rsidR="004560DC">
        <w:t>.</w:t>
      </w:r>
      <w:r>
        <w:t xml:space="preserve"> 15-178, Order, 30 FCC Rcd 12755 (CGB PSHSB WTB WCB 2015).</w:t>
      </w:r>
    </w:p>
  </w:footnote>
  <w:footnote w:id="15">
    <w:p w:rsidR="002714D8" w:rsidP="002714D8" w14:paraId="7FB983FC" w14:textId="141D4371">
      <w:pPr>
        <w:pStyle w:val="FootnoteText"/>
      </w:pPr>
      <w:r>
        <w:rPr>
          <w:rStyle w:val="FootnoteReference"/>
        </w:rPr>
        <w:footnoteRef/>
      </w:r>
      <w:r>
        <w:t xml:space="preserve"> </w:t>
      </w:r>
      <w:r w:rsidRPr="002714D8">
        <w:rPr>
          <w:i/>
        </w:rPr>
        <w:t>See, e.g</w:t>
      </w:r>
      <w:r w:rsidRPr="002714D8">
        <w:rPr>
          <w:iCs/>
        </w:rPr>
        <w:t>.,</w:t>
      </w:r>
      <w:r w:rsidRPr="002714D8">
        <w:rPr>
          <w:i/>
        </w:rPr>
        <w:t xml:space="preserve"> </w:t>
      </w:r>
      <w:r w:rsidRPr="002714D8">
        <w:rPr>
          <w:i/>
          <w:iCs/>
        </w:rPr>
        <w:t>CCA TTY-RTT Transition Waiver Order</w:t>
      </w:r>
      <w:r w:rsidRPr="002714D8">
        <w:t>, 31 FCC Rcd at 378</w:t>
      </w:r>
      <w:r>
        <w:t>1</w:t>
      </w:r>
      <w:r w:rsidRPr="002714D8">
        <w:t xml:space="preserve">, para. </w:t>
      </w:r>
      <w:r>
        <w:t xml:space="preserve">9 (noting CCA’s statement that “CCA and its members are strongly committed to accessibility, and are </w:t>
      </w:r>
      <w:r w:rsidRPr="002714D8">
        <w:t xml:space="preserve">working to develop and implement </w:t>
      </w:r>
      <w:r w:rsidR="00BB0295">
        <w:t>[RTT]</w:t>
      </w:r>
      <w:r w:rsidRPr="002714D8">
        <w:t xml:space="preserve"> or other IP-based text alternatives</w:t>
      </w:r>
      <w:r>
        <w:t>”)</w:t>
      </w:r>
      <w:r w:rsidRPr="002714D8">
        <w:t>.</w:t>
      </w:r>
    </w:p>
  </w:footnote>
  <w:footnote w:id="16">
    <w:p w:rsidR="00EB0AAC" w:rsidRPr="00C0643B" w14:paraId="4517AF73" w14:textId="5B7AEB91">
      <w:pPr>
        <w:pStyle w:val="FootnoteText"/>
      </w:pPr>
      <w:r>
        <w:rPr>
          <w:rStyle w:val="FootnoteReference"/>
        </w:rPr>
        <w:footnoteRef/>
      </w:r>
      <w:r>
        <w:t xml:space="preserve"> </w:t>
      </w:r>
      <w:r>
        <w:rPr>
          <w:i/>
          <w:iCs/>
        </w:rPr>
        <w:t>See</w:t>
      </w:r>
      <w:r>
        <w:t xml:space="preserve"> </w:t>
      </w:r>
      <w:r w:rsidR="009A7F78">
        <w:rPr>
          <w:i/>
          <w:iCs/>
        </w:rPr>
        <w:t>id.</w:t>
      </w:r>
      <w:r w:rsidR="002F5E9C">
        <w:t xml:space="preserve"> at 3780-</w:t>
      </w:r>
      <w:r w:rsidR="0069561A">
        <w:t>8</w:t>
      </w:r>
      <w:r w:rsidR="002F5E9C">
        <w:t>1, paras. 5-8.</w:t>
      </w:r>
      <w:r w:rsidR="009B7EFF">
        <w:t xml:space="preserve">  AT&amp;T had f</w:t>
      </w:r>
      <w:r w:rsidR="007C6098">
        <w:t>iled the initial petition for waiver of the TTY support rules in conjunction with its petition for rul</w:t>
      </w:r>
      <w:r w:rsidR="00262A6D">
        <w:t>emaking to adopt RTT as a replacement for TTY on IP-based networks.</w:t>
      </w:r>
      <w:r w:rsidR="0069561A">
        <w:t xml:space="preserve">  </w:t>
      </w:r>
      <w:r w:rsidR="0069561A">
        <w:rPr>
          <w:i/>
          <w:iCs/>
        </w:rPr>
        <w:t xml:space="preserve">Id. </w:t>
      </w:r>
      <w:r w:rsidR="0069561A">
        <w:t>at</w:t>
      </w:r>
      <w:r w:rsidR="00065EA0">
        <w:t xml:space="preserve"> 3780, para. 5.  </w:t>
      </w:r>
      <w:r w:rsidR="0094676D">
        <w:t>On April 29, 201</w:t>
      </w:r>
      <w:r w:rsidR="009B46A8">
        <w:t xml:space="preserve">6, the Commission released a Notice of Proposed Rulemaking to consider </w:t>
      </w:r>
      <w:r w:rsidR="00692A03">
        <w:t>rule amendments recognizing</w:t>
      </w:r>
      <w:r w:rsidR="00B9745B">
        <w:t xml:space="preserve"> RTT as a </w:t>
      </w:r>
      <w:r w:rsidR="00692A03">
        <w:t>permitted successor technology to</w:t>
      </w:r>
      <w:r w:rsidR="00B9745B">
        <w:t xml:space="preserve"> TTY </w:t>
      </w:r>
      <w:r w:rsidR="00692A03">
        <w:t xml:space="preserve">for ensuring accessibility </w:t>
      </w:r>
      <w:r w:rsidR="00B9745B">
        <w:t xml:space="preserve">on IP-based networks.  </w:t>
      </w:r>
      <w:r w:rsidR="00B9745B">
        <w:rPr>
          <w:i/>
          <w:iCs/>
        </w:rPr>
        <w:t>See</w:t>
      </w:r>
      <w:r w:rsidR="00A15315">
        <w:rPr>
          <w:i/>
          <w:iCs/>
        </w:rPr>
        <w:t xml:space="preserve"> Transition from TTY to Real-Time Text Technology; Petition for Rulemaking to</w:t>
      </w:r>
      <w:r w:rsidR="003A4C8D">
        <w:rPr>
          <w:i/>
          <w:iCs/>
        </w:rPr>
        <w:t xml:space="preserve"> Update Rules for Access to Support </w:t>
      </w:r>
      <w:r w:rsidR="003E53F9">
        <w:rPr>
          <w:i/>
          <w:iCs/>
        </w:rPr>
        <w:t xml:space="preserve">the Transition from TTY to Real-Time Text </w:t>
      </w:r>
      <w:r w:rsidR="00FF5168">
        <w:rPr>
          <w:i/>
          <w:iCs/>
        </w:rPr>
        <w:t>Technology, and Petition for Waiver of Rules</w:t>
      </w:r>
      <w:r w:rsidR="00692A03">
        <w:rPr>
          <w:i/>
          <w:iCs/>
        </w:rPr>
        <w:t xml:space="preserve"> </w:t>
      </w:r>
      <w:r w:rsidR="00FF5168">
        <w:rPr>
          <w:i/>
          <w:iCs/>
        </w:rPr>
        <w:t xml:space="preserve">Requiring Support for </w:t>
      </w:r>
      <w:r w:rsidR="00C0643B">
        <w:rPr>
          <w:i/>
          <w:iCs/>
        </w:rPr>
        <w:t>TTY Technology</w:t>
      </w:r>
      <w:r w:rsidRPr="00FA3F75" w:rsidR="00C0643B">
        <w:t xml:space="preserve">, </w:t>
      </w:r>
      <w:r w:rsidR="00C0643B">
        <w:t>C</w:t>
      </w:r>
      <w:r w:rsidR="006605F8">
        <w:t>G Docket No. 16-14</w:t>
      </w:r>
      <w:r w:rsidR="00E17853">
        <w:t>5</w:t>
      </w:r>
      <w:r w:rsidR="006605F8">
        <w:t xml:space="preserve"> and GN Docket No. 15-178, </w:t>
      </w:r>
      <w:r w:rsidR="002D2395">
        <w:t xml:space="preserve">Notice of Proposed Rulemaking, </w:t>
      </w:r>
      <w:r w:rsidR="006605F8">
        <w:t xml:space="preserve">31 FCC Rcd </w:t>
      </w:r>
      <w:r w:rsidR="00E17853">
        <w:t>6247 (2016).</w:t>
      </w:r>
    </w:p>
  </w:footnote>
  <w:footnote w:id="17">
    <w:p w:rsidR="00AB75D9" w:rsidRPr="00BA1652" w14:paraId="47070EF6" w14:textId="266F8667">
      <w:pPr>
        <w:pStyle w:val="FootnoteText"/>
      </w:pPr>
      <w:r>
        <w:rPr>
          <w:rStyle w:val="FootnoteReference"/>
        </w:rPr>
        <w:footnoteRef/>
      </w:r>
      <w:r>
        <w:t xml:space="preserve"> </w:t>
      </w:r>
      <w:r w:rsidR="00BA1652">
        <w:rPr>
          <w:i/>
          <w:iCs/>
        </w:rPr>
        <w:t>CCA TTY-RTT Transition Waiver Order</w:t>
      </w:r>
      <w:r w:rsidR="00BA1652">
        <w:t xml:space="preserve">, 31 FCC Rcd at </w:t>
      </w:r>
      <w:r w:rsidR="003E7AF9">
        <w:t>3785, para. 20.</w:t>
      </w:r>
    </w:p>
  </w:footnote>
  <w:footnote w:id="18">
    <w:p w:rsidR="000B65C7" w:rsidRPr="009260B3" w14:paraId="3F474A2D" w14:textId="1E432495">
      <w:pPr>
        <w:pStyle w:val="FootnoteText"/>
      </w:pPr>
      <w:r>
        <w:rPr>
          <w:rStyle w:val="FootnoteReference"/>
        </w:rPr>
        <w:footnoteRef/>
      </w:r>
      <w:r>
        <w:t xml:space="preserve"> </w:t>
      </w:r>
      <w:r w:rsidRPr="00964A25">
        <w:rPr>
          <w:i/>
          <w:iCs/>
        </w:rPr>
        <w:t>See, e.g.</w:t>
      </w:r>
      <w:r>
        <w:t xml:space="preserve">, </w:t>
      </w:r>
      <w:r w:rsidRPr="00DE4FB6">
        <w:rPr>
          <w:i/>
          <w:iCs/>
        </w:rPr>
        <w:t>AT&amp;T TTY-RTT Transition Waiver Order</w:t>
      </w:r>
      <w:r>
        <w:t>, 30 FCC Rcd at 10863-64, paras. 18-19.</w:t>
      </w:r>
    </w:p>
  </w:footnote>
  <w:footnote w:id="19">
    <w:p w:rsidR="000B65C7" w:rsidRPr="00A40417" w:rsidP="00E609A0" w14:paraId="22B0860C" w14:textId="63FAB288">
      <w:pPr>
        <w:pStyle w:val="FootnoteText"/>
      </w:pPr>
      <w:r>
        <w:rPr>
          <w:rStyle w:val="FootnoteReference"/>
        </w:rPr>
        <w:footnoteRef/>
      </w:r>
      <w:r>
        <w:t xml:space="preserve"> </w:t>
      </w:r>
      <w:r w:rsidRPr="009A7F78" w:rsidR="009A7F78">
        <w:rPr>
          <w:i/>
          <w:iCs/>
        </w:rPr>
        <w:t>CCA TTY-RTT Transition Waiver Order</w:t>
      </w:r>
      <w:r>
        <w:t>, 31 FCC Rcd 3778.</w:t>
      </w:r>
    </w:p>
  </w:footnote>
  <w:footnote w:id="20">
    <w:p w:rsidR="000B65C7" w14:paraId="27D8EC8F" w14:textId="047A2135">
      <w:pPr>
        <w:pStyle w:val="FootnoteText"/>
      </w:pPr>
      <w:r>
        <w:rPr>
          <w:rStyle w:val="FootnoteReference"/>
        </w:rPr>
        <w:footnoteRef/>
      </w:r>
      <w:r>
        <w:t xml:space="preserve"> </w:t>
      </w:r>
      <w:r w:rsidRPr="00754DD1">
        <w:rPr>
          <w:i/>
          <w:iCs/>
        </w:rPr>
        <w:t>TTY-RTT Transition Order</w:t>
      </w:r>
      <w:r>
        <w:t>,</w:t>
      </w:r>
      <w:r w:rsidRPr="00754DD1">
        <w:rPr>
          <w:iCs/>
        </w:rPr>
        <w:t xml:space="preserve"> 31 FCC Rcd 13568</w:t>
      </w:r>
      <w:r>
        <w:rPr>
          <w:iCs/>
        </w:rPr>
        <w:t xml:space="preserve"> (amending 47 CFR §§ 6.3, 7.3, 14.10, 14.21, 20.18 (now 9.10), 64.601, and 64.603 (and adding Part 67).</w:t>
      </w:r>
    </w:p>
  </w:footnote>
  <w:footnote w:id="21">
    <w:p w:rsidR="000B65C7" w:rsidRPr="00B13312" w:rsidP="00AA3CB8" w14:paraId="255EB55F" w14:textId="49414704">
      <w:pPr>
        <w:pStyle w:val="FootnoteText"/>
      </w:pPr>
      <w:r>
        <w:rPr>
          <w:rStyle w:val="FootnoteReference"/>
        </w:rPr>
        <w:footnoteRef/>
      </w:r>
      <w:r>
        <w:t xml:space="preserve"> </w:t>
      </w:r>
      <w:r w:rsidR="009A7F78">
        <w:rPr>
          <w:i/>
          <w:iCs/>
        </w:rPr>
        <w:t>Id.</w:t>
      </w:r>
      <w:r>
        <w:t xml:space="preserve"> at 13569, para. 1.</w:t>
      </w:r>
    </w:p>
  </w:footnote>
  <w:footnote w:id="22">
    <w:p w:rsidR="000B65C7" w:rsidRPr="004114EE" w14:paraId="63EE379D" w14:textId="7A8FC689">
      <w:pPr>
        <w:pStyle w:val="FootnoteText"/>
      </w:pPr>
      <w:r>
        <w:rPr>
          <w:rStyle w:val="FootnoteReference"/>
        </w:rPr>
        <w:footnoteRef/>
      </w:r>
      <w:r>
        <w:t xml:space="preserve"> </w:t>
      </w:r>
      <w:r w:rsidR="004114EE">
        <w:t xml:space="preserve"> </w:t>
      </w:r>
      <w:r w:rsidR="009A7F78">
        <w:rPr>
          <w:i/>
          <w:iCs/>
        </w:rPr>
        <w:t>Id.</w:t>
      </w:r>
      <w:r w:rsidR="004114EE">
        <w:t xml:space="preserve"> at</w:t>
      </w:r>
      <w:r w:rsidR="00A05A1F">
        <w:t xml:space="preserve"> </w:t>
      </w:r>
      <w:r w:rsidR="00423C33">
        <w:t>13</w:t>
      </w:r>
      <w:r w:rsidR="0057734D">
        <w:t>570-0</w:t>
      </w:r>
      <w:r w:rsidR="00D140C4">
        <w:t>1</w:t>
      </w:r>
      <w:r w:rsidR="0057734D">
        <w:t>, paras. 3-4 (discussin</w:t>
      </w:r>
      <w:r w:rsidR="006B02E3">
        <w:t xml:space="preserve">g need to replace TTY as providers switch from copper to IP-based networks); </w:t>
      </w:r>
      <w:r w:rsidRPr="001346AE" w:rsidR="001346AE">
        <w:rPr>
          <w:i/>
          <w:iCs/>
        </w:rPr>
        <w:t>id</w:t>
      </w:r>
      <w:r w:rsidR="001346AE">
        <w:t xml:space="preserve">. at </w:t>
      </w:r>
      <w:r w:rsidRPr="001346AE" w:rsidR="001346AE">
        <w:t>1357</w:t>
      </w:r>
      <w:r w:rsidR="000F440E">
        <w:t>4</w:t>
      </w:r>
      <w:r w:rsidRPr="001346AE" w:rsidR="001346AE">
        <w:t>-7</w:t>
      </w:r>
      <w:r w:rsidR="000F440E">
        <w:t>5, para. 8</w:t>
      </w:r>
      <w:r w:rsidR="001346AE">
        <w:t xml:space="preserve"> (describing the many limitations of TTY technology that make it unsuitable for use with IP-based networks); </w:t>
      </w:r>
      <w:r w:rsidR="006B02E3">
        <w:rPr>
          <w:i/>
          <w:iCs/>
        </w:rPr>
        <w:t xml:space="preserve">id. </w:t>
      </w:r>
      <w:r w:rsidR="006B02E3">
        <w:t xml:space="preserve">at </w:t>
      </w:r>
      <w:r w:rsidR="00A05A1F">
        <w:t>13575-76, paras. 9-10</w:t>
      </w:r>
      <w:r w:rsidR="00587B56">
        <w:t xml:space="preserve"> (discussing benefits of RTT)</w:t>
      </w:r>
      <w:r w:rsidR="00A05A1F">
        <w:t>.</w:t>
      </w:r>
    </w:p>
  </w:footnote>
  <w:footnote w:id="23">
    <w:p w:rsidR="000B65C7" w:rsidP="00410F68" w14:paraId="41E65C62" w14:textId="77777777">
      <w:pPr>
        <w:pStyle w:val="FootnoteText"/>
      </w:pPr>
      <w:r>
        <w:rPr>
          <w:rStyle w:val="FootnoteReference"/>
        </w:rPr>
        <w:footnoteRef/>
      </w:r>
      <w:r>
        <w:t xml:space="preserve"> 47 CFR § 67.1(h).</w:t>
      </w:r>
    </w:p>
  </w:footnote>
  <w:footnote w:id="24">
    <w:p w:rsidR="000B65C7" w:rsidP="00410F68" w14:paraId="3D72F72A" w14:textId="453CF21E">
      <w:pPr>
        <w:pStyle w:val="FootnoteText"/>
      </w:pPr>
      <w:r>
        <w:rPr>
          <w:rStyle w:val="FootnoteReference"/>
        </w:rPr>
        <w:footnoteRef/>
      </w:r>
      <w:r>
        <w:t xml:space="preserve"> </w:t>
      </w:r>
      <w:r w:rsidRPr="009D3674" w:rsidR="009D3674">
        <w:rPr>
          <w:i/>
          <w:iCs/>
        </w:rPr>
        <w:t>Id</w:t>
      </w:r>
      <w:r w:rsidR="009D3674">
        <w:t xml:space="preserve">. </w:t>
      </w:r>
      <w:r>
        <w:t>§ 67.2(a)-(c).</w:t>
      </w:r>
    </w:p>
  </w:footnote>
  <w:footnote w:id="25">
    <w:p w:rsidR="00DB7C4B" w:rsidRPr="00C840F9" w14:paraId="15A5DFCF" w14:textId="78C06D34">
      <w:pPr>
        <w:pStyle w:val="FootnoteText"/>
      </w:pPr>
      <w:r w:rsidRPr="00B01F95">
        <w:rPr>
          <w:rStyle w:val="FootnoteReference"/>
        </w:rPr>
        <w:footnoteRef/>
      </w:r>
      <w:r w:rsidRPr="00B01F95">
        <w:t xml:space="preserve"> </w:t>
      </w:r>
      <w:r w:rsidRPr="00B01F95" w:rsidR="00D65773">
        <w:t xml:space="preserve">For purposes of this rule, the </w:t>
      </w:r>
      <w:r w:rsidRPr="0047276D" w:rsidR="00887AE5">
        <w:t>Commission defined Tier I service providers as “CMRS providers off</w:t>
      </w:r>
      <w:r w:rsidRPr="0047276D" w:rsidR="007A1706">
        <w:t xml:space="preserve">ering nationwide service.”  </w:t>
      </w:r>
      <w:r w:rsidRPr="00B01F95" w:rsidR="007A1706">
        <w:rPr>
          <w:i/>
          <w:iCs/>
        </w:rPr>
        <w:t>TTY-RTT Transition Order</w:t>
      </w:r>
      <w:r w:rsidRPr="00B01F95" w:rsidR="007A1706">
        <w:t>, 31 FCC Rcd 1360</w:t>
      </w:r>
      <w:r w:rsidRPr="00B01F95" w:rsidR="00B01F95">
        <w:t>2</w:t>
      </w:r>
      <w:r w:rsidRPr="00B01F95" w:rsidR="00B15E04">
        <w:t>, para. 66 n.248.  At the time</w:t>
      </w:r>
      <w:r w:rsidRPr="00B01F95" w:rsidR="009E669A">
        <w:t xml:space="preserve">, the Tier I providers were AT&amp;T, Verizon, T-Mobile, and Sprint, </w:t>
      </w:r>
      <w:r w:rsidRPr="00B01F95" w:rsidR="00FE443C">
        <w:t>and the latter two were members of CCA.  All other CMRS providers were considered non-Tier I providers.</w:t>
      </w:r>
      <w:r w:rsidRPr="00B01F95" w:rsidR="00CF15CF">
        <w:t xml:space="preserve">  </w:t>
      </w:r>
      <w:r w:rsidRPr="00B01F95" w:rsidR="00CF15CF">
        <w:rPr>
          <w:i/>
          <w:iCs/>
        </w:rPr>
        <w:t>See</w:t>
      </w:r>
      <w:r w:rsidRPr="00B01F95" w:rsidR="00CF15CF">
        <w:t xml:space="preserve"> CCA</w:t>
      </w:r>
      <w:r w:rsidRPr="00B01F95" w:rsidR="000B5E6C">
        <w:t>, Report,</w:t>
      </w:r>
      <w:r w:rsidRPr="00B01F95" w:rsidR="000525F2">
        <w:t xml:space="preserve"> CG Docket No. 15-178</w:t>
      </w:r>
      <w:r w:rsidRPr="00B01F95" w:rsidR="009D090E">
        <w:t>, at 2</w:t>
      </w:r>
      <w:r w:rsidRPr="00B01F95" w:rsidR="000525F2">
        <w:t xml:space="preserve"> (filed Apr. 20, 2018)</w:t>
      </w:r>
      <w:r w:rsidRPr="00B01F95" w:rsidR="00AE1144">
        <w:t xml:space="preserve"> (reporting that T-Mobile USA had deployed RTT by December 31, 2017 deadline for Tier I provider</w:t>
      </w:r>
      <w:r w:rsidRPr="00B01F95" w:rsidR="008506B9">
        <w:t>s)</w:t>
      </w:r>
      <w:r w:rsidRPr="00B01F95" w:rsidR="00B679BC">
        <w:t xml:space="preserve">; </w:t>
      </w:r>
      <w:r w:rsidRPr="00B01F95" w:rsidR="00B515C5">
        <w:t xml:space="preserve">CCA, Report, CG Docket No. 15-278, at 2 (filed Oct. </w:t>
      </w:r>
      <w:r w:rsidRPr="00B01F95" w:rsidR="0098487C">
        <w:t>18, 2019) (reporting that Sprint h</w:t>
      </w:r>
      <w:r w:rsidRPr="00B01F95" w:rsidR="00316645">
        <w:t xml:space="preserve">as deployed RTT in conjunction with its </w:t>
      </w:r>
      <w:r w:rsidRPr="00B01F95" w:rsidR="00C2386B">
        <w:t xml:space="preserve">commercial </w:t>
      </w:r>
      <w:r w:rsidRPr="00B01F95" w:rsidR="00316645">
        <w:t>launch of VoLTE).</w:t>
      </w:r>
      <w:r w:rsidR="000525F2">
        <w:t xml:space="preserve"> </w:t>
      </w:r>
      <w:r w:rsidR="00CF15CF">
        <w:t xml:space="preserve"> </w:t>
      </w:r>
    </w:p>
  </w:footnote>
  <w:footnote w:id="26">
    <w:p w:rsidR="000B65C7" w:rsidRPr="00063914" w:rsidP="00C76440" w14:paraId="30EE3315" w14:textId="3BA72F36">
      <w:pPr>
        <w:pStyle w:val="FootnoteText"/>
      </w:pPr>
      <w:r w:rsidRPr="00063914">
        <w:rPr>
          <w:rStyle w:val="FootnoteReference"/>
        </w:rPr>
        <w:footnoteRef/>
      </w:r>
      <w:r w:rsidRPr="00063914">
        <w:t xml:space="preserve"> </w:t>
      </w:r>
      <w:r>
        <w:rPr>
          <w:i/>
          <w:iCs/>
        </w:rPr>
        <w:t>TTY-RTT Transition Order</w:t>
      </w:r>
      <w:r w:rsidRPr="00FA3F75">
        <w:t>,</w:t>
      </w:r>
      <w:r>
        <w:rPr>
          <w:i/>
          <w:iCs/>
        </w:rPr>
        <w:t xml:space="preserve"> </w:t>
      </w:r>
      <w:r>
        <w:t xml:space="preserve">31 FCC Rcd </w:t>
      </w:r>
      <w:r w:rsidRPr="00063914">
        <w:t>at 13602, para. 66.</w:t>
      </w:r>
      <w:r>
        <w:t xml:space="preserve">  Initial compliance means that a service provider must </w:t>
      </w:r>
      <w:r w:rsidRPr="00DC6FFA">
        <w:t>either (1) offer a downloadable application or plugin</w:t>
      </w:r>
      <w:r>
        <w:t xml:space="preserve"> </w:t>
      </w:r>
      <w:r w:rsidRPr="00DC6FFA">
        <w:t>that supports RTT or (2) comply with the following: (i) implement in its core network the capability to</w:t>
      </w:r>
      <w:r>
        <w:t xml:space="preserve"> </w:t>
      </w:r>
      <w:r w:rsidRPr="00DC6FFA">
        <w:t>support RTT; (ii) offer at least one new handset that supports native RTT functionality, and (iii) for all</w:t>
      </w:r>
      <w:r>
        <w:t xml:space="preserve"> </w:t>
      </w:r>
      <w:r w:rsidRPr="00DC6FFA">
        <w:t>authorized end user devices specified on or after that date, include in future design specifications the</w:t>
      </w:r>
      <w:r>
        <w:t xml:space="preserve"> </w:t>
      </w:r>
      <w:r w:rsidRPr="00DC6FFA">
        <w:t>requirement to support RTT</w:t>
      </w:r>
      <w:r>
        <w:t xml:space="preserve">.  </w:t>
      </w:r>
      <w:r w:rsidRPr="00DC6FFA">
        <w:rPr>
          <w:i/>
          <w:iCs/>
        </w:rPr>
        <w:t>Id</w:t>
      </w:r>
      <w:r>
        <w:t>.</w:t>
      </w:r>
      <w:r w:rsidRPr="00C76440">
        <w:rPr>
          <w:rFonts w:ascii="TimesNewRoman" w:hAnsi="TimesNewRoman" w:cs="TimesNewRoman"/>
          <w:color w:val="010101"/>
          <w:szCs w:val="22"/>
        </w:rPr>
        <w:t xml:space="preserve"> </w:t>
      </w:r>
      <w:r>
        <w:rPr>
          <w:rFonts w:ascii="TimesNewRoman" w:hAnsi="TimesNewRoman" w:cs="TimesNewRoman"/>
          <w:color w:val="010101"/>
          <w:szCs w:val="22"/>
        </w:rPr>
        <w:t xml:space="preserve"> </w:t>
      </w:r>
      <w:r w:rsidRPr="00C76440">
        <w:t>A carrier must meet these obligations except to the</w:t>
      </w:r>
      <w:r>
        <w:t xml:space="preserve"> </w:t>
      </w:r>
      <w:r w:rsidRPr="00C76440">
        <w:t>extent that it is not achievable for a particular manufacturer to support RTT on that carrier’s network</w:t>
      </w:r>
      <w:r>
        <w:t xml:space="preserve">.  </w:t>
      </w:r>
      <w:r w:rsidRPr="00EE0355">
        <w:rPr>
          <w:i/>
          <w:iCs/>
        </w:rPr>
        <w:t>Id</w:t>
      </w:r>
      <w:r>
        <w:t>.</w:t>
      </w:r>
    </w:p>
  </w:footnote>
  <w:footnote w:id="27">
    <w:p w:rsidR="000B65C7" w14:paraId="6D88D430" w14:textId="69EBD21A">
      <w:pPr>
        <w:pStyle w:val="FootnoteText"/>
      </w:pPr>
      <w:r>
        <w:rPr>
          <w:rStyle w:val="FootnoteReference"/>
        </w:rPr>
        <w:footnoteRef/>
      </w:r>
      <w:r>
        <w:t xml:space="preserve"> Final compliance means that a service provider must support RTT</w:t>
      </w:r>
      <w:r w:rsidRPr="00F108B3">
        <w:t xml:space="preserve"> for all new authorized user devices activated on its networks.</w:t>
      </w:r>
      <w:r>
        <w:t xml:space="preserve">  </w:t>
      </w:r>
      <w:r w:rsidRPr="002F6CE3">
        <w:rPr>
          <w:i/>
          <w:iCs/>
        </w:rPr>
        <w:t>Id</w:t>
      </w:r>
      <w:r>
        <w:t>.</w:t>
      </w:r>
      <w:r w:rsidRPr="002F6CE3">
        <w:rPr>
          <w:snapToGrid w:val="0"/>
          <w:kern w:val="28"/>
          <w:sz w:val="22"/>
        </w:rPr>
        <w:t xml:space="preserve"> </w:t>
      </w:r>
      <w:r w:rsidRPr="002F6CE3">
        <w:t>at 13602, para. 6</w:t>
      </w:r>
      <w:r>
        <w:t>7</w:t>
      </w:r>
      <w:r w:rsidRPr="002F6CE3">
        <w:t xml:space="preserve">.  </w:t>
      </w:r>
    </w:p>
  </w:footnote>
  <w:footnote w:id="28">
    <w:p w:rsidR="000B65C7" w:rsidRPr="00063914" w:rsidP="00410F68" w14:paraId="3D2A8379" w14:textId="6CFE6560">
      <w:pPr>
        <w:pStyle w:val="FootnoteText"/>
      </w:pPr>
      <w:r w:rsidRPr="00063914">
        <w:rPr>
          <w:rStyle w:val="FootnoteReference"/>
        </w:rPr>
        <w:footnoteRef/>
      </w:r>
      <w:r w:rsidRPr="00063914">
        <w:t xml:space="preserve"> </w:t>
      </w:r>
      <w:r w:rsidR="009D3674">
        <w:rPr>
          <w:i/>
          <w:iCs/>
        </w:rPr>
        <w:t>Id.</w:t>
      </w:r>
      <w:r w:rsidRPr="00063914">
        <w:rPr>
          <w:i/>
          <w:iCs/>
        </w:rPr>
        <w:t xml:space="preserve"> </w:t>
      </w:r>
      <w:r w:rsidRPr="00063914">
        <w:t>at 13602-03, para. 68.</w:t>
      </w:r>
    </w:p>
  </w:footnote>
  <w:footnote w:id="29">
    <w:p w:rsidR="000B65C7" w:rsidRPr="00754159" w:rsidP="00410F68" w14:paraId="23028071" w14:textId="4495AE7E">
      <w:pPr>
        <w:pStyle w:val="FootnoteText"/>
      </w:pPr>
      <w:r>
        <w:rPr>
          <w:rStyle w:val="FootnoteReference"/>
        </w:rPr>
        <w:footnoteRef/>
      </w:r>
      <w:r>
        <w:t xml:space="preserve"> </w:t>
      </w:r>
      <w:r w:rsidR="009D3674">
        <w:rPr>
          <w:i/>
          <w:iCs/>
        </w:rPr>
        <w:t>Id.</w:t>
      </w:r>
      <w:r>
        <w:rPr>
          <w:i/>
          <w:iCs/>
        </w:rPr>
        <w:t xml:space="preserve"> </w:t>
      </w:r>
      <w:r>
        <w:t xml:space="preserve">at 13582-83, paras. 22-23; </w:t>
      </w:r>
      <w:r>
        <w:rPr>
          <w:i/>
          <w:iCs/>
        </w:rPr>
        <w:t xml:space="preserve">id. </w:t>
      </w:r>
      <w:r>
        <w:t>at 13604, para. 71.</w:t>
      </w:r>
    </w:p>
  </w:footnote>
  <w:footnote w:id="30">
    <w:p w:rsidR="00F24BD6" w14:paraId="0982E3B5" w14:textId="5BD35B24">
      <w:pPr>
        <w:pStyle w:val="FootnoteText"/>
      </w:pPr>
      <w:r>
        <w:rPr>
          <w:rStyle w:val="FootnoteReference"/>
        </w:rPr>
        <w:footnoteRef/>
      </w:r>
      <w:r>
        <w:t xml:space="preserve"> </w:t>
      </w:r>
      <w:r>
        <w:rPr>
          <w:i/>
          <w:iCs/>
        </w:rPr>
        <w:t xml:space="preserve">See </w:t>
      </w:r>
      <w:r w:rsidR="009D3674">
        <w:rPr>
          <w:i/>
          <w:iCs/>
        </w:rPr>
        <w:t>id.</w:t>
      </w:r>
      <w:r>
        <w:t xml:space="preserve"> </w:t>
      </w:r>
      <w:r w:rsidRPr="00063914">
        <w:t>at 1360</w:t>
      </w:r>
      <w:r>
        <w:t xml:space="preserve">4, para. 71.  </w:t>
      </w:r>
    </w:p>
  </w:footnote>
  <w:footnote w:id="31">
    <w:p w:rsidR="00866E36" w14:paraId="2284B008" w14:textId="61C8101A">
      <w:pPr>
        <w:pStyle w:val="FootnoteText"/>
      </w:pPr>
      <w:r>
        <w:rPr>
          <w:rStyle w:val="FootnoteReference"/>
        </w:rPr>
        <w:footnoteRef/>
      </w:r>
      <w:r>
        <w:t xml:space="preserve"> US Cellular offers service in 21 states.  </w:t>
      </w:r>
      <w:r>
        <w:rPr>
          <w:i/>
          <w:iCs/>
        </w:rPr>
        <w:t>See</w:t>
      </w:r>
      <w:r>
        <w:t xml:space="preserve"> </w:t>
      </w:r>
      <w:r>
        <w:rPr>
          <w:i/>
          <w:iCs/>
        </w:rPr>
        <w:t>supra</w:t>
      </w:r>
      <w:r>
        <w:t xml:space="preserve"> note 1.</w:t>
      </w:r>
    </w:p>
  </w:footnote>
  <w:footnote w:id="32">
    <w:p w:rsidR="00866E36" w14:paraId="4A1C7F7E" w14:textId="55621F59">
      <w:pPr>
        <w:pStyle w:val="FootnoteText"/>
      </w:pPr>
      <w:r>
        <w:rPr>
          <w:rStyle w:val="FootnoteReference"/>
        </w:rPr>
        <w:footnoteRef/>
      </w:r>
      <w:r>
        <w:t xml:space="preserve"> </w:t>
      </w:r>
      <w:r w:rsidRPr="00866E36">
        <w:rPr>
          <w:i/>
          <w:iCs/>
        </w:rPr>
        <w:t xml:space="preserve">See </w:t>
      </w:r>
      <w:r w:rsidRPr="009D3674" w:rsidR="009D3674">
        <w:rPr>
          <w:i/>
          <w:iCs/>
        </w:rPr>
        <w:t>TTY-RTT Transition Order</w:t>
      </w:r>
      <w:r w:rsidRPr="009D3674" w:rsidR="009D3674">
        <w:t>, 31 FCC Rcd</w:t>
      </w:r>
      <w:r w:rsidRPr="009D3674" w:rsidR="009D3674">
        <w:rPr>
          <w:i/>
          <w:iCs/>
        </w:rPr>
        <w:t xml:space="preserve"> </w:t>
      </w:r>
      <w:r w:rsidRPr="00866E36">
        <w:t>at 13602, para. 66;</w:t>
      </w:r>
      <w:r w:rsidRPr="00866E36">
        <w:rPr>
          <w:i/>
          <w:iCs/>
        </w:rPr>
        <w:t xml:space="preserve"> CCA TTY-RTT Transition Waiver Order</w:t>
      </w:r>
      <w:r w:rsidRPr="00866E36">
        <w:t>, 31 FCC Rcd at 3778, para. 1.</w:t>
      </w:r>
    </w:p>
  </w:footnote>
  <w:footnote w:id="33">
    <w:p w:rsidR="000B65C7" w:rsidRPr="002C3162" w:rsidP="00410F68" w14:paraId="32062D78" w14:textId="117D8B8A">
      <w:pPr>
        <w:pStyle w:val="FootnoteText"/>
      </w:pPr>
      <w:r>
        <w:rPr>
          <w:rStyle w:val="FootnoteReference"/>
        </w:rPr>
        <w:footnoteRef/>
      </w:r>
      <w:r>
        <w:t xml:space="preserve"> US Cellular Request for Waiver and Extension of Time, CG Docket No. 16-145 and GN Docket No.15-178 (filed June 22, 2020), </w:t>
      </w:r>
      <w:r w:rsidRPr="00A65382">
        <w:rPr>
          <w:snapToGrid w:val="0"/>
          <w:color w:val="0000FF"/>
          <w:kern w:val="28"/>
          <w:u w:val="single"/>
        </w:rPr>
        <w:t>https://ecfsapi.fcc.gov/file/106220725514520/US%20Cellular%20Request%20for%20Waiver%20and%20Extension%20of%20Time%20-%20FINAL%20REDACTED%20VERSION%20AS%20FILED.pdf</w:t>
      </w:r>
      <w:r w:rsidR="003D46D9">
        <w:rPr>
          <w:snapToGrid w:val="0"/>
          <w:color w:val="0000FF"/>
          <w:kern w:val="28"/>
          <w:u w:val="single"/>
        </w:rPr>
        <w:t xml:space="preserve"> </w:t>
      </w:r>
      <w:r w:rsidRPr="00FA3F75" w:rsidR="00FA3F75">
        <w:rPr>
          <w:snapToGrid w:val="0"/>
          <w:color w:val="0000FF"/>
          <w:kern w:val="28"/>
          <w:u w:val="single"/>
        </w:rPr>
        <w:t>(US Cellular Petition)</w:t>
      </w:r>
      <w:r w:rsidR="003D46D9">
        <w:t xml:space="preserve"> (redacted).</w:t>
      </w:r>
    </w:p>
  </w:footnote>
  <w:footnote w:id="34">
    <w:p w:rsidR="000B65C7" w14:paraId="203405C3" w14:textId="1605CB7F">
      <w:pPr>
        <w:pStyle w:val="FootnoteText"/>
      </w:pPr>
      <w:r>
        <w:rPr>
          <w:rStyle w:val="FootnoteReference"/>
        </w:rPr>
        <w:footnoteRef/>
      </w:r>
      <w:r>
        <w:t xml:space="preserve"> </w:t>
      </w:r>
      <w:bookmarkStart w:id="2" w:name="_Hlk58488669"/>
      <w:r w:rsidRPr="009D3674" w:rsidR="009D3674">
        <w:rPr>
          <w:i/>
          <w:iCs/>
        </w:rPr>
        <w:t>Id</w:t>
      </w:r>
      <w:r w:rsidR="009D3674">
        <w:t>.</w:t>
      </w:r>
      <w:r>
        <w:t xml:space="preserve"> </w:t>
      </w:r>
      <w:bookmarkEnd w:id="2"/>
      <w:r>
        <w:t>at 4.</w:t>
      </w:r>
    </w:p>
  </w:footnote>
  <w:footnote w:id="35">
    <w:p w:rsidR="000B65C7" w:rsidP="000C0773" w14:paraId="08265CC3" w14:textId="775C9236">
      <w:pPr>
        <w:pStyle w:val="FootnoteText"/>
      </w:pPr>
      <w:r>
        <w:rPr>
          <w:rStyle w:val="FootnoteReference"/>
        </w:rPr>
        <w:footnoteRef/>
      </w:r>
      <w:r>
        <w:t xml:space="preserve"> </w:t>
      </w:r>
      <w:r w:rsidRPr="009D3674" w:rsidR="009D3674">
        <w:rPr>
          <w:i/>
          <w:iCs/>
        </w:rPr>
        <w:t>Id</w:t>
      </w:r>
      <w:r w:rsidR="009D3674">
        <w:t>.</w:t>
      </w:r>
    </w:p>
  </w:footnote>
  <w:footnote w:id="36">
    <w:p w:rsidR="000B65C7" w:rsidP="00410F68" w14:paraId="320B13D6" w14:textId="356221F8">
      <w:pPr>
        <w:pStyle w:val="FootnoteText"/>
      </w:pPr>
      <w:r>
        <w:rPr>
          <w:rStyle w:val="FootnoteReference"/>
        </w:rPr>
        <w:footnoteRef/>
      </w:r>
      <w:r>
        <w:t xml:space="preserve"> </w:t>
      </w:r>
      <w:r w:rsidRPr="009D3674" w:rsidR="009D3674">
        <w:rPr>
          <w:i/>
          <w:iCs/>
        </w:rPr>
        <w:t>Id</w:t>
      </w:r>
      <w:r w:rsidR="009D3674">
        <w:t>.</w:t>
      </w:r>
    </w:p>
  </w:footnote>
  <w:footnote w:id="37">
    <w:p w:rsidR="000B65C7" w:rsidRPr="00700BB2" w:rsidP="00410F68" w14:paraId="6E04B7E7" w14:textId="10BE06C8">
      <w:pPr>
        <w:pStyle w:val="FootnoteText"/>
      </w:pPr>
      <w:r>
        <w:rPr>
          <w:rStyle w:val="FootnoteReference"/>
        </w:rPr>
        <w:footnoteRef/>
      </w:r>
      <w:r>
        <w:t xml:space="preserve"> </w:t>
      </w:r>
      <w:r w:rsidRPr="009D3674" w:rsidR="009D3674">
        <w:rPr>
          <w:i/>
          <w:iCs/>
        </w:rPr>
        <w:t>Id</w:t>
      </w:r>
      <w:r w:rsidR="009D3674">
        <w:t xml:space="preserve">. </w:t>
      </w:r>
      <w:r>
        <w:t>at 4-5.</w:t>
      </w:r>
    </w:p>
  </w:footnote>
  <w:footnote w:id="38">
    <w:p w:rsidR="000B65C7" w14:paraId="4677D309" w14:textId="6516D868">
      <w:pPr>
        <w:pStyle w:val="FootnoteText"/>
      </w:pPr>
      <w:r>
        <w:rPr>
          <w:rStyle w:val="FootnoteReference"/>
        </w:rPr>
        <w:footnoteRef/>
      </w:r>
      <w:r>
        <w:t xml:space="preserve"> </w:t>
      </w:r>
      <w:r w:rsidRPr="009D3674" w:rsidR="009D3674">
        <w:rPr>
          <w:i/>
          <w:iCs/>
        </w:rPr>
        <w:t>Id</w:t>
      </w:r>
      <w:r w:rsidR="009D3674">
        <w:t>.</w:t>
      </w:r>
    </w:p>
  </w:footnote>
  <w:footnote w:id="39">
    <w:p w:rsidR="000B65C7" w:rsidRPr="004E1520" w:rsidP="00410F68" w14:paraId="46101DD7" w14:textId="3878FF00">
      <w:pPr>
        <w:pStyle w:val="FootnoteText"/>
      </w:pPr>
      <w:r>
        <w:rPr>
          <w:rStyle w:val="FootnoteReference"/>
        </w:rPr>
        <w:footnoteRef/>
      </w:r>
      <w:r>
        <w:t xml:space="preserve"> </w:t>
      </w:r>
      <w:r w:rsidRPr="009D3674" w:rsidR="009D3674">
        <w:rPr>
          <w:i/>
          <w:iCs/>
        </w:rPr>
        <w:t>Id</w:t>
      </w:r>
      <w:r w:rsidR="009D3674">
        <w:t xml:space="preserve">. </w:t>
      </w:r>
      <w:r>
        <w:t>at 6-7.</w:t>
      </w:r>
    </w:p>
  </w:footnote>
  <w:footnote w:id="40">
    <w:p w:rsidR="00C57831" w14:paraId="7D453A40" w14:textId="3F4061D6">
      <w:pPr>
        <w:pStyle w:val="FootnoteText"/>
      </w:pPr>
      <w:r>
        <w:rPr>
          <w:rStyle w:val="FootnoteReference"/>
        </w:rPr>
        <w:footnoteRef/>
      </w:r>
      <w:r>
        <w:t xml:space="preserve"> </w:t>
      </w:r>
      <w:r w:rsidRPr="009D3674" w:rsidR="009D3674">
        <w:rPr>
          <w:i/>
          <w:iCs/>
        </w:rPr>
        <w:t>Id</w:t>
      </w:r>
      <w:r w:rsidR="009D3674">
        <w:t xml:space="preserve">. </w:t>
      </w:r>
      <w:r w:rsidR="00714229">
        <w:t>at 2.</w:t>
      </w:r>
    </w:p>
  </w:footnote>
  <w:footnote w:id="41">
    <w:p w:rsidR="000B65C7" w:rsidP="00410F68" w14:paraId="7355A3EF" w14:textId="468CB8F8">
      <w:pPr>
        <w:pStyle w:val="FootnoteText"/>
      </w:pPr>
      <w:r>
        <w:rPr>
          <w:rStyle w:val="FootnoteReference"/>
        </w:rPr>
        <w:footnoteRef/>
      </w:r>
      <w:r>
        <w:t xml:space="preserve"> </w:t>
      </w:r>
      <w:r w:rsidRPr="009D3674" w:rsidR="009D3674">
        <w:rPr>
          <w:i/>
          <w:iCs/>
        </w:rPr>
        <w:t>Id</w:t>
      </w:r>
      <w:r w:rsidR="009D3674">
        <w:t xml:space="preserve">. </w:t>
      </w:r>
      <w:r>
        <w:t>at 7-8.</w:t>
      </w:r>
    </w:p>
  </w:footnote>
  <w:footnote w:id="42">
    <w:p w:rsidR="000B65C7" w14:paraId="1F9BE81A" w14:textId="1FA0DBA3">
      <w:pPr>
        <w:pStyle w:val="FootnoteText"/>
      </w:pPr>
      <w:r>
        <w:rPr>
          <w:rStyle w:val="FootnoteReference"/>
        </w:rPr>
        <w:footnoteRef/>
      </w:r>
      <w:r>
        <w:t xml:space="preserve"> </w:t>
      </w:r>
      <w:r w:rsidRPr="009D3674" w:rsidR="009D3674">
        <w:rPr>
          <w:i/>
          <w:iCs/>
        </w:rPr>
        <w:t>Id</w:t>
      </w:r>
      <w:r w:rsidR="009D3674">
        <w:t xml:space="preserve">. </w:t>
      </w:r>
      <w:r>
        <w:t>at 4-5.</w:t>
      </w:r>
    </w:p>
  </w:footnote>
  <w:footnote w:id="43">
    <w:p w:rsidR="000B65C7" w14:paraId="69DD42A8" w14:textId="7916B203">
      <w:pPr>
        <w:pStyle w:val="FootnoteText"/>
      </w:pPr>
      <w:r>
        <w:rPr>
          <w:rStyle w:val="FootnoteReference"/>
        </w:rPr>
        <w:footnoteRef/>
      </w:r>
      <w:r>
        <w:t xml:space="preserve"> </w:t>
      </w:r>
      <w:r w:rsidRPr="009D3674" w:rsidR="009D3674">
        <w:rPr>
          <w:i/>
          <w:iCs/>
        </w:rPr>
        <w:t>Id</w:t>
      </w:r>
      <w:r w:rsidR="009D3674">
        <w:t xml:space="preserve">. </w:t>
      </w:r>
      <w:r>
        <w:t>at 5.</w:t>
      </w:r>
    </w:p>
  </w:footnote>
  <w:footnote w:id="44">
    <w:p w:rsidR="000B65C7" w14:paraId="703B1B5E" w14:textId="76B806F6">
      <w:pPr>
        <w:pStyle w:val="FootnoteText"/>
      </w:pPr>
      <w:r>
        <w:rPr>
          <w:rStyle w:val="FootnoteReference"/>
        </w:rPr>
        <w:footnoteRef/>
      </w:r>
      <w:r>
        <w:t xml:space="preserve"> </w:t>
      </w:r>
      <w:r w:rsidRPr="009D3674" w:rsidR="009D3674">
        <w:rPr>
          <w:i/>
          <w:iCs/>
        </w:rPr>
        <w:t>Id</w:t>
      </w:r>
      <w:r w:rsidR="009D3674">
        <w:t xml:space="preserve">. </w:t>
      </w:r>
      <w:r w:rsidRPr="00453194">
        <w:t xml:space="preserve">at </w:t>
      </w:r>
      <w:r>
        <w:t>5-6</w:t>
      </w:r>
      <w:r w:rsidRPr="00453194">
        <w:t>.</w:t>
      </w:r>
    </w:p>
  </w:footnote>
  <w:footnote w:id="45">
    <w:p w:rsidR="000B65C7" w14:paraId="35716407" w14:textId="0CEFFE89">
      <w:pPr>
        <w:pStyle w:val="FootnoteText"/>
      </w:pPr>
      <w:r>
        <w:rPr>
          <w:rStyle w:val="FootnoteReference"/>
        </w:rPr>
        <w:footnoteRef/>
      </w:r>
      <w:r>
        <w:t xml:space="preserve"> </w:t>
      </w:r>
      <w:r w:rsidRPr="009D3674" w:rsidR="009D3674">
        <w:rPr>
          <w:i/>
          <w:iCs/>
        </w:rPr>
        <w:t>Id</w:t>
      </w:r>
      <w:r w:rsidR="009D3674">
        <w:t xml:space="preserve">. </w:t>
      </w:r>
      <w:r w:rsidRPr="00453194">
        <w:t xml:space="preserve">at </w:t>
      </w:r>
      <w:r>
        <w:t>6</w:t>
      </w:r>
      <w:r w:rsidRPr="00453194">
        <w:t>.</w:t>
      </w:r>
    </w:p>
  </w:footnote>
  <w:footnote w:id="46">
    <w:p w:rsidR="000B65C7" w14:paraId="5173CAB6" w14:textId="6E048849">
      <w:pPr>
        <w:pStyle w:val="FootnoteText"/>
      </w:pPr>
      <w:r>
        <w:rPr>
          <w:rStyle w:val="FootnoteReference"/>
        </w:rPr>
        <w:footnoteRef/>
      </w:r>
      <w:r>
        <w:t xml:space="preserve"> </w:t>
      </w:r>
      <w:r w:rsidRPr="009D3674" w:rsidR="009D3674">
        <w:rPr>
          <w:i/>
          <w:iCs/>
        </w:rPr>
        <w:t>Id</w:t>
      </w:r>
      <w:r w:rsidR="009D3674">
        <w:t xml:space="preserve">. </w:t>
      </w:r>
      <w:r w:rsidRPr="00720518">
        <w:t xml:space="preserve">at </w:t>
      </w:r>
      <w:r>
        <w:t>7-8</w:t>
      </w:r>
      <w:r w:rsidRPr="00720518">
        <w:t>.</w:t>
      </w:r>
    </w:p>
  </w:footnote>
  <w:footnote w:id="47">
    <w:p w:rsidR="000B65C7" w:rsidRPr="00272380" w:rsidP="00410F68" w14:paraId="377EF811" w14:textId="3EED5367">
      <w:pPr>
        <w:pStyle w:val="FootnoteText"/>
        <w:rPr>
          <w:b/>
          <w:bCs/>
        </w:rPr>
      </w:pPr>
      <w:r>
        <w:rPr>
          <w:rStyle w:val="FootnoteReference"/>
        </w:rPr>
        <w:footnoteRef/>
      </w:r>
      <w:r>
        <w:t xml:space="preserve"> </w:t>
      </w:r>
      <w:r w:rsidRPr="009D3674" w:rsidR="009D3674">
        <w:rPr>
          <w:i/>
          <w:iCs/>
        </w:rPr>
        <w:t>Id</w:t>
      </w:r>
      <w:r w:rsidR="009D3674">
        <w:t xml:space="preserve">. </w:t>
      </w:r>
      <w:r>
        <w:t xml:space="preserve">at 9. </w:t>
      </w:r>
    </w:p>
  </w:footnote>
  <w:footnote w:id="48">
    <w:p w:rsidR="000B65C7" w:rsidRPr="00780D2C" w:rsidP="00410F68" w14:paraId="1CFF81EA" w14:textId="6B316C62">
      <w:pPr>
        <w:pStyle w:val="FootnoteText"/>
      </w:pPr>
      <w:r>
        <w:rPr>
          <w:rStyle w:val="FootnoteReference"/>
        </w:rPr>
        <w:footnoteRef/>
      </w:r>
      <w:r>
        <w:t xml:space="preserve"> </w:t>
      </w:r>
      <w:r>
        <w:rPr>
          <w:i/>
          <w:iCs/>
        </w:rPr>
        <w:t>See</w:t>
      </w:r>
      <w:r>
        <w:t xml:space="preserve"> </w:t>
      </w:r>
      <w:r>
        <w:rPr>
          <w:i/>
          <w:iCs/>
        </w:rPr>
        <w:t>Consumer and Governmental Affairs Bureau Seeks Comment on Petitions by Certain Mobile Service Providers for Waivers of Deadline to Support Real-</w:t>
      </w:r>
      <w:r w:rsidR="00EB499A">
        <w:rPr>
          <w:i/>
          <w:iCs/>
        </w:rPr>
        <w:t xml:space="preserve">Time </w:t>
      </w:r>
      <w:r>
        <w:rPr>
          <w:i/>
          <w:iCs/>
        </w:rPr>
        <w:t xml:space="preserve">Text on IP-Based </w:t>
      </w:r>
      <w:r w:rsidRPr="00FA3F75">
        <w:rPr>
          <w:i/>
          <w:iCs/>
        </w:rPr>
        <w:t>Networks</w:t>
      </w:r>
      <w:r>
        <w:t xml:space="preserve">, CG Docket No. 16-145 and GN Docket No. 15-178, Public Notice, 35 FCC Rcd 6731 (CGB 2020).  </w:t>
      </w:r>
      <w:r w:rsidR="005410FE">
        <w:t>CCA</w:t>
      </w:r>
      <w:r>
        <w:t xml:space="preserve"> filed a petition for extension on behalf of six other </w:t>
      </w:r>
      <w:r w:rsidR="005410FE">
        <w:t xml:space="preserve">CCA </w:t>
      </w:r>
      <w:r>
        <w:t>members on June 1</w:t>
      </w:r>
      <w:r w:rsidR="00074935">
        <w:t>6</w:t>
      </w:r>
      <w:r>
        <w:t>, 2020, and East Kentucky Network d/b/a Appalachian Wireless filed a similar petition on June 29, 2020.  The petitions from CCA, Appalachian Wireless, and US Cellular were included in the Public Notice.  The Bureau will address the CCA and Appalachian Wireless petitions separately.</w:t>
      </w:r>
    </w:p>
  </w:footnote>
  <w:footnote w:id="49">
    <w:p w:rsidR="00971928" w14:paraId="37B900BD" w14:textId="17058816">
      <w:pPr>
        <w:pStyle w:val="FootnoteText"/>
      </w:pPr>
      <w:r>
        <w:rPr>
          <w:rStyle w:val="FootnoteReference"/>
        </w:rPr>
        <w:footnoteRef/>
      </w:r>
      <w:r>
        <w:t xml:space="preserve"> </w:t>
      </w:r>
      <w:r w:rsidRPr="00971928">
        <w:t>Comments on Petitions for Waivers of Deadline to Support Real-Time Text on IP-Based Networks, Telecommunications for the Deaf and Hard of Hearing, Inc. (TDI), National Association of the Deaf (NAD), Hearing Loss Association of America (HLAA), Association of Late-Deafened Adults (ALDA), Cerebral Palsy and Deaf Organization (CPADO), American Association of the Deaf-Blind (AADB), Deaf Seniors of America (DSA), National Cued Speech Association (NCSA), Deaf/Hard of Hearing Technology Rehabilitation Engineering Research Center (DHH-RERC), Rehabilitation Engineering Research Center on Universal Interface &amp; Information Technology Access (IT-RERC), CG Docket No. 16-145 and GN Docket No. 15-178 (filed July 31, 2020) (Consumer Groups and Accessibility Researchers).</w:t>
      </w:r>
    </w:p>
  </w:footnote>
  <w:footnote w:id="50">
    <w:p w:rsidR="000B65C7" w:rsidRPr="0058486C" w:rsidP="00410F68" w14:paraId="1127AA67" w14:textId="71BA1987">
      <w:pPr>
        <w:pStyle w:val="FootnoteText"/>
      </w:pPr>
      <w:r>
        <w:rPr>
          <w:rStyle w:val="FootnoteReference"/>
        </w:rPr>
        <w:footnoteRef/>
      </w:r>
      <w:r>
        <w:t xml:space="preserve"> </w:t>
      </w:r>
      <w:r w:rsidRPr="00971928" w:rsidR="00971928">
        <w:rPr>
          <w:i/>
          <w:iCs/>
        </w:rPr>
        <w:t>Id</w:t>
      </w:r>
      <w:r w:rsidR="00971928">
        <w:t xml:space="preserve">. </w:t>
      </w:r>
      <w:r w:rsidR="00A15AF8">
        <w:t>at 6</w:t>
      </w:r>
      <w:r>
        <w:t xml:space="preserve"> (filed July 31, 2020). </w:t>
      </w:r>
    </w:p>
  </w:footnote>
  <w:footnote w:id="51">
    <w:p w:rsidR="000B65C7" w:rsidP="00410F68" w14:paraId="39C0F454" w14:textId="048D1C52">
      <w:pPr>
        <w:pStyle w:val="FootnoteText"/>
      </w:pPr>
      <w:r>
        <w:rPr>
          <w:rStyle w:val="FootnoteReference"/>
        </w:rPr>
        <w:footnoteRef/>
      </w:r>
      <w:r>
        <w:t xml:space="preserve"> US Cellular Reply Comments, CG Docket No. 16-145 and GN Docket No. 15-178 (filed Aug. 17, 2020) </w:t>
      </w:r>
      <w:r w:rsidR="00EB499A">
        <w:t xml:space="preserve">(US Cellular Reply) </w:t>
      </w:r>
      <w:r>
        <w:t>(redacted).</w:t>
      </w:r>
    </w:p>
  </w:footnote>
  <w:footnote w:id="52">
    <w:p w:rsidR="000B65C7" w14:paraId="3CC051FD" w14:textId="348432A2">
      <w:pPr>
        <w:pStyle w:val="FootnoteText"/>
      </w:pPr>
      <w:r>
        <w:rPr>
          <w:rStyle w:val="FootnoteReference"/>
        </w:rPr>
        <w:footnoteRef/>
      </w:r>
      <w:r>
        <w:t xml:space="preserve"> US Cellular Reply at 3-4.</w:t>
      </w:r>
    </w:p>
  </w:footnote>
  <w:footnote w:id="53">
    <w:p w:rsidR="000B65C7" w:rsidRPr="00A73DB2" w:rsidP="00410F68" w14:paraId="3A6A1C39" w14:textId="4E973735">
      <w:pPr>
        <w:pStyle w:val="FootnoteText"/>
      </w:pPr>
      <w:r>
        <w:rPr>
          <w:rStyle w:val="FootnoteReference"/>
        </w:rPr>
        <w:footnoteRef/>
      </w:r>
      <w:r>
        <w:t xml:space="preserve"> </w:t>
      </w:r>
      <w:r>
        <w:rPr>
          <w:i/>
          <w:iCs/>
        </w:rPr>
        <w:t xml:space="preserve">See </w:t>
      </w:r>
      <w:r>
        <w:t>Letter from Blake E. Reid, Counsel to Telecommunications for the Deaf and Hard of Hearing, Inc., to Marlene H. Dortch, Secretary, FCC, CG Docket No. 16-145 and GN Docket No. 15-</w:t>
      </w:r>
      <w:r w:rsidR="00AA71A9">
        <w:t>1</w:t>
      </w:r>
      <w:r>
        <w:t xml:space="preserve">78, at 1 (filed Sept. 8, 2020) (Consumer Groups and Accessibility Researchers Sept. 8 </w:t>
      </w:r>
      <w:r>
        <w:rPr>
          <w:i/>
          <w:iCs/>
        </w:rPr>
        <w:t>Ex Parte</w:t>
      </w:r>
      <w:r>
        <w:t>).</w:t>
      </w:r>
    </w:p>
  </w:footnote>
  <w:footnote w:id="54">
    <w:p w:rsidR="000B65C7" w14:paraId="2D191ACB" w14:textId="1A2DDB9A">
      <w:pPr>
        <w:pStyle w:val="FootnoteText"/>
      </w:pPr>
      <w:r>
        <w:rPr>
          <w:rStyle w:val="FootnoteReference"/>
        </w:rPr>
        <w:footnoteRef/>
      </w:r>
      <w:r>
        <w:t xml:space="preserve"> </w:t>
      </w:r>
      <w:r>
        <w:rPr>
          <w:i/>
          <w:iCs/>
        </w:rPr>
        <w:t xml:space="preserve">See </w:t>
      </w:r>
      <w:r>
        <w:t>Letter from Peter M. Connolly, Counsel to US Cellular, to Marlene H. Dortch, Secretary, FCC, CG Docket No. 16-145 and GN Docket No. 15-</w:t>
      </w:r>
      <w:r w:rsidR="00AA71A9">
        <w:t>1</w:t>
      </w:r>
      <w:r>
        <w:t>78 (filed Oct. 29, 2020).</w:t>
      </w:r>
    </w:p>
  </w:footnote>
  <w:footnote w:id="55">
    <w:p w:rsidR="000B65C7" w:rsidP="00410F68" w14:paraId="13C98B27" w14:textId="77777777">
      <w:pPr>
        <w:pStyle w:val="FootnoteText"/>
      </w:pPr>
      <w:r>
        <w:rPr>
          <w:rStyle w:val="FootnoteReference"/>
        </w:rPr>
        <w:footnoteRef/>
      </w:r>
      <w:r>
        <w:t xml:space="preserve"> 47 CFR § 1.3.</w:t>
      </w:r>
    </w:p>
  </w:footnote>
  <w:footnote w:id="56">
    <w:p w:rsidR="000B65C7" w:rsidP="00410F68" w14:paraId="35EC25D8" w14:textId="77777777">
      <w:pPr>
        <w:pStyle w:val="FootnoteText"/>
      </w:pPr>
      <w:r>
        <w:rPr>
          <w:rStyle w:val="FootnoteReference"/>
        </w:rPr>
        <w:footnoteRef/>
      </w:r>
      <w:r>
        <w:t xml:space="preserve"> </w:t>
      </w:r>
      <w:r>
        <w:rPr>
          <w:i/>
        </w:rPr>
        <w:t>Northeast Cellular Tel. Co. v. FCC</w:t>
      </w:r>
      <w:r>
        <w:t>, 897 F.2d 1164, 1166 (D.C. Cir. 1990).</w:t>
      </w:r>
    </w:p>
  </w:footnote>
  <w:footnote w:id="57">
    <w:p w:rsidR="000B65C7" w:rsidP="00410F68" w14:paraId="3F749EAB" w14:textId="77777777">
      <w:pPr>
        <w:pStyle w:val="FootnoteText"/>
      </w:pPr>
      <w:r>
        <w:rPr>
          <w:rStyle w:val="FootnoteReference"/>
        </w:rPr>
        <w:footnoteRef/>
      </w:r>
      <w:r>
        <w:t xml:space="preserve"> </w:t>
      </w:r>
      <w:r>
        <w:rPr>
          <w:i/>
        </w:rPr>
        <w:t>WAIT Radio v. FCC</w:t>
      </w:r>
      <w:r>
        <w:t xml:space="preserve">, 418 F.2d 1153, 1159 (D.C. Cir. 1969), </w:t>
      </w:r>
      <w:r>
        <w:rPr>
          <w:i/>
        </w:rPr>
        <w:t>cert. denied</w:t>
      </w:r>
      <w:r>
        <w:t xml:space="preserve">, 409 U.S. 1027 (1972); </w:t>
      </w:r>
      <w:r>
        <w:rPr>
          <w:i/>
        </w:rPr>
        <w:t>Northeast Cellular</w:t>
      </w:r>
      <w:r>
        <w:t>, 897 F.2d at 1166.</w:t>
      </w:r>
    </w:p>
  </w:footnote>
  <w:footnote w:id="58">
    <w:p w:rsidR="000B65C7" w:rsidP="00410F68" w14:paraId="77F7DFBB" w14:textId="77777777">
      <w:pPr>
        <w:pStyle w:val="FootnoteText"/>
      </w:pPr>
      <w:r>
        <w:rPr>
          <w:rStyle w:val="FootnoteReference"/>
        </w:rPr>
        <w:footnoteRef/>
      </w:r>
      <w:r>
        <w:t xml:space="preserve"> </w:t>
      </w:r>
      <w:r>
        <w:rPr>
          <w:i/>
        </w:rPr>
        <w:t xml:space="preserve">Northeast </w:t>
      </w:r>
      <w:r w:rsidRPr="00310851">
        <w:rPr>
          <w:i/>
        </w:rPr>
        <w:t>Cellular</w:t>
      </w:r>
      <w:r>
        <w:t>, 897 F.2d at 1166.</w:t>
      </w:r>
    </w:p>
  </w:footnote>
  <w:footnote w:id="59">
    <w:p w:rsidR="000B65C7" w:rsidP="00C83D0E" w14:paraId="1278CE21" w14:textId="14999A42">
      <w:pPr>
        <w:pStyle w:val="FootnoteText"/>
      </w:pPr>
      <w:r>
        <w:rPr>
          <w:rStyle w:val="FootnoteReference"/>
        </w:rPr>
        <w:footnoteRef/>
      </w:r>
      <w:r>
        <w:t xml:space="preserve"> </w:t>
      </w:r>
      <w:r w:rsidR="00514110">
        <w:rPr>
          <w:i/>
          <w:iCs/>
        </w:rPr>
        <w:t xml:space="preserve">See </w:t>
      </w:r>
      <w:r w:rsidRPr="00667FE2">
        <w:rPr>
          <w:i/>
          <w:iCs/>
        </w:rPr>
        <w:t>Rio Grande Radio Fellowship Inc. v. FCC</w:t>
      </w:r>
      <w:r w:rsidRPr="00667FE2">
        <w:t>, 406 F.2d 664</w:t>
      </w:r>
      <w:r>
        <w:t xml:space="preserve">, 666 </w:t>
      </w:r>
      <w:r w:rsidRPr="00667FE2">
        <w:t>(D.C. Cir. 1968)</w:t>
      </w:r>
      <w:r>
        <w:t xml:space="preserve"> (“</w:t>
      </w:r>
      <w:r w:rsidRPr="00667FE2">
        <w:t>When an applicant seeks a waiver of a rule, it must plead with particularity the facts and circumstances which warrant such action.</w:t>
      </w:r>
      <w:r>
        <w:t>”).</w:t>
      </w:r>
    </w:p>
  </w:footnote>
  <w:footnote w:id="60">
    <w:p w:rsidR="000B65C7" w:rsidRPr="00641372" w14:paraId="1F178AC7" w14:textId="185EE5EE">
      <w:pPr>
        <w:pStyle w:val="FootnoteText"/>
      </w:pPr>
      <w:r>
        <w:rPr>
          <w:rStyle w:val="FootnoteReference"/>
        </w:rPr>
        <w:footnoteRef/>
      </w:r>
      <w:r>
        <w:t xml:space="preserve"> </w:t>
      </w:r>
      <w:r w:rsidRPr="00E6119B" w:rsidR="00E6119B">
        <w:t>US Cellular Petition at 4.</w:t>
      </w:r>
      <w:r w:rsidR="00E61294">
        <w:t xml:space="preserve">  </w:t>
      </w:r>
      <w:r w:rsidR="0001546A">
        <w:t xml:space="preserve">The record does not reflect the reasons why US Cellular did not finalize its RTT deployment plans until December 2019.  </w:t>
      </w:r>
      <w:r w:rsidR="00893519">
        <w:t>Th</w:t>
      </w:r>
      <w:r w:rsidR="0057648A">
        <w:t>e</w:t>
      </w:r>
      <w:r w:rsidR="00893519">
        <w:t xml:space="preserve"> </w:t>
      </w:r>
      <w:r w:rsidR="008F21CC">
        <w:t>tim</w:t>
      </w:r>
      <w:r w:rsidR="0057648A">
        <w:t>ing</w:t>
      </w:r>
      <w:r w:rsidR="00893519">
        <w:t xml:space="preserve"> does appear late given the </w:t>
      </w:r>
      <w:r w:rsidR="00C938F5">
        <w:t>work needed to implement RTT</w:t>
      </w:r>
      <w:r w:rsidR="000562B4">
        <w:t xml:space="preserve"> </w:t>
      </w:r>
      <w:r w:rsidR="00EB3206">
        <w:t xml:space="preserve">by </w:t>
      </w:r>
      <w:r w:rsidR="00CA6CBC">
        <w:t>the June 30, 2020 deadline</w:t>
      </w:r>
      <w:r w:rsidR="000009AB">
        <w:t>,</w:t>
      </w:r>
      <w:r w:rsidR="00332FD2">
        <w:t xml:space="preserve"> </w:t>
      </w:r>
      <w:r w:rsidR="002B08FE">
        <w:t>although US Cellular thought it w</w:t>
      </w:r>
      <w:r w:rsidR="000009AB">
        <w:t xml:space="preserve">as on track to </w:t>
      </w:r>
      <w:r w:rsidR="002B08FE">
        <w:t>meet the deadline</w:t>
      </w:r>
      <w:r w:rsidR="000F37B9">
        <w:t xml:space="preserve">.  </w:t>
      </w:r>
      <w:r w:rsidRPr="00EB3206" w:rsidR="002B08FE">
        <w:rPr>
          <w:i/>
          <w:iCs/>
        </w:rPr>
        <w:t xml:space="preserve">See </w:t>
      </w:r>
      <w:r w:rsidR="00FA3F75">
        <w:rPr>
          <w:i/>
          <w:iCs/>
        </w:rPr>
        <w:t>i</w:t>
      </w:r>
      <w:r w:rsidRPr="00FA3F75" w:rsidR="00EB3206">
        <w:rPr>
          <w:i/>
          <w:iCs/>
        </w:rPr>
        <w:t xml:space="preserve">d. </w:t>
      </w:r>
      <w:r w:rsidRPr="00FA3F75" w:rsidR="00BE6523">
        <w:t xml:space="preserve">at </w:t>
      </w:r>
      <w:r w:rsidRPr="00FA3F75" w:rsidR="00FC2EEA">
        <w:t>5-6</w:t>
      </w:r>
      <w:r w:rsidRPr="00FA3F75" w:rsidR="000009AB">
        <w:t xml:space="preserve">.  </w:t>
      </w:r>
      <w:r w:rsidR="008263FA">
        <w:t xml:space="preserve">Given </w:t>
      </w:r>
      <w:r w:rsidR="00794EBA">
        <w:t xml:space="preserve">US Cellular’s </w:t>
      </w:r>
      <w:r w:rsidR="009D3674">
        <w:t>subsequent</w:t>
      </w:r>
      <w:r w:rsidR="00A93340">
        <w:t xml:space="preserve"> diligence in deploying </w:t>
      </w:r>
      <w:r w:rsidR="00794EBA">
        <w:t xml:space="preserve">RTT, </w:t>
      </w:r>
      <w:r w:rsidR="001825DC">
        <w:t xml:space="preserve">the </w:t>
      </w:r>
      <w:r w:rsidR="00124DB0">
        <w:t>gap in time</w:t>
      </w:r>
      <w:r w:rsidR="00C845B1">
        <w:t xml:space="preserve"> from </w:t>
      </w:r>
      <w:r w:rsidR="00124DB0">
        <w:t xml:space="preserve">the </w:t>
      </w:r>
      <w:r w:rsidR="00C845B1">
        <w:t xml:space="preserve">issuance of the </w:t>
      </w:r>
      <w:r w:rsidR="00C845B1">
        <w:rPr>
          <w:i/>
          <w:iCs/>
        </w:rPr>
        <w:t>TTY-RTT Transition Order</w:t>
      </w:r>
      <w:r w:rsidR="001825DC">
        <w:t xml:space="preserve"> </w:t>
      </w:r>
      <w:r w:rsidR="000F37B9">
        <w:t>to December 20</w:t>
      </w:r>
      <w:r w:rsidR="00394FB8">
        <w:t xml:space="preserve">19 </w:t>
      </w:r>
      <w:r w:rsidR="001825DC">
        <w:t xml:space="preserve">is not a </w:t>
      </w:r>
      <w:r w:rsidR="00997577">
        <w:t>su</w:t>
      </w:r>
      <w:r w:rsidR="008263FA">
        <w:t xml:space="preserve">bstantial </w:t>
      </w:r>
      <w:r w:rsidR="001825DC">
        <w:t>factor in our conclusion</w:t>
      </w:r>
      <w:r w:rsidR="00245E8E">
        <w:t xml:space="preserve"> here</w:t>
      </w:r>
      <w:r w:rsidR="00852F88">
        <w:t>.</w:t>
      </w:r>
      <w:r w:rsidR="0003454D">
        <w:t xml:space="preserve">  </w:t>
      </w:r>
      <w:r w:rsidR="00CA6CBC">
        <w:t>However, w</w:t>
      </w:r>
      <w:r w:rsidR="0003454D">
        <w:t>e</w:t>
      </w:r>
      <w:r w:rsidR="00BB1D3B">
        <w:t xml:space="preserve"> remind providers that </w:t>
      </w:r>
      <w:r w:rsidR="00D43466">
        <w:t xml:space="preserve">unexplained </w:t>
      </w:r>
      <w:r w:rsidR="00BB1D3B">
        <w:t xml:space="preserve">delay may be </w:t>
      </w:r>
      <w:r w:rsidR="00852F88">
        <w:t>considered in deciding waiver requests</w:t>
      </w:r>
      <w:r w:rsidR="003D24B9">
        <w:t>.</w:t>
      </w:r>
      <w:r w:rsidR="00146667">
        <w:t xml:space="preserve">  </w:t>
      </w:r>
      <w:r w:rsidR="00146667">
        <w:rPr>
          <w:i/>
          <w:iCs/>
        </w:rPr>
        <w:t>See</w:t>
      </w:r>
      <w:r w:rsidR="00146667">
        <w:t xml:space="preserve"> </w:t>
      </w:r>
      <w:r w:rsidR="00F57346">
        <w:rPr>
          <w:i/>
          <w:iCs/>
        </w:rPr>
        <w:t>Section 6</w:t>
      </w:r>
      <w:r w:rsidR="00985358">
        <w:rPr>
          <w:i/>
          <w:iCs/>
        </w:rPr>
        <w:t>8.4 of the Commission’s Rules Regarding Hearing-Aid Compatible Telephones;</w:t>
      </w:r>
      <w:r w:rsidR="00E361CA">
        <w:rPr>
          <w:i/>
          <w:iCs/>
        </w:rPr>
        <w:t xml:space="preserve"> Petitions for Waiver of Section 20.19 of the Commission’s Rules</w:t>
      </w:r>
      <w:r w:rsidRPr="00245E8E" w:rsidR="00E361CA">
        <w:t>,</w:t>
      </w:r>
      <w:r w:rsidR="00CC0124">
        <w:rPr>
          <w:i/>
          <w:iCs/>
        </w:rPr>
        <w:t xml:space="preserve"> </w:t>
      </w:r>
      <w:r w:rsidR="00CC0124">
        <w:t xml:space="preserve">WT Docket 01-309, </w:t>
      </w:r>
      <w:r w:rsidR="00486975">
        <w:t>Memorandum Opinion and</w:t>
      </w:r>
      <w:r w:rsidR="00245734">
        <w:t xml:space="preserve"> </w:t>
      </w:r>
      <w:r w:rsidR="00486975">
        <w:t xml:space="preserve">Order, </w:t>
      </w:r>
      <w:r w:rsidR="00146667">
        <w:t xml:space="preserve">23 </w:t>
      </w:r>
      <w:r w:rsidR="00A1630D">
        <w:t xml:space="preserve">FCC Rcd </w:t>
      </w:r>
      <w:r w:rsidR="00142729">
        <w:t xml:space="preserve">3352, </w:t>
      </w:r>
      <w:r w:rsidR="005922C9">
        <w:t>3368-</w:t>
      </w:r>
      <w:r w:rsidR="004F3DE4">
        <w:t xml:space="preserve">69, </w:t>
      </w:r>
      <w:r w:rsidR="00A1630D">
        <w:t xml:space="preserve">para. 34 </w:t>
      </w:r>
      <w:r w:rsidR="004F3DE4">
        <w:t>(2008)</w:t>
      </w:r>
      <w:r w:rsidR="0033774E">
        <w:t>,</w:t>
      </w:r>
      <w:r w:rsidR="004F3DE4">
        <w:t xml:space="preserve"> </w:t>
      </w:r>
      <w:r w:rsidR="00CA65B0">
        <w:rPr>
          <w:i/>
          <w:iCs/>
        </w:rPr>
        <w:t>rev. denied</w:t>
      </w:r>
      <w:r w:rsidR="00CA65B0">
        <w:t xml:space="preserve">, </w:t>
      </w:r>
      <w:r w:rsidR="00CA65B0">
        <w:rPr>
          <w:i/>
          <w:iCs/>
        </w:rPr>
        <w:t>Blanca</w:t>
      </w:r>
      <w:r w:rsidR="00641372">
        <w:rPr>
          <w:i/>
          <w:iCs/>
        </w:rPr>
        <w:t xml:space="preserve"> Tel. Co. v. FCC</w:t>
      </w:r>
      <w:r w:rsidR="00641372">
        <w:t>, 743 F.3d 860 (D.C. Cir. 2014)</w:t>
      </w:r>
      <w:r w:rsidRPr="00A93340" w:rsidR="00A93340">
        <w:rPr>
          <w:snapToGrid w:val="0"/>
          <w:kern w:val="28"/>
          <w:sz w:val="22"/>
        </w:rPr>
        <w:t xml:space="preserve"> </w:t>
      </w:r>
      <w:r w:rsidRPr="00A93340" w:rsidR="00A93340">
        <w:t>(refusing to grant waivers of hearing aid compatibility rule to carriers who provided no explanation of why they had not met the applicable deadline, noting “inattention does not constitute extraordinary circumstances to support a waiver”)</w:t>
      </w:r>
      <w:r w:rsidR="00641372">
        <w:t>.</w:t>
      </w:r>
    </w:p>
  </w:footnote>
  <w:footnote w:id="61">
    <w:p w:rsidR="000B65C7" w:rsidRPr="004114EE" w14:paraId="63B993E1" w14:textId="1270E1CF">
      <w:pPr>
        <w:pStyle w:val="FootnoteText"/>
      </w:pPr>
      <w:r>
        <w:rPr>
          <w:rStyle w:val="FootnoteReference"/>
        </w:rPr>
        <w:footnoteRef/>
      </w:r>
      <w:r w:rsidRPr="001F7A15">
        <w:t xml:space="preserve">  </w:t>
      </w:r>
      <w:r w:rsidR="004114EE">
        <w:rPr>
          <w:i/>
          <w:iCs/>
        </w:rPr>
        <w:t xml:space="preserve">See </w:t>
      </w:r>
      <w:r w:rsidR="004114EE">
        <w:t>US Cellular Petition</w:t>
      </w:r>
      <w:r w:rsidR="00EB3206">
        <w:t>.</w:t>
      </w:r>
      <w:r w:rsidR="004114EE">
        <w:t xml:space="preserve"> </w:t>
      </w:r>
    </w:p>
  </w:footnote>
  <w:footnote w:id="62">
    <w:p w:rsidR="00A10864" w14:paraId="1A86B85F" w14:textId="71A4B063">
      <w:pPr>
        <w:pStyle w:val="FootnoteText"/>
      </w:pPr>
      <w:r>
        <w:rPr>
          <w:rStyle w:val="FootnoteReference"/>
        </w:rPr>
        <w:footnoteRef/>
      </w:r>
      <w:r>
        <w:t xml:space="preserve"> </w:t>
      </w:r>
      <w:r w:rsidRPr="002B64A1">
        <w:rPr>
          <w:i/>
        </w:rPr>
        <w:t>See, e.g.</w:t>
      </w:r>
      <w:r>
        <w:t xml:space="preserve">, </w:t>
      </w:r>
      <w:r w:rsidRPr="003A11DD">
        <w:rPr>
          <w:i/>
        </w:rPr>
        <w:t>Blanca Tel. Co. v. FCC</w:t>
      </w:r>
      <w:r>
        <w:t xml:space="preserve">, 743 F.3d 860 (D.C. Cir. 2014) (affirming the Commission’s denial of </w:t>
      </w:r>
      <w:r w:rsidRPr="00B55AB6">
        <w:rPr>
          <w:i/>
        </w:rPr>
        <w:t>nunc pro tunc</w:t>
      </w:r>
      <w:r>
        <w:t xml:space="preserve"> waivers of hearing aid compatibility rules to non-complying carriers that failed to show they exercised reasonable diligence in attempting to meet compliance deadline set by the Commission).</w:t>
      </w:r>
    </w:p>
  </w:footnote>
  <w:footnote w:id="63">
    <w:p w:rsidR="000B65C7" w:rsidRPr="00AB5D17" w:rsidP="00410F68" w14:paraId="30F4E430" w14:textId="738BE90B">
      <w:pPr>
        <w:pStyle w:val="FootnoteText"/>
      </w:pPr>
      <w:r>
        <w:rPr>
          <w:rStyle w:val="FootnoteReference"/>
        </w:rPr>
        <w:footnoteRef/>
      </w:r>
      <w:r>
        <w:t xml:space="preserve"> US Cellular Reply at 4.</w:t>
      </w:r>
    </w:p>
  </w:footnote>
  <w:footnote w:id="64">
    <w:p w:rsidR="000B65C7" w:rsidP="00410F68" w14:paraId="3DE2E545" w14:textId="654B9E14">
      <w:pPr>
        <w:pStyle w:val="FootnoteText"/>
      </w:pPr>
      <w:r>
        <w:rPr>
          <w:rStyle w:val="FootnoteReference"/>
        </w:rPr>
        <w:footnoteRef/>
      </w:r>
      <w:r>
        <w:t xml:space="preserve"> US Cellular Petition at 3,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65C7" w:rsidP="00810B6F" w14:paraId="529856A2" w14:textId="25D748E2">
    <w:pPr>
      <w:pStyle w:val="Header"/>
      <w:rPr>
        <w:b w:val="0"/>
      </w:rPr>
    </w:pPr>
    <w:r>
      <w:tab/>
      <w:t>Federal Communications Commission</w:t>
    </w:r>
    <w:r>
      <w:tab/>
    </w:r>
    <w:r w:rsidR="005410FE">
      <w:t xml:space="preserve">DA </w:t>
    </w:r>
    <w:r w:rsidR="00F916EE">
      <w:t>20</w:t>
    </w:r>
    <w:r w:rsidR="005410FE">
      <w:t>-</w:t>
    </w:r>
    <w:r w:rsidR="00F916EE">
      <w:t>1520</w:t>
    </w:r>
  </w:p>
  <w:p w:rsidR="000B65C7" w14:paraId="394055B3" w14:textId="61D8E859">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65C7" w:rsidP="00810B6F" w14:paraId="77C04A72" w14:textId="3C8C2DB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sidR="005410FE">
      <w:rPr>
        <w:spacing w:val="-2"/>
      </w:rPr>
      <w:t xml:space="preserve">DA </w:t>
    </w:r>
    <w:r w:rsidR="00F916EE">
      <w:rPr>
        <w:spacing w:val="-2"/>
      </w:rPr>
      <w:t>20</w:t>
    </w:r>
    <w:r w:rsidR="005410FE">
      <w:rPr>
        <w:spacing w:val="-2"/>
      </w:rPr>
      <w:t>-</w:t>
    </w:r>
    <w:r w:rsidR="00F916EE">
      <w:rPr>
        <w:spacing w:val="-2"/>
      </w:rPr>
      <w:t>1520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3D22049"/>
    <w:multiLevelType w:val="hybridMultilevel"/>
    <w:tmpl w:val="AFD61D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F68"/>
    <w:rsid w:val="00000236"/>
    <w:rsid w:val="000009AB"/>
    <w:rsid w:val="00000E76"/>
    <w:rsid w:val="00004B3B"/>
    <w:rsid w:val="00006268"/>
    <w:rsid w:val="00007B07"/>
    <w:rsid w:val="000127CC"/>
    <w:rsid w:val="00012DCB"/>
    <w:rsid w:val="0001546A"/>
    <w:rsid w:val="000176E3"/>
    <w:rsid w:val="000209D2"/>
    <w:rsid w:val="00021E66"/>
    <w:rsid w:val="00022C0A"/>
    <w:rsid w:val="00023824"/>
    <w:rsid w:val="00023A5F"/>
    <w:rsid w:val="00026493"/>
    <w:rsid w:val="0002749E"/>
    <w:rsid w:val="00030F0C"/>
    <w:rsid w:val="0003405C"/>
    <w:rsid w:val="0003454D"/>
    <w:rsid w:val="00036039"/>
    <w:rsid w:val="00037F90"/>
    <w:rsid w:val="00042A7F"/>
    <w:rsid w:val="00042B0B"/>
    <w:rsid w:val="00044881"/>
    <w:rsid w:val="00047CE6"/>
    <w:rsid w:val="000513D8"/>
    <w:rsid w:val="000525F2"/>
    <w:rsid w:val="00054D7A"/>
    <w:rsid w:val="000562B4"/>
    <w:rsid w:val="00057864"/>
    <w:rsid w:val="00063914"/>
    <w:rsid w:val="000645BF"/>
    <w:rsid w:val="00065EA0"/>
    <w:rsid w:val="00066972"/>
    <w:rsid w:val="00067346"/>
    <w:rsid w:val="0007037F"/>
    <w:rsid w:val="00071AE2"/>
    <w:rsid w:val="00072E5C"/>
    <w:rsid w:val="000748CA"/>
    <w:rsid w:val="00074935"/>
    <w:rsid w:val="00076BA1"/>
    <w:rsid w:val="00081999"/>
    <w:rsid w:val="00082602"/>
    <w:rsid w:val="00082B76"/>
    <w:rsid w:val="00084048"/>
    <w:rsid w:val="000850BC"/>
    <w:rsid w:val="000875BF"/>
    <w:rsid w:val="00094307"/>
    <w:rsid w:val="00094856"/>
    <w:rsid w:val="00096D8C"/>
    <w:rsid w:val="000A0115"/>
    <w:rsid w:val="000A2346"/>
    <w:rsid w:val="000A4528"/>
    <w:rsid w:val="000A6E1B"/>
    <w:rsid w:val="000B1549"/>
    <w:rsid w:val="000B3154"/>
    <w:rsid w:val="000B5E6C"/>
    <w:rsid w:val="000B65C7"/>
    <w:rsid w:val="000B7325"/>
    <w:rsid w:val="000C0245"/>
    <w:rsid w:val="000C05A1"/>
    <w:rsid w:val="000C0773"/>
    <w:rsid w:val="000C0B65"/>
    <w:rsid w:val="000D50C7"/>
    <w:rsid w:val="000D5951"/>
    <w:rsid w:val="000D7CDA"/>
    <w:rsid w:val="000E05FE"/>
    <w:rsid w:val="000E3D42"/>
    <w:rsid w:val="000E439B"/>
    <w:rsid w:val="000F092E"/>
    <w:rsid w:val="000F1CDA"/>
    <w:rsid w:val="000F37B9"/>
    <w:rsid w:val="000F440E"/>
    <w:rsid w:val="000F7201"/>
    <w:rsid w:val="001024F4"/>
    <w:rsid w:val="0010691D"/>
    <w:rsid w:val="00113AAC"/>
    <w:rsid w:val="001152AC"/>
    <w:rsid w:val="001153F5"/>
    <w:rsid w:val="001156D9"/>
    <w:rsid w:val="00120CAC"/>
    <w:rsid w:val="00122416"/>
    <w:rsid w:val="00122BD5"/>
    <w:rsid w:val="00124DB0"/>
    <w:rsid w:val="00131F51"/>
    <w:rsid w:val="0013323B"/>
    <w:rsid w:val="00133F79"/>
    <w:rsid w:val="001346AE"/>
    <w:rsid w:val="00135DF2"/>
    <w:rsid w:val="00142729"/>
    <w:rsid w:val="0014324F"/>
    <w:rsid w:val="001435E9"/>
    <w:rsid w:val="00146667"/>
    <w:rsid w:val="00154AD1"/>
    <w:rsid w:val="0015527F"/>
    <w:rsid w:val="001630FD"/>
    <w:rsid w:val="001646E4"/>
    <w:rsid w:val="00165B1E"/>
    <w:rsid w:val="00170155"/>
    <w:rsid w:val="00172127"/>
    <w:rsid w:val="00172390"/>
    <w:rsid w:val="00172625"/>
    <w:rsid w:val="001762EE"/>
    <w:rsid w:val="00176A9D"/>
    <w:rsid w:val="00180895"/>
    <w:rsid w:val="0018128F"/>
    <w:rsid w:val="001825DC"/>
    <w:rsid w:val="00182AA2"/>
    <w:rsid w:val="001868B6"/>
    <w:rsid w:val="00194A66"/>
    <w:rsid w:val="00195652"/>
    <w:rsid w:val="001978A6"/>
    <w:rsid w:val="001A1102"/>
    <w:rsid w:val="001A19AE"/>
    <w:rsid w:val="001A3189"/>
    <w:rsid w:val="001A3736"/>
    <w:rsid w:val="001A71E1"/>
    <w:rsid w:val="001A7D74"/>
    <w:rsid w:val="001B34C1"/>
    <w:rsid w:val="001C4294"/>
    <w:rsid w:val="001C609A"/>
    <w:rsid w:val="001C60BC"/>
    <w:rsid w:val="001D3F98"/>
    <w:rsid w:val="001D40EF"/>
    <w:rsid w:val="001D6BCF"/>
    <w:rsid w:val="001D7637"/>
    <w:rsid w:val="001E01CA"/>
    <w:rsid w:val="001E0F51"/>
    <w:rsid w:val="001E16AD"/>
    <w:rsid w:val="001E3EEC"/>
    <w:rsid w:val="001E56A1"/>
    <w:rsid w:val="001F7256"/>
    <w:rsid w:val="001F7A15"/>
    <w:rsid w:val="00200364"/>
    <w:rsid w:val="00203F13"/>
    <w:rsid w:val="002058C4"/>
    <w:rsid w:val="00207F29"/>
    <w:rsid w:val="00210F72"/>
    <w:rsid w:val="002113F9"/>
    <w:rsid w:val="002155BD"/>
    <w:rsid w:val="00216F2D"/>
    <w:rsid w:val="002278C3"/>
    <w:rsid w:val="00234971"/>
    <w:rsid w:val="00235F5E"/>
    <w:rsid w:val="00244990"/>
    <w:rsid w:val="00245652"/>
    <w:rsid w:val="00245734"/>
    <w:rsid w:val="00245B11"/>
    <w:rsid w:val="00245E8E"/>
    <w:rsid w:val="00247174"/>
    <w:rsid w:val="0025165A"/>
    <w:rsid w:val="00254278"/>
    <w:rsid w:val="00254B46"/>
    <w:rsid w:val="0025712C"/>
    <w:rsid w:val="002572DE"/>
    <w:rsid w:val="00257361"/>
    <w:rsid w:val="00262A6D"/>
    <w:rsid w:val="002639FF"/>
    <w:rsid w:val="00271113"/>
    <w:rsid w:val="002714D8"/>
    <w:rsid w:val="00272380"/>
    <w:rsid w:val="00275CF5"/>
    <w:rsid w:val="002768C9"/>
    <w:rsid w:val="0027725E"/>
    <w:rsid w:val="0028301F"/>
    <w:rsid w:val="00285017"/>
    <w:rsid w:val="002940C0"/>
    <w:rsid w:val="00294134"/>
    <w:rsid w:val="002945C6"/>
    <w:rsid w:val="00296ACC"/>
    <w:rsid w:val="002A1EC8"/>
    <w:rsid w:val="002A2D2E"/>
    <w:rsid w:val="002A41A9"/>
    <w:rsid w:val="002A459E"/>
    <w:rsid w:val="002B0815"/>
    <w:rsid w:val="002B08FE"/>
    <w:rsid w:val="002B21E5"/>
    <w:rsid w:val="002B37CA"/>
    <w:rsid w:val="002B4AE5"/>
    <w:rsid w:val="002B64A1"/>
    <w:rsid w:val="002B691F"/>
    <w:rsid w:val="002B6A6C"/>
    <w:rsid w:val="002C00E8"/>
    <w:rsid w:val="002C27B0"/>
    <w:rsid w:val="002C3162"/>
    <w:rsid w:val="002D2395"/>
    <w:rsid w:val="002D2A2F"/>
    <w:rsid w:val="002D2B5D"/>
    <w:rsid w:val="002D4777"/>
    <w:rsid w:val="002D6DC2"/>
    <w:rsid w:val="002D7AB9"/>
    <w:rsid w:val="002D7F50"/>
    <w:rsid w:val="002E0BC2"/>
    <w:rsid w:val="002E4AA1"/>
    <w:rsid w:val="002F09E4"/>
    <w:rsid w:val="002F1A27"/>
    <w:rsid w:val="002F29A9"/>
    <w:rsid w:val="002F5C4A"/>
    <w:rsid w:val="002F5E9C"/>
    <w:rsid w:val="002F657E"/>
    <w:rsid w:val="002F6CE3"/>
    <w:rsid w:val="00300F6C"/>
    <w:rsid w:val="00301BED"/>
    <w:rsid w:val="00303BF3"/>
    <w:rsid w:val="0030590E"/>
    <w:rsid w:val="00310669"/>
    <w:rsid w:val="00310851"/>
    <w:rsid w:val="003141A0"/>
    <w:rsid w:val="00316645"/>
    <w:rsid w:val="00320040"/>
    <w:rsid w:val="00325501"/>
    <w:rsid w:val="003264BE"/>
    <w:rsid w:val="003313FB"/>
    <w:rsid w:val="003317DB"/>
    <w:rsid w:val="00332FD2"/>
    <w:rsid w:val="003336EE"/>
    <w:rsid w:val="00335AF2"/>
    <w:rsid w:val="0033774E"/>
    <w:rsid w:val="00342817"/>
    <w:rsid w:val="00343749"/>
    <w:rsid w:val="003466D6"/>
    <w:rsid w:val="00350826"/>
    <w:rsid w:val="003516F5"/>
    <w:rsid w:val="00355324"/>
    <w:rsid w:val="00365ABD"/>
    <w:rsid w:val="003660ED"/>
    <w:rsid w:val="00366F82"/>
    <w:rsid w:val="00372149"/>
    <w:rsid w:val="00377F96"/>
    <w:rsid w:val="0038363E"/>
    <w:rsid w:val="00384077"/>
    <w:rsid w:val="003842C5"/>
    <w:rsid w:val="003900B1"/>
    <w:rsid w:val="00390E9F"/>
    <w:rsid w:val="0039214A"/>
    <w:rsid w:val="003933A7"/>
    <w:rsid w:val="00394D4C"/>
    <w:rsid w:val="00394FB8"/>
    <w:rsid w:val="003962F9"/>
    <w:rsid w:val="003A0BCF"/>
    <w:rsid w:val="003A11DD"/>
    <w:rsid w:val="003A3A4D"/>
    <w:rsid w:val="003A4C8D"/>
    <w:rsid w:val="003A6C5E"/>
    <w:rsid w:val="003B0550"/>
    <w:rsid w:val="003B12B3"/>
    <w:rsid w:val="003B2A4D"/>
    <w:rsid w:val="003B520E"/>
    <w:rsid w:val="003B694F"/>
    <w:rsid w:val="003B6F61"/>
    <w:rsid w:val="003C018D"/>
    <w:rsid w:val="003C1336"/>
    <w:rsid w:val="003C21C5"/>
    <w:rsid w:val="003C293D"/>
    <w:rsid w:val="003C6C3C"/>
    <w:rsid w:val="003D07D4"/>
    <w:rsid w:val="003D0A68"/>
    <w:rsid w:val="003D24B9"/>
    <w:rsid w:val="003D46D9"/>
    <w:rsid w:val="003E53F9"/>
    <w:rsid w:val="003E57C8"/>
    <w:rsid w:val="003E7AF9"/>
    <w:rsid w:val="003F0EAF"/>
    <w:rsid w:val="003F171C"/>
    <w:rsid w:val="003F4584"/>
    <w:rsid w:val="003F50C3"/>
    <w:rsid w:val="003F5467"/>
    <w:rsid w:val="003F6B41"/>
    <w:rsid w:val="00402C6E"/>
    <w:rsid w:val="00403017"/>
    <w:rsid w:val="00403890"/>
    <w:rsid w:val="00406BEC"/>
    <w:rsid w:val="00406EB3"/>
    <w:rsid w:val="00406FF7"/>
    <w:rsid w:val="00410D05"/>
    <w:rsid w:val="00410F68"/>
    <w:rsid w:val="004114EE"/>
    <w:rsid w:val="00412FC5"/>
    <w:rsid w:val="00413067"/>
    <w:rsid w:val="0042148A"/>
    <w:rsid w:val="00422276"/>
    <w:rsid w:val="004229B2"/>
    <w:rsid w:val="004234C6"/>
    <w:rsid w:val="00423C33"/>
    <w:rsid w:val="004242F1"/>
    <w:rsid w:val="00431521"/>
    <w:rsid w:val="00435D31"/>
    <w:rsid w:val="004425EB"/>
    <w:rsid w:val="004432BF"/>
    <w:rsid w:val="00445A00"/>
    <w:rsid w:val="00446E8D"/>
    <w:rsid w:val="00447B63"/>
    <w:rsid w:val="00447DEC"/>
    <w:rsid w:val="00451B0F"/>
    <w:rsid w:val="00453194"/>
    <w:rsid w:val="004560DC"/>
    <w:rsid w:val="00456740"/>
    <w:rsid w:val="00460A85"/>
    <w:rsid w:val="00461B10"/>
    <w:rsid w:val="00463C25"/>
    <w:rsid w:val="004650DC"/>
    <w:rsid w:val="00465865"/>
    <w:rsid w:val="00465C51"/>
    <w:rsid w:val="0047276D"/>
    <w:rsid w:val="00473385"/>
    <w:rsid w:val="0047641B"/>
    <w:rsid w:val="00484E01"/>
    <w:rsid w:val="00484ED0"/>
    <w:rsid w:val="004855BD"/>
    <w:rsid w:val="00486975"/>
    <w:rsid w:val="004917A7"/>
    <w:rsid w:val="00491EFB"/>
    <w:rsid w:val="00493AAB"/>
    <w:rsid w:val="00496FE3"/>
    <w:rsid w:val="00497100"/>
    <w:rsid w:val="004A02F2"/>
    <w:rsid w:val="004A4ED2"/>
    <w:rsid w:val="004A78EB"/>
    <w:rsid w:val="004B21F5"/>
    <w:rsid w:val="004C2EC7"/>
    <w:rsid w:val="004C2EE3"/>
    <w:rsid w:val="004C4228"/>
    <w:rsid w:val="004C424D"/>
    <w:rsid w:val="004C427B"/>
    <w:rsid w:val="004C4E38"/>
    <w:rsid w:val="004C6877"/>
    <w:rsid w:val="004D1E53"/>
    <w:rsid w:val="004D27AE"/>
    <w:rsid w:val="004D631E"/>
    <w:rsid w:val="004E142C"/>
    <w:rsid w:val="004E1520"/>
    <w:rsid w:val="004E4820"/>
    <w:rsid w:val="004E4A22"/>
    <w:rsid w:val="004E4D54"/>
    <w:rsid w:val="004F1AAD"/>
    <w:rsid w:val="004F236D"/>
    <w:rsid w:val="004F3DE4"/>
    <w:rsid w:val="004F535E"/>
    <w:rsid w:val="0050352E"/>
    <w:rsid w:val="005053E3"/>
    <w:rsid w:val="00505D7E"/>
    <w:rsid w:val="00510218"/>
    <w:rsid w:val="0051049B"/>
    <w:rsid w:val="00511968"/>
    <w:rsid w:val="00512CFF"/>
    <w:rsid w:val="00514110"/>
    <w:rsid w:val="00517903"/>
    <w:rsid w:val="00517C59"/>
    <w:rsid w:val="00521F21"/>
    <w:rsid w:val="005235A0"/>
    <w:rsid w:val="0053029D"/>
    <w:rsid w:val="00535BE7"/>
    <w:rsid w:val="00536134"/>
    <w:rsid w:val="005369CB"/>
    <w:rsid w:val="00537720"/>
    <w:rsid w:val="005410FE"/>
    <w:rsid w:val="00542111"/>
    <w:rsid w:val="0054466A"/>
    <w:rsid w:val="005541AE"/>
    <w:rsid w:val="00555ADA"/>
    <w:rsid w:val="0055614C"/>
    <w:rsid w:val="0055637A"/>
    <w:rsid w:val="005568E2"/>
    <w:rsid w:val="00561744"/>
    <w:rsid w:val="00563492"/>
    <w:rsid w:val="00566D06"/>
    <w:rsid w:val="005723AE"/>
    <w:rsid w:val="00573E74"/>
    <w:rsid w:val="00575930"/>
    <w:rsid w:val="0057648A"/>
    <w:rsid w:val="00577017"/>
    <w:rsid w:val="0057734D"/>
    <w:rsid w:val="005773D5"/>
    <w:rsid w:val="00581CFB"/>
    <w:rsid w:val="00582C50"/>
    <w:rsid w:val="0058486C"/>
    <w:rsid w:val="00586D7B"/>
    <w:rsid w:val="00587B56"/>
    <w:rsid w:val="0059061A"/>
    <w:rsid w:val="005915A6"/>
    <w:rsid w:val="005922C9"/>
    <w:rsid w:val="00592A14"/>
    <w:rsid w:val="005943D3"/>
    <w:rsid w:val="005A20F6"/>
    <w:rsid w:val="005A316E"/>
    <w:rsid w:val="005A4867"/>
    <w:rsid w:val="005B4A9F"/>
    <w:rsid w:val="005B5BBC"/>
    <w:rsid w:val="005C0837"/>
    <w:rsid w:val="005C1E11"/>
    <w:rsid w:val="005C2D5D"/>
    <w:rsid w:val="005C4CC1"/>
    <w:rsid w:val="005C4D3C"/>
    <w:rsid w:val="005C57D2"/>
    <w:rsid w:val="005C645F"/>
    <w:rsid w:val="005C7B2A"/>
    <w:rsid w:val="005D0852"/>
    <w:rsid w:val="005D269F"/>
    <w:rsid w:val="005E14C2"/>
    <w:rsid w:val="005E16E5"/>
    <w:rsid w:val="005E2FCD"/>
    <w:rsid w:val="005E3B2C"/>
    <w:rsid w:val="005E6FB8"/>
    <w:rsid w:val="005F11F0"/>
    <w:rsid w:val="005F29A0"/>
    <w:rsid w:val="005F42A9"/>
    <w:rsid w:val="005F5E20"/>
    <w:rsid w:val="00602A17"/>
    <w:rsid w:val="00604318"/>
    <w:rsid w:val="00607BA5"/>
    <w:rsid w:val="0061180A"/>
    <w:rsid w:val="00613CC7"/>
    <w:rsid w:val="00614A4A"/>
    <w:rsid w:val="00614DA8"/>
    <w:rsid w:val="0061773D"/>
    <w:rsid w:val="00620DCE"/>
    <w:rsid w:val="00621B13"/>
    <w:rsid w:val="00623317"/>
    <w:rsid w:val="00626EB6"/>
    <w:rsid w:val="00630886"/>
    <w:rsid w:val="0063429B"/>
    <w:rsid w:val="00636066"/>
    <w:rsid w:val="00636D1F"/>
    <w:rsid w:val="00641372"/>
    <w:rsid w:val="00646A6C"/>
    <w:rsid w:val="00655D03"/>
    <w:rsid w:val="006605F8"/>
    <w:rsid w:val="00661B11"/>
    <w:rsid w:val="00667FE2"/>
    <w:rsid w:val="0067371A"/>
    <w:rsid w:val="00674F7B"/>
    <w:rsid w:val="00675299"/>
    <w:rsid w:val="00675807"/>
    <w:rsid w:val="00683388"/>
    <w:rsid w:val="00683F84"/>
    <w:rsid w:val="006841E2"/>
    <w:rsid w:val="006862E1"/>
    <w:rsid w:val="00686B7E"/>
    <w:rsid w:val="00692109"/>
    <w:rsid w:val="00692A03"/>
    <w:rsid w:val="00692ACD"/>
    <w:rsid w:val="006942A8"/>
    <w:rsid w:val="0069561A"/>
    <w:rsid w:val="00696118"/>
    <w:rsid w:val="006974F9"/>
    <w:rsid w:val="006A1630"/>
    <w:rsid w:val="006A22F7"/>
    <w:rsid w:val="006A6A81"/>
    <w:rsid w:val="006B0240"/>
    <w:rsid w:val="006B02E3"/>
    <w:rsid w:val="006C38FC"/>
    <w:rsid w:val="006C76F8"/>
    <w:rsid w:val="006C7F29"/>
    <w:rsid w:val="006D259D"/>
    <w:rsid w:val="006D4BEC"/>
    <w:rsid w:val="006D56CA"/>
    <w:rsid w:val="006D59D6"/>
    <w:rsid w:val="006E1787"/>
    <w:rsid w:val="006E4C55"/>
    <w:rsid w:val="006E7EBC"/>
    <w:rsid w:val="006F00A7"/>
    <w:rsid w:val="006F25A3"/>
    <w:rsid w:val="006F66F0"/>
    <w:rsid w:val="006F7393"/>
    <w:rsid w:val="00700BB2"/>
    <w:rsid w:val="0070224F"/>
    <w:rsid w:val="007115F7"/>
    <w:rsid w:val="00714229"/>
    <w:rsid w:val="00715566"/>
    <w:rsid w:val="00715E8E"/>
    <w:rsid w:val="00716AB6"/>
    <w:rsid w:val="00720518"/>
    <w:rsid w:val="00724892"/>
    <w:rsid w:val="0072569E"/>
    <w:rsid w:val="007311D6"/>
    <w:rsid w:val="00732BEF"/>
    <w:rsid w:val="00734839"/>
    <w:rsid w:val="00734D0E"/>
    <w:rsid w:val="00740F6A"/>
    <w:rsid w:val="00745DEA"/>
    <w:rsid w:val="0075044D"/>
    <w:rsid w:val="00754159"/>
    <w:rsid w:val="00754A61"/>
    <w:rsid w:val="00754DD1"/>
    <w:rsid w:val="0076460A"/>
    <w:rsid w:val="0076754A"/>
    <w:rsid w:val="00770942"/>
    <w:rsid w:val="0077126F"/>
    <w:rsid w:val="0077353F"/>
    <w:rsid w:val="00777963"/>
    <w:rsid w:val="00780D2C"/>
    <w:rsid w:val="00780D79"/>
    <w:rsid w:val="007815A7"/>
    <w:rsid w:val="00781EB6"/>
    <w:rsid w:val="0078275A"/>
    <w:rsid w:val="00785689"/>
    <w:rsid w:val="00787961"/>
    <w:rsid w:val="0079155F"/>
    <w:rsid w:val="00792D32"/>
    <w:rsid w:val="00793ED1"/>
    <w:rsid w:val="00794EBA"/>
    <w:rsid w:val="007952EA"/>
    <w:rsid w:val="0079754B"/>
    <w:rsid w:val="00797862"/>
    <w:rsid w:val="007A04D6"/>
    <w:rsid w:val="007A1706"/>
    <w:rsid w:val="007A1E6D"/>
    <w:rsid w:val="007A2E8A"/>
    <w:rsid w:val="007A4110"/>
    <w:rsid w:val="007A4A23"/>
    <w:rsid w:val="007B0C20"/>
    <w:rsid w:val="007B0EB2"/>
    <w:rsid w:val="007B5BA9"/>
    <w:rsid w:val="007C1A6B"/>
    <w:rsid w:val="007C6098"/>
    <w:rsid w:val="007D1157"/>
    <w:rsid w:val="007D386A"/>
    <w:rsid w:val="007D63A1"/>
    <w:rsid w:val="007E5456"/>
    <w:rsid w:val="007E7A66"/>
    <w:rsid w:val="007F3D17"/>
    <w:rsid w:val="007F7B51"/>
    <w:rsid w:val="0080123B"/>
    <w:rsid w:val="00802A4A"/>
    <w:rsid w:val="00803A7F"/>
    <w:rsid w:val="00804377"/>
    <w:rsid w:val="0080516D"/>
    <w:rsid w:val="00810AD3"/>
    <w:rsid w:val="00810B6F"/>
    <w:rsid w:val="008110BC"/>
    <w:rsid w:val="008111D9"/>
    <w:rsid w:val="008136E4"/>
    <w:rsid w:val="008142AF"/>
    <w:rsid w:val="008176CD"/>
    <w:rsid w:val="00820D09"/>
    <w:rsid w:val="008210D9"/>
    <w:rsid w:val="00821B9B"/>
    <w:rsid w:val="008220AB"/>
    <w:rsid w:val="00822CE0"/>
    <w:rsid w:val="0082348B"/>
    <w:rsid w:val="008235F0"/>
    <w:rsid w:val="0082361F"/>
    <w:rsid w:val="008244D7"/>
    <w:rsid w:val="00824B66"/>
    <w:rsid w:val="008263FA"/>
    <w:rsid w:val="00827609"/>
    <w:rsid w:val="00832A6B"/>
    <w:rsid w:val="00834DD0"/>
    <w:rsid w:val="008364CA"/>
    <w:rsid w:val="00841AB1"/>
    <w:rsid w:val="00842C88"/>
    <w:rsid w:val="00844AD6"/>
    <w:rsid w:val="00850003"/>
    <w:rsid w:val="008506B9"/>
    <w:rsid w:val="00852E25"/>
    <w:rsid w:val="00852F88"/>
    <w:rsid w:val="00863DD4"/>
    <w:rsid w:val="008648E1"/>
    <w:rsid w:val="00866E36"/>
    <w:rsid w:val="008679CE"/>
    <w:rsid w:val="00871D7B"/>
    <w:rsid w:val="008729F5"/>
    <w:rsid w:val="00873C4C"/>
    <w:rsid w:val="00873E3C"/>
    <w:rsid w:val="0087724D"/>
    <w:rsid w:val="00877672"/>
    <w:rsid w:val="00886A9D"/>
    <w:rsid w:val="00887AE5"/>
    <w:rsid w:val="00890328"/>
    <w:rsid w:val="0089159D"/>
    <w:rsid w:val="008930AC"/>
    <w:rsid w:val="00893519"/>
    <w:rsid w:val="00893D11"/>
    <w:rsid w:val="008A08B4"/>
    <w:rsid w:val="008A2706"/>
    <w:rsid w:val="008B0690"/>
    <w:rsid w:val="008B0803"/>
    <w:rsid w:val="008B5993"/>
    <w:rsid w:val="008C50CF"/>
    <w:rsid w:val="008C68F1"/>
    <w:rsid w:val="008D13AE"/>
    <w:rsid w:val="008D1D28"/>
    <w:rsid w:val="008D40B2"/>
    <w:rsid w:val="008D614F"/>
    <w:rsid w:val="008E3010"/>
    <w:rsid w:val="008E53AE"/>
    <w:rsid w:val="008E5E1F"/>
    <w:rsid w:val="008F0F4D"/>
    <w:rsid w:val="008F21CC"/>
    <w:rsid w:val="008F75B2"/>
    <w:rsid w:val="00902044"/>
    <w:rsid w:val="009021EA"/>
    <w:rsid w:val="009024E0"/>
    <w:rsid w:val="009033E4"/>
    <w:rsid w:val="009061C6"/>
    <w:rsid w:val="00910A92"/>
    <w:rsid w:val="00911C23"/>
    <w:rsid w:val="009139C9"/>
    <w:rsid w:val="0091448E"/>
    <w:rsid w:val="0091465F"/>
    <w:rsid w:val="00921784"/>
    <w:rsid w:val="00921803"/>
    <w:rsid w:val="0092317B"/>
    <w:rsid w:val="009260B3"/>
    <w:rsid w:val="00926503"/>
    <w:rsid w:val="00926D64"/>
    <w:rsid w:val="009300F9"/>
    <w:rsid w:val="00930C86"/>
    <w:rsid w:val="00932366"/>
    <w:rsid w:val="009351F1"/>
    <w:rsid w:val="0094050B"/>
    <w:rsid w:val="0094153F"/>
    <w:rsid w:val="009426C1"/>
    <w:rsid w:val="00945BB1"/>
    <w:rsid w:val="0094676D"/>
    <w:rsid w:val="00951653"/>
    <w:rsid w:val="009529A3"/>
    <w:rsid w:val="00953355"/>
    <w:rsid w:val="009612D1"/>
    <w:rsid w:val="00962ED6"/>
    <w:rsid w:val="00963E86"/>
    <w:rsid w:val="00964A25"/>
    <w:rsid w:val="00964D83"/>
    <w:rsid w:val="009657D3"/>
    <w:rsid w:val="00970244"/>
    <w:rsid w:val="00971928"/>
    <w:rsid w:val="009726D8"/>
    <w:rsid w:val="009759C9"/>
    <w:rsid w:val="00983F51"/>
    <w:rsid w:val="0098487C"/>
    <w:rsid w:val="00985021"/>
    <w:rsid w:val="00985358"/>
    <w:rsid w:val="00986465"/>
    <w:rsid w:val="009878FD"/>
    <w:rsid w:val="009934FB"/>
    <w:rsid w:val="00997577"/>
    <w:rsid w:val="009A50B1"/>
    <w:rsid w:val="009A7F78"/>
    <w:rsid w:val="009B46A8"/>
    <w:rsid w:val="009B4DCC"/>
    <w:rsid w:val="009B50B4"/>
    <w:rsid w:val="009B6AA5"/>
    <w:rsid w:val="009B7EFF"/>
    <w:rsid w:val="009C0130"/>
    <w:rsid w:val="009C70A5"/>
    <w:rsid w:val="009D090E"/>
    <w:rsid w:val="009D1CD7"/>
    <w:rsid w:val="009D2AA7"/>
    <w:rsid w:val="009D3674"/>
    <w:rsid w:val="009D7308"/>
    <w:rsid w:val="009E323F"/>
    <w:rsid w:val="009E669A"/>
    <w:rsid w:val="009F240E"/>
    <w:rsid w:val="009F5218"/>
    <w:rsid w:val="009F571A"/>
    <w:rsid w:val="009F76DB"/>
    <w:rsid w:val="009F7916"/>
    <w:rsid w:val="00A05A1F"/>
    <w:rsid w:val="00A061A7"/>
    <w:rsid w:val="00A07E0C"/>
    <w:rsid w:val="00A10864"/>
    <w:rsid w:val="00A111C3"/>
    <w:rsid w:val="00A15315"/>
    <w:rsid w:val="00A15AF8"/>
    <w:rsid w:val="00A1630D"/>
    <w:rsid w:val="00A20214"/>
    <w:rsid w:val="00A22638"/>
    <w:rsid w:val="00A24B29"/>
    <w:rsid w:val="00A27DCD"/>
    <w:rsid w:val="00A3016A"/>
    <w:rsid w:val="00A301CE"/>
    <w:rsid w:val="00A32103"/>
    <w:rsid w:val="00A32C3B"/>
    <w:rsid w:val="00A33137"/>
    <w:rsid w:val="00A37280"/>
    <w:rsid w:val="00A4023C"/>
    <w:rsid w:val="00A40417"/>
    <w:rsid w:val="00A41A74"/>
    <w:rsid w:val="00A437FF"/>
    <w:rsid w:val="00A45F4F"/>
    <w:rsid w:val="00A51500"/>
    <w:rsid w:val="00A600A9"/>
    <w:rsid w:val="00A61F3A"/>
    <w:rsid w:val="00A6401C"/>
    <w:rsid w:val="00A647E3"/>
    <w:rsid w:val="00A65382"/>
    <w:rsid w:val="00A709EC"/>
    <w:rsid w:val="00A7236F"/>
    <w:rsid w:val="00A73DB2"/>
    <w:rsid w:val="00A74231"/>
    <w:rsid w:val="00A75C30"/>
    <w:rsid w:val="00A76277"/>
    <w:rsid w:val="00A83C2A"/>
    <w:rsid w:val="00A85289"/>
    <w:rsid w:val="00A8729E"/>
    <w:rsid w:val="00A87BA1"/>
    <w:rsid w:val="00A904A6"/>
    <w:rsid w:val="00A90F9E"/>
    <w:rsid w:val="00A93340"/>
    <w:rsid w:val="00A94F0A"/>
    <w:rsid w:val="00A957D4"/>
    <w:rsid w:val="00A9596A"/>
    <w:rsid w:val="00A961CE"/>
    <w:rsid w:val="00A9717B"/>
    <w:rsid w:val="00AA0AA3"/>
    <w:rsid w:val="00AA19B6"/>
    <w:rsid w:val="00AA21C8"/>
    <w:rsid w:val="00AA2F6B"/>
    <w:rsid w:val="00AA3A9F"/>
    <w:rsid w:val="00AA3CB8"/>
    <w:rsid w:val="00AA55B7"/>
    <w:rsid w:val="00AA5B9E"/>
    <w:rsid w:val="00AA71A9"/>
    <w:rsid w:val="00AB1802"/>
    <w:rsid w:val="00AB2407"/>
    <w:rsid w:val="00AB53DF"/>
    <w:rsid w:val="00AB5D17"/>
    <w:rsid w:val="00AB75D9"/>
    <w:rsid w:val="00AC6648"/>
    <w:rsid w:val="00AC69C7"/>
    <w:rsid w:val="00AC7134"/>
    <w:rsid w:val="00AD28B5"/>
    <w:rsid w:val="00AD2EFA"/>
    <w:rsid w:val="00AD5F54"/>
    <w:rsid w:val="00AE001B"/>
    <w:rsid w:val="00AE0FEA"/>
    <w:rsid w:val="00AE1144"/>
    <w:rsid w:val="00AE4EF6"/>
    <w:rsid w:val="00AE5EB8"/>
    <w:rsid w:val="00AF0BCB"/>
    <w:rsid w:val="00AF1B27"/>
    <w:rsid w:val="00AF5CDA"/>
    <w:rsid w:val="00AF6E2C"/>
    <w:rsid w:val="00AF7775"/>
    <w:rsid w:val="00AF7AA5"/>
    <w:rsid w:val="00AF7B03"/>
    <w:rsid w:val="00B00384"/>
    <w:rsid w:val="00B01F95"/>
    <w:rsid w:val="00B0687A"/>
    <w:rsid w:val="00B07E5C"/>
    <w:rsid w:val="00B13312"/>
    <w:rsid w:val="00B15E04"/>
    <w:rsid w:val="00B15EBB"/>
    <w:rsid w:val="00B16C0C"/>
    <w:rsid w:val="00B20DFB"/>
    <w:rsid w:val="00B24E0C"/>
    <w:rsid w:val="00B303B3"/>
    <w:rsid w:val="00B31B06"/>
    <w:rsid w:val="00B31F66"/>
    <w:rsid w:val="00B343B1"/>
    <w:rsid w:val="00B348CF"/>
    <w:rsid w:val="00B3663D"/>
    <w:rsid w:val="00B3687C"/>
    <w:rsid w:val="00B37342"/>
    <w:rsid w:val="00B37EE8"/>
    <w:rsid w:val="00B4708C"/>
    <w:rsid w:val="00B515C5"/>
    <w:rsid w:val="00B52477"/>
    <w:rsid w:val="00B52B70"/>
    <w:rsid w:val="00B54C77"/>
    <w:rsid w:val="00B55AB6"/>
    <w:rsid w:val="00B601AF"/>
    <w:rsid w:val="00B62035"/>
    <w:rsid w:val="00B634D7"/>
    <w:rsid w:val="00B679BC"/>
    <w:rsid w:val="00B71E74"/>
    <w:rsid w:val="00B73188"/>
    <w:rsid w:val="00B770BA"/>
    <w:rsid w:val="00B811F7"/>
    <w:rsid w:val="00B842BE"/>
    <w:rsid w:val="00B85C8F"/>
    <w:rsid w:val="00B878D9"/>
    <w:rsid w:val="00B87B46"/>
    <w:rsid w:val="00B9010F"/>
    <w:rsid w:val="00B92EA5"/>
    <w:rsid w:val="00B93362"/>
    <w:rsid w:val="00B96893"/>
    <w:rsid w:val="00B96BEE"/>
    <w:rsid w:val="00B9745B"/>
    <w:rsid w:val="00B97F9B"/>
    <w:rsid w:val="00BA1652"/>
    <w:rsid w:val="00BA175C"/>
    <w:rsid w:val="00BA1AE8"/>
    <w:rsid w:val="00BA5DC6"/>
    <w:rsid w:val="00BA6196"/>
    <w:rsid w:val="00BB0295"/>
    <w:rsid w:val="00BB1C34"/>
    <w:rsid w:val="00BB1D3B"/>
    <w:rsid w:val="00BB1F64"/>
    <w:rsid w:val="00BB28B9"/>
    <w:rsid w:val="00BB2DDE"/>
    <w:rsid w:val="00BB4E6E"/>
    <w:rsid w:val="00BB5614"/>
    <w:rsid w:val="00BB5C2F"/>
    <w:rsid w:val="00BB6225"/>
    <w:rsid w:val="00BC030F"/>
    <w:rsid w:val="00BC217B"/>
    <w:rsid w:val="00BC368D"/>
    <w:rsid w:val="00BC469F"/>
    <w:rsid w:val="00BC61B1"/>
    <w:rsid w:val="00BC6B4B"/>
    <w:rsid w:val="00BC6D8C"/>
    <w:rsid w:val="00BD3014"/>
    <w:rsid w:val="00BD30C1"/>
    <w:rsid w:val="00BD31F7"/>
    <w:rsid w:val="00BD3EFB"/>
    <w:rsid w:val="00BD4D87"/>
    <w:rsid w:val="00BD571E"/>
    <w:rsid w:val="00BE2E21"/>
    <w:rsid w:val="00BE2FF1"/>
    <w:rsid w:val="00BE6483"/>
    <w:rsid w:val="00BE6523"/>
    <w:rsid w:val="00BF13F5"/>
    <w:rsid w:val="00BF5D9D"/>
    <w:rsid w:val="00C0075C"/>
    <w:rsid w:val="00C00A01"/>
    <w:rsid w:val="00C01D2D"/>
    <w:rsid w:val="00C03C0D"/>
    <w:rsid w:val="00C041BF"/>
    <w:rsid w:val="00C05103"/>
    <w:rsid w:val="00C0643B"/>
    <w:rsid w:val="00C1024C"/>
    <w:rsid w:val="00C11299"/>
    <w:rsid w:val="00C14386"/>
    <w:rsid w:val="00C17872"/>
    <w:rsid w:val="00C17E0E"/>
    <w:rsid w:val="00C21384"/>
    <w:rsid w:val="00C2386B"/>
    <w:rsid w:val="00C23EE8"/>
    <w:rsid w:val="00C2417E"/>
    <w:rsid w:val="00C26E91"/>
    <w:rsid w:val="00C2707D"/>
    <w:rsid w:val="00C300A3"/>
    <w:rsid w:val="00C317EA"/>
    <w:rsid w:val="00C31F06"/>
    <w:rsid w:val="00C33858"/>
    <w:rsid w:val="00C34006"/>
    <w:rsid w:val="00C3489B"/>
    <w:rsid w:val="00C36B4C"/>
    <w:rsid w:val="00C426B1"/>
    <w:rsid w:val="00C46594"/>
    <w:rsid w:val="00C567D8"/>
    <w:rsid w:val="00C57831"/>
    <w:rsid w:val="00C628F3"/>
    <w:rsid w:val="00C63748"/>
    <w:rsid w:val="00C63931"/>
    <w:rsid w:val="00C66160"/>
    <w:rsid w:val="00C672B7"/>
    <w:rsid w:val="00C71A78"/>
    <w:rsid w:val="00C721AC"/>
    <w:rsid w:val="00C76440"/>
    <w:rsid w:val="00C80555"/>
    <w:rsid w:val="00C81435"/>
    <w:rsid w:val="00C81ADE"/>
    <w:rsid w:val="00C83D0E"/>
    <w:rsid w:val="00C840F9"/>
    <w:rsid w:val="00C845B1"/>
    <w:rsid w:val="00C85882"/>
    <w:rsid w:val="00C85C04"/>
    <w:rsid w:val="00C86103"/>
    <w:rsid w:val="00C90D6A"/>
    <w:rsid w:val="00C92388"/>
    <w:rsid w:val="00C938F5"/>
    <w:rsid w:val="00C96C53"/>
    <w:rsid w:val="00C971AC"/>
    <w:rsid w:val="00C979C8"/>
    <w:rsid w:val="00CA247E"/>
    <w:rsid w:val="00CA65B0"/>
    <w:rsid w:val="00CA6CBC"/>
    <w:rsid w:val="00CA6D21"/>
    <w:rsid w:val="00CA72C9"/>
    <w:rsid w:val="00CA7E19"/>
    <w:rsid w:val="00CB0F90"/>
    <w:rsid w:val="00CB159F"/>
    <w:rsid w:val="00CB1E8E"/>
    <w:rsid w:val="00CB2567"/>
    <w:rsid w:val="00CB2D6B"/>
    <w:rsid w:val="00CB60D0"/>
    <w:rsid w:val="00CC0124"/>
    <w:rsid w:val="00CC19AE"/>
    <w:rsid w:val="00CC72B6"/>
    <w:rsid w:val="00CD06F1"/>
    <w:rsid w:val="00CD19F0"/>
    <w:rsid w:val="00CD36B8"/>
    <w:rsid w:val="00CD659D"/>
    <w:rsid w:val="00CD7DA0"/>
    <w:rsid w:val="00CD7E3E"/>
    <w:rsid w:val="00CE3E33"/>
    <w:rsid w:val="00CE528E"/>
    <w:rsid w:val="00CE6A11"/>
    <w:rsid w:val="00CE6E1E"/>
    <w:rsid w:val="00CF15CF"/>
    <w:rsid w:val="00CF6627"/>
    <w:rsid w:val="00D01FC3"/>
    <w:rsid w:val="00D0218D"/>
    <w:rsid w:val="00D02A23"/>
    <w:rsid w:val="00D050A6"/>
    <w:rsid w:val="00D067B0"/>
    <w:rsid w:val="00D140C4"/>
    <w:rsid w:val="00D176D5"/>
    <w:rsid w:val="00D23107"/>
    <w:rsid w:val="00D25D16"/>
    <w:rsid w:val="00D25FB5"/>
    <w:rsid w:val="00D26B12"/>
    <w:rsid w:val="00D2700E"/>
    <w:rsid w:val="00D3686E"/>
    <w:rsid w:val="00D37066"/>
    <w:rsid w:val="00D37B80"/>
    <w:rsid w:val="00D40B5F"/>
    <w:rsid w:val="00D410BC"/>
    <w:rsid w:val="00D418FE"/>
    <w:rsid w:val="00D42434"/>
    <w:rsid w:val="00D43466"/>
    <w:rsid w:val="00D44223"/>
    <w:rsid w:val="00D446EF"/>
    <w:rsid w:val="00D4599C"/>
    <w:rsid w:val="00D45A5F"/>
    <w:rsid w:val="00D47940"/>
    <w:rsid w:val="00D5108B"/>
    <w:rsid w:val="00D52877"/>
    <w:rsid w:val="00D56AE1"/>
    <w:rsid w:val="00D60190"/>
    <w:rsid w:val="00D61B7C"/>
    <w:rsid w:val="00D65773"/>
    <w:rsid w:val="00D70367"/>
    <w:rsid w:val="00D724C8"/>
    <w:rsid w:val="00D828F6"/>
    <w:rsid w:val="00D845D6"/>
    <w:rsid w:val="00D86C22"/>
    <w:rsid w:val="00D93011"/>
    <w:rsid w:val="00D94404"/>
    <w:rsid w:val="00D946B4"/>
    <w:rsid w:val="00D94A19"/>
    <w:rsid w:val="00D970A3"/>
    <w:rsid w:val="00DA00A4"/>
    <w:rsid w:val="00DA2529"/>
    <w:rsid w:val="00DA522E"/>
    <w:rsid w:val="00DA740B"/>
    <w:rsid w:val="00DB130A"/>
    <w:rsid w:val="00DB1E55"/>
    <w:rsid w:val="00DB2860"/>
    <w:rsid w:val="00DB2EBB"/>
    <w:rsid w:val="00DB7C4B"/>
    <w:rsid w:val="00DC10A1"/>
    <w:rsid w:val="00DC3E85"/>
    <w:rsid w:val="00DC45C0"/>
    <w:rsid w:val="00DC655F"/>
    <w:rsid w:val="00DC6FFA"/>
    <w:rsid w:val="00DD0B59"/>
    <w:rsid w:val="00DD2F36"/>
    <w:rsid w:val="00DD3E49"/>
    <w:rsid w:val="00DD4DF0"/>
    <w:rsid w:val="00DD7EBD"/>
    <w:rsid w:val="00DE1797"/>
    <w:rsid w:val="00DE3435"/>
    <w:rsid w:val="00DE3F4F"/>
    <w:rsid w:val="00DE4FB6"/>
    <w:rsid w:val="00DF0349"/>
    <w:rsid w:val="00DF0841"/>
    <w:rsid w:val="00DF1F3B"/>
    <w:rsid w:val="00DF42C8"/>
    <w:rsid w:val="00DF4BC0"/>
    <w:rsid w:val="00DF62B6"/>
    <w:rsid w:val="00E0199C"/>
    <w:rsid w:val="00E04B79"/>
    <w:rsid w:val="00E0507D"/>
    <w:rsid w:val="00E0649E"/>
    <w:rsid w:val="00E07225"/>
    <w:rsid w:val="00E10E14"/>
    <w:rsid w:val="00E12ACD"/>
    <w:rsid w:val="00E17853"/>
    <w:rsid w:val="00E22654"/>
    <w:rsid w:val="00E22BD4"/>
    <w:rsid w:val="00E306FC"/>
    <w:rsid w:val="00E31E09"/>
    <w:rsid w:val="00E356E6"/>
    <w:rsid w:val="00E361CA"/>
    <w:rsid w:val="00E37B9F"/>
    <w:rsid w:val="00E41D02"/>
    <w:rsid w:val="00E453C0"/>
    <w:rsid w:val="00E46DC0"/>
    <w:rsid w:val="00E47C7B"/>
    <w:rsid w:val="00E52492"/>
    <w:rsid w:val="00E532C5"/>
    <w:rsid w:val="00E5409F"/>
    <w:rsid w:val="00E549FB"/>
    <w:rsid w:val="00E55E29"/>
    <w:rsid w:val="00E605DE"/>
    <w:rsid w:val="00E609A0"/>
    <w:rsid w:val="00E6119B"/>
    <w:rsid w:val="00E61294"/>
    <w:rsid w:val="00E61763"/>
    <w:rsid w:val="00E652D7"/>
    <w:rsid w:val="00E767C0"/>
    <w:rsid w:val="00E87C6D"/>
    <w:rsid w:val="00E90982"/>
    <w:rsid w:val="00E91112"/>
    <w:rsid w:val="00E924CA"/>
    <w:rsid w:val="00E97608"/>
    <w:rsid w:val="00EA1136"/>
    <w:rsid w:val="00EA11B7"/>
    <w:rsid w:val="00EB0AAC"/>
    <w:rsid w:val="00EB225A"/>
    <w:rsid w:val="00EB3206"/>
    <w:rsid w:val="00EB4293"/>
    <w:rsid w:val="00EB499A"/>
    <w:rsid w:val="00ED023F"/>
    <w:rsid w:val="00ED2C15"/>
    <w:rsid w:val="00ED2F39"/>
    <w:rsid w:val="00ED3F60"/>
    <w:rsid w:val="00ED44F1"/>
    <w:rsid w:val="00ED45FD"/>
    <w:rsid w:val="00EE0355"/>
    <w:rsid w:val="00EE1ED6"/>
    <w:rsid w:val="00EE4045"/>
    <w:rsid w:val="00EE6364"/>
    <w:rsid w:val="00EE6488"/>
    <w:rsid w:val="00EF3AEB"/>
    <w:rsid w:val="00F00770"/>
    <w:rsid w:val="00F021FA"/>
    <w:rsid w:val="00F03DB4"/>
    <w:rsid w:val="00F04A83"/>
    <w:rsid w:val="00F108B3"/>
    <w:rsid w:val="00F12FC4"/>
    <w:rsid w:val="00F144B4"/>
    <w:rsid w:val="00F20D81"/>
    <w:rsid w:val="00F2238F"/>
    <w:rsid w:val="00F23643"/>
    <w:rsid w:val="00F23BF1"/>
    <w:rsid w:val="00F23E57"/>
    <w:rsid w:val="00F24BD6"/>
    <w:rsid w:val="00F25A31"/>
    <w:rsid w:val="00F2638E"/>
    <w:rsid w:val="00F3079B"/>
    <w:rsid w:val="00F36277"/>
    <w:rsid w:val="00F362E5"/>
    <w:rsid w:val="00F4268B"/>
    <w:rsid w:val="00F434BA"/>
    <w:rsid w:val="00F44C43"/>
    <w:rsid w:val="00F45417"/>
    <w:rsid w:val="00F46D77"/>
    <w:rsid w:val="00F479A2"/>
    <w:rsid w:val="00F52A24"/>
    <w:rsid w:val="00F57346"/>
    <w:rsid w:val="00F62D39"/>
    <w:rsid w:val="00F62E97"/>
    <w:rsid w:val="00F63227"/>
    <w:rsid w:val="00F64209"/>
    <w:rsid w:val="00F667CB"/>
    <w:rsid w:val="00F6748D"/>
    <w:rsid w:val="00F70DBF"/>
    <w:rsid w:val="00F70F8F"/>
    <w:rsid w:val="00F80D04"/>
    <w:rsid w:val="00F8246C"/>
    <w:rsid w:val="00F830E6"/>
    <w:rsid w:val="00F868F1"/>
    <w:rsid w:val="00F916EE"/>
    <w:rsid w:val="00F93BF5"/>
    <w:rsid w:val="00F954F7"/>
    <w:rsid w:val="00F9683F"/>
    <w:rsid w:val="00FA2419"/>
    <w:rsid w:val="00FA2D0C"/>
    <w:rsid w:val="00FA31CF"/>
    <w:rsid w:val="00FA3C55"/>
    <w:rsid w:val="00FA3F75"/>
    <w:rsid w:val="00FC2EEA"/>
    <w:rsid w:val="00FC4BF6"/>
    <w:rsid w:val="00FC7749"/>
    <w:rsid w:val="00FD01F0"/>
    <w:rsid w:val="00FE106F"/>
    <w:rsid w:val="00FE3525"/>
    <w:rsid w:val="00FE443C"/>
    <w:rsid w:val="00FF35DB"/>
    <w:rsid w:val="00FF3CAF"/>
    <w:rsid w:val="00FF44CA"/>
    <w:rsid w:val="00FF51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92F2AD4-A228-45BB-8F42-FE4ADE8B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F68"/>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1,Footnote Text Char Char1 Char Char Char Char,Footnote Text Char1,Footnote Text Char1 Char Char1 Char Char,Footnote Text Char2 Char1 Char,Footnote Text Char3 Char,Footnote Text Char5,fn"/>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410F68"/>
    <w:rPr>
      <w:rFonts w:ascii="Times New Roman Bold" w:hAnsi="Times New Roman Bold"/>
      <w:b/>
      <w:caps/>
      <w:snapToGrid w:val="0"/>
      <w:kern w:val="28"/>
      <w:sz w:val="22"/>
    </w:rPr>
  </w:style>
  <w:style w:type="character" w:customStyle="1" w:styleId="FootnoteTextChar">
    <w:name w:val="Footnote Text Char"/>
    <w:aliases w:val="Footnote Text Char Char Char Char1 Char,Footnote Text Char Char1 Char Char Char Char Char,Footnote Text Char1 Char,Footnote Text Char1 Char Char1 Char Char Char,Footnote Text Char2 Char1 Char Char,Footnote Text Char3 Char Char,fn Char"/>
    <w:link w:val="FootnoteText"/>
    <w:uiPriority w:val="99"/>
    <w:rsid w:val="00410F68"/>
  </w:style>
  <w:style w:type="character" w:customStyle="1" w:styleId="FootnoteTextChar1Char1">
    <w:name w:val="Footnote Text Char1 Char1"/>
    <w:aliases w:val="Footnote Text Char Char Char1,Footnote Text Char2 Char Char Char1,Footnote Text Char2 Char1 Char1 Char Char Char1,Footnote Text Char3 Char1 Char Char Char Char Char1,Footnote Text Char3 Char1 Char Char Char1,fn Char Char"/>
    <w:semiHidden/>
    <w:rsid w:val="00410F68"/>
    <w:rPr>
      <w:lang w:val="en-US" w:eastAsia="en-US" w:bidi="ar-SA"/>
    </w:rPr>
  </w:style>
  <w:style w:type="character" w:styleId="CommentReference">
    <w:name w:val="annotation reference"/>
    <w:rsid w:val="00410F68"/>
    <w:rPr>
      <w:sz w:val="16"/>
      <w:szCs w:val="16"/>
    </w:rPr>
  </w:style>
  <w:style w:type="paragraph" w:styleId="CommentText">
    <w:name w:val="annotation text"/>
    <w:basedOn w:val="Normal"/>
    <w:link w:val="CommentTextChar"/>
    <w:rsid w:val="00410F68"/>
    <w:rPr>
      <w:sz w:val="20"/>
    </w:rPr>
  </w:style>
  <w:style w:type="character" w:customStyle="1" w:styleId="CommentTextChar">
    <w:name w:val="Comment Text Char"/>
    <w:link w:val="CommentText"/>
    <w:rsid w:val="00410F68"/>
    <w:rPr>
      <w:snapToGrid w:val="0"/>
      <w:kern w:val="28"/>
    </w:rPr>
  </w:style>
  <w:style w:type="paragraph" w:styleId="BalloonText">
    <w:name w:val="Balloon Text"/>
    <w:basedOn w:val="Normal"/>
    <w:link w:val="BalloonTextChar"/>
    <w:rsid w:val="00410F68"/>
    <w:rPr>
      <w:rFonts w:ascii="Segoe UI" w:hAnsi="Segoe UI" w:cs="Segoe UI"/>
      <w:sz w:val="18"/>
      <w:szCs w:val="18"/>
    </w:rPr>
  </w:style>
  <w:style w:type="character" w:customStyle="1" w:styleId="BalloonTextChar">
    <w:name w:val="Balloon Text Char"/>
    <w:link w:val="BalloonText"/>
    <w:rsid w:val="00410F68"/>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AF1B27"/>
    <w:rPr>
      <w:b/>
      <w:bCs/>
    </w:rPr>
  </w:style>
  <w:style w:type="character" w:customStyle="1" w:styleId="CommentSubjectChar">
    <w:name w:val="Comment Subject Char"/>
    <w:link w:val="CommentSubject"/>
    <w:rsid w:val="00AF1B27"/>
    <w:rPr>
      <w:b/>
      <w:bCs/>
      <w:snapToGrid w:val="0"/>
      <w:kern w:val="28"/>
    </w:rPr>
  </w:style>
  <w:style w:type="character" w:customStyle="1" w:styleId="UnresolvedMention">
    <w:name w:val="Unresolved Mention"/>
    <w:uiPriority w:val="99"/>
    <w:semiHidden/>
    <w:unhideWhenUsed/>
    <w:rsid w:val="009E323F"/>
    <w:rPr>
      <w:color w:val="605E5C"/>
      <w:shd w:val="clear" w:color="auto" w:fill="E1DFDD"/>
    </w:rPr>
  </w:style>
  <w:style w:type="paragraph" w:styleId="Revision">
    <w:name w:val="Revision"/>
    <w:hidden/>
    <w:uiPriority w:val="99"/>
    <w:semiHidden/>
    <w:rsid w:val="00A83C2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