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77AFD" w:rsidP="00D77AFD" w14:paraId="0062AD83" w14:textId="77777777">
      <w:pPr>
        <w:pStyle w:val="Title"/>
        <w:rPr>
          <w:szCs w:val="22"/>
        </w:rPr>
      </w:pPr>
      <w:r>
        <w:rPr>
          <w:szCs w:val="22"/>
        </w:rPr>
        <w:t>Before the</w:t>
      </w:r>
    </w:p>
    <w:p w:rsidR="00D77AFD" w:rsidP="00D77AFD" w14:paraId="64A72466" w14:textId="77777777">
      <w:pPr>
        <w:pStyle w:val="Subtitle"/>
        <w:ind w:firstLine="0"/>
        <w:rPr>
          <w:szCs w:val="22"/>
        </w:rPr>
      </w:pPr>
      <w:r>
        <w:rPr>
          <w:szCs w:val="22"/>
        </w:rPr>
        <w:t>Federal Communications Commission</w:t>
      </w:r>
    </w:p>
    <w:p w:rsidR="00D77AFD" w:rsidP="00D77AFD" w14:paraId="7B2C4487" w14:textId="77777777">
      <w:pPr>
        <w:jc w:val="center"/>
        <w:rPr>
          <w:b/>
          <w:szCs w:val="22"/>
        </w:rPr>
      </w:pPr>
      <w:r>
        <w:rPr>
          <w:b/>
          <w:szCs w:val="22"/>
        </w:rPr>
        <w:t>Washington, D.C. 20554</w:t>
      </w:r>
    </w:p>
    <w:p w:rsidR="00D77AFD" w:rsidP="00D77AFD" w14:paraId="6C4DF7B6" w14:textId="77777777">
      <w:pPr>
        <w:tabs>
          <w:tab w:val="left" w:pos="-720"/>
        </w:tabs>
        <w:suppressAutoHyphens/>
        <w:spacing w:line="227" w:lineRule="auto"/>
        <w:rPr>
          <w:spacing w:val="-2"/>
          <w:szCs w:val="22"/>
        </w:rPr>
      </w:pPr>
    </w:p>
    <w:p w:rsidR="00D77AFD" w:rsidP="00D77AFD" w14:paraId="0624E6F3" w14:textId="77777777">
      <w:pPr>
        <w:tabs>
          <w:tab w:val="left" w:pos="-720"/>
        </w:tabs>
        <w:suppressAutoHyphens/>
        <w:spacing w:line="227" w:lineRule="auto"/>
        <w:rPr>
          <w:spacing w:val="-2"/>
          <w:szCs w:val="22"/>
        </w:rPr>
      </w:pPr>
    </w:p>
    <w:tbl>
      <w:tblPr>
        <w:tblW w:w="9845" w:type="dxa"/>
        <w:tblLayout w:type="fixed"/>
        <w:tblLook w:val="0000"/>
      </w:tblPr>
      <w:tblGrid>
        <w:gridCol w:w="4830"/>
        <w:gridCol w:w="647"/>
        <w:gridCol w:w="4368"/>
      </w:tblGrid>
      <w:tr w14:paraId="2C8A733A" w14:textId="77777777" w:rsidTr="00CC62FD">
        <w:tblPrEx>
          <w:tblW w:w="9845" w:type="dxa"/>
          <w:tblLayout w:type="fixed"/>
          <w:tblLook w:val="0000"/>
        </w:tblPrEx>
        <w:trPr>
          <w:trHeight w:val="2367"/>
        </w:trPr>
        <w:tc>
          <w:tcPr>
            <w:tcW w:w="4830" w:type="dxa"/>
          </w:tcPr>
          <w:p w:rsidR="00D77AFD" w:rsidP="00CC62FD" w14:paraId="50BCA60F" w14:textId="77777777">
            <w:pPr>
              <w:pStyle w:val="TOAHeading"/>
              <w:tabs>
                <w:tab w:val="center" w:pos="4680"/>
                <w:tab w:val="clear" w:pos="9360"/>
              </w:tabs>
              <w:rPr>
                <w:spacing w:val="-2"/>
                <w:szCs w:val="22"/>
              </w:rPr>
            </w:pPr>
            <w:r>
              <w:rPr>
                <w:spacing w:val="-2"/>
                <w:szCs w:val="22"/>
              </w:rPr>
              <w:t>In the Matter of</w:t>
            </w:r>
          </w:p>
          <w:p w:rsidR="00D77AFD" w:rsidP="00CC62FD" w14:paraId="703B669C" w14:textId="77777777">
            <w:pPr>
              <w:pStyle w:val="TOAHeading"/>
              <w:tabs>
                <w:tab w:val="center" w:pos="4680"/>
                <w:tab w:val="clear" w:pos="9360"/>
              </w:tabs>
              <w:rPr>
                <w:spacing w:val="-2"/>
                <w:szCs w:val="22"/>
              </w:rPr>
            </w:pPr>
          </w:p>
          <w:p w:rsidR="00D77AFD" w:rsidP="00CC62FD" w14:paraId="31DC74B8" w14:textId="77777777">
            <w:pPr>
              <w:pStyle w:val="TOAHeading"/>
              <w:tabs>
                <w:tab w:val="center" w:pos="4680"/>
                <w:tab w:val="clear" w:pos="9360"/>
              </w:tabs>
              <w:rPr>
                <w:szCs w:val="22"/>
              </w:rPr>
            </w:pPr>
            <w:r>
              <w:rPr>
                <w:spacing w:val="-2"/>
                <w:szCs w:val="22"/>
              </w:rPr>
              <w:t>Long Distance Consolidated Billing Co.</w:t>
            </w:r>
          </w:p>
          <w:p w:rsidR="00D77AFD" w:rsidP="00CC62FD" w14:paraId="71768F08" w14:textId="77777777">
            <w:pPr>
              <w:tabs>
                <w:tab w:val="center" w:pos="4680"/>
              </w:tabs>
              <w:suppressAutoHyphens/>
              <w:ind w:firstLine="720"/>
              <w:rPr>
                <w:szCs w:val="22"/>
              </w:rPr>
            </w:pPr>
          </w:p>
          <w:p w:rsidR="00D77AFD" w:rsidP="00CC62FD" w14:paraId="6C5A1E17" w14:textId="77777777">
            <w:pPr>
              <w:pStyle w:val="TOAHeading"/>
              <w:tabs>
                <w:tab w:val="center" w:pos="4680"/>
                <w:tab w:val="clear" w:pos="9360"/>
              </w:tabs>
              <w:rPr>
                <w:szCs w:val="22"/>
              </w:rPr>
            </w:pPr>
            <w:r>
              <w:rPr>
                <w:szCs w:val="22"/>
              </w:rPr>
              <w:t xml:space="preserve">Complaints Regarding </w:t>
            </w:r>
          </w:p>
          <w:p w:rsidR="00D77AFD" w:rsidP="00CC62FD" w14:paraId="58413FAE" w14:textId="77777777">
            <w:pPr>
              <w:pStyle w:val="TOAHeading"/>
              <w:tabs>
                <w:tab w:val="center" w:pos="4680"/>
                <w:tab w:val="clear" w:pos="9360"/>
              </w:tabs>
              <w:rPr>
                <w:szCs w:val="22"/>
              </w:rPr>
            </w:pPr>
            <w:r>
              <w:rPr>
                <w:szCs w:val="22"/>
              </w:rPr>
              <w:t>Unauthorized Change of</w:t>
            </w:r>
          </w:p>
          <w:p w:rsidR="00D77AFD" w:rsidP="00CC62FD" w14:paraId="5A34E2A2" w14:textId="77777777">
            <w:pPr>
              <w:pStyle w:val="TOAHeading"/>
              <w:tabs>
                <w:tab w:val="center" w:pos="4680"/>
                <w:tab w:val="clear" w:pos="9360"/>
              </w:tabs>
              <w:rPr>
                <w:szCs w:val="22"/>
              </w:rPr>
            </w:pPr>
            <w:r>
              <w:rPr>
                <w:szCs w:val="22"/>
              </w:rPr>
              <w:t>Subscriber’s Telecommunications Carrier</w:t>
            </w:r>
          </w:p>
        </w:tc>
        <w:tc>
          <w:tcPr>
            <w:tcW w:w="647" w:type="dxa"/>
          </w:tcPr>
          <w:p w:rsidR="00D77AFD" w:rsidP="00CC62FD" w14:paraId="39E73453" w14:textId="77777777">
            <w:pPr>
              <w:tabs>
                <w:tab w:val="center" w:pos="4680"/>
              </w:tabs>
              <w:suppressAutoHyphens/>
              <w:rPr>
                <w:b/>
                <w:spacing w:val="-2"/>
                <w:szCs w:val="22"/>
              </w:rPr>
            </w:pPr>
            <w:r>
              <w:rPr>
                <w:b/>
                <w:spacing w:val="-2"/>
                <w:szCs w:val="22"/>
              </w:rPr>
              <w:t>)</w:t>
            </w:r>
          </w:p>
          <w:p w:rsidR="00D77AFD" w:rsidP="00CC62FD" w14:paraId="75CF14F6" w14:textId="77777777">
            <w:pPr>
              <w:tabs>
                <w:tab w:val="center" w:pos="4680"/>
              </w:tabs>
              <w:suppressAutoHyphens/>
              <w:rPr>
                <w:b/>
                <w:spacing w:val="-2"/>
                <w:szCs w:val="22"/>
              </w:rPr>
            </w:pPr>
            <w:r>
              <w:rPr>
                <w:b/>
                <w:spacing w:val="-2"/>
                <w:szCs w:val="22"/>
              </w:rPr>
              <w:t>)</w:t>
            </w:r>
          </w:p>
          <w:p w:rsidR="00D77AFD" w:rsidP="00CC62FD" w14:paraId="24642624" w14:textId="77777777">
            <w:pPr>
              <w:tabs>
                <w:tab w:val="center" w:pos="4680"/>
              </w:tabs>
              <w:suppressAutoHyphens/>
              <w:rPr>
                <w:b/>
                <w:spacing w:val="-2"/>
                <w:szCs w:val="22"/>
              </w:rPr>
            </w:pPr>
            <w:r>
              <w:rPr>
                <w:b/>
                <w:spacing w:val="-2"/>
                <w:szCs w:val="22"/>
              </w:rPr>
              <w:t>)</w:t>
            </w:r>
          </w:p>
          <w:p w:rsidR="00D77AFD" w:rsidP="00CC62FD" w14:paraId="311807D3" w14:textId="77777777">
            <w:pPr>
              <w:tabs>
                <w:tab w:val="center" w:pos="4680"/>
              </w:tabs>
              <w:suppressAutoHyphens/>
              <w:rPr>
                <w:b/>
                <w:spacing w:val="-2"/>
                <w:szCs w:val="22"/>
              </w:rPr>
            </w:pPr>
            <w:r>
              <w:rPr>
                <w:b/>
                <w:spacing w:val="-2"/>
                <w:szCs w:val="22"/>
              </w:rPr>
              <w:t>)</w:t>
            </w:r>
          </w:p>
          <w:p w:rsidR="00D77AFD" w:rsidP="00CC62FD" w14:paraId="01F0EDD7" w14:textId="77777777">
            <w:pPr>
              <w:tabs>
                <w:tab w:val="center" w:pos="4680"/>
              </w:tabs>
              <w:suppressAutoHyphens/>
              <w:rPr>
                <w:b/>
                <w:spacing w:val="-2"/>
                <w:szCs w:val="22"/>
              </w:rPr>
            </w:pPr>
            <w:r>
              <w:rPr>
                <w:b/>
                <w:spacing w:val="-2"/>
                <w:szCs w:val="22"/>
              </w:rPr>
              <w:t>)</w:t>
            </w:r>
          </w:p>
          <w:p w:rsidR="00D77AFD" w:rsidP="00CC62FD" w14:paraId="12E10FD3" w14:textId="77777777">
            <w:pPr>
              <w:tabs>
                <w:tab w:val="center" w:pos="4680"/>
              </w:tabs>
              <w:suppressAutoHyphens/>
              <w:rPr>
                <w:b/>
                <w:spacing w:val="-2"/>
                <w:szCs w:val="22"/>
              </w:rPr>
            </w:pPr>
            <w:r>
              <w:rPr>
                <w:b/>
                <w:spacing w:val="-2"/>
                <w:szCs w:val="22"/>
              </w:rPr>
              <w:t xml:space="preserve">)                              </w:t>
            </w:r>
          </w:p>
          <w:p w:rsidR="00D77AFD" w:rsidRPr="004B40D7" w:rsidP="00CC62FD" w14:paraId="5F28C667" w14:textId="77777777">
            <w:pPr>
              <w:tabs>
                <w:tab w:val="center" w:pos="4680"/>
              </w:tabs>
              <w:suppressAutoHyphens/>
              <w:rPr>
                <w:b/>
                <w:spacing w:val="-2"/>
                <w:szCs w:val="22"/>
              </w:rPr>
            </w:pPr>
            <w:r>
              <w:rPr>
                <w:b/>
                <w:spacing w:val="-2"/>
                <w:szCs w:val="22"/>
              </w:rPr>
              <w:t>)</w:t>
            </w:r>
          </w:p>
        </w:tc>
        <w:tc>
          <w:tcPr>
            <w:tcW w:w="4368" w:type="dxa"/>
          </w:tcPr>
          <w:p w:rsidR="00D77AFD" w:rsidP="00CC62FD" w14:paraId="3A504977" w14:textId="77777777">
            <w:pPr>
              <w:tabs>
                <w:tab w:val="center" w:pos="4680"/>
              </w:tabs>
              <w:suppressAutoHyphens/>
              <w:rPr>
                <w:spacing w:val="-2"/>
                <w:szCs w:val="22"/>
              </w:rPr>
            </w:pPr>
          </w:p>
          <w:p w:rsidR="00D77AFD" w:rsidP="00CC62FD" w14:paraId="351F3139" w14:textId="77777777">
            <w:pPr>
              <w:pStyle w:val="TOAHeading"/>
              <w:tabs>
                <w:tab w:val="center" w:pos="4680"/>
                <w:tab w:val="clear" w:pos="9360"/>
              </w:tabs>
              <w:rPr>
                <w:spacing w:val="-2"/>
                <w:szCs w:val="22"/>
              </w:rPr>
            </w:pPr>
          </w:p>
          <w:p w:rsidR="00D77AFD" w:rsidRPr="00F86EDB" w:rsidP="00CC62FD" w14:paraId="08B02D21" w14:textId="77777777">
            <w:pPr>
              <w:pStyle w:val="TOAHeading"/>
              <w:tabs>
                <w:tab w:val="center" w:pos="4680"/>
                <w:tab w:val="clear" w:pos="9360"/>
              </w:tabs>
            </w:pPr>
            <w:r>
              <w:rPr>
                <w:spacing w:val="-2"/>
                <w:szCs w:val="22"/>
              </w:rPr>
              <w:t xml:space="preserve">Complaint Nos. </w:t>
            </w:r>
            <w:r>
              <w:t>264883</w:t>
            </w:r>
          </w:p>
          <w:p w:rsidR="00D77AFD" w:rsidP="00CC62FD" w14:paraId="69C00129" w14:textId="77777777">
            <w:r>
              <w:t xml:space="preserve">                          865347</w:t>
            </w:r>
          </w:p>
          <w:p w:rsidR="00D77AFD" w:rsidP="00CC62FD" w14:paraId="05F96840" w14:textId="77777777">
            <w:r>
              <w:t xml:space="preserve">                          1052419</w:t>
            </w:r>
          </w:p>
          <w:p w:rsidR="00D77AFD" w:rsidP="00CC62FD" w14:paraId="4C21175F" w14:textId="77777777">
            <w:r>
              <w:t xml:space="preserve">                          2208830</w:t>
            </w:r>
          </w:p>
        </w:tc>
      </w:tr>
    </w:tbl>
    <w:p w:rsidR="00D77AFD" w:rsidP="00D77AFD" w14:paraId="56733822" w14:textId="77777777">
      <w:pPr>
        <w:jc w:val="center"/>
        <w:rPr>
          <w:b/>
          <w:szCs w:val="22"/>
        </w:rPr>
      </w:pPr>
      <w:r>
        <w:rPr>
          <w:b/>
          <w:szCs w:val="22"/>
        </w:rPr>
        <w:t>ORDER ON RECONSIDERATION</w:t>
      </w:r>
    </w:p>
    <w:p w:rsidR="00D77AFD" w:rsidP="00D77AFD" w14:paraId="1D3D55CF" w14:textId="77777777">
      <w:pPr>
        <w:tabs>
          <w:tab w:val="left" w:pos="432"/>
        </w:tabs>
        <w:ind w:firstLine="72"/>
        <w:rPr>
          <w:szCs w:val="22"/>
        </w:rPr>
      </w:pPr>
    </w:p>
    <w:p w:rsidR="00D77AFD" w:rsidP="00D77AFD" w14:paraId="5511976D" w14:textId="07FEF791">
      <w:pPr>
        <w:tabs>
          <w:tab w:val="left" w:pos="0"/>
          <w:tab w:val="left" w:pos="5760"/>
        </w:tabs>
        <w:suppressAutoHyphens/>
        <w:spacing w:line="227" w:lineRule="auto"/>
        <w:rPr>
          <w:spacing w:val="-2"/>
          <w:szCs w:val="22"/>
        </w:rPr>
      </w:pPr>
      <w:r>
        <w:rPr>
          <w:b/>
          <w:spacing w:val="-2"/>
          <w:szCs w:val="22"/>
        </w:rPr>
        <w:t xml:space="preserve">Adopted:  </w:t>
      </w:r>
      <w:r w:rsidR="00615C2D">
        <w:rPr>
          <w:b/>
          <w:spacing w:val="-2"/>
          <w:szCs w:val="22"/>
        </w:rPr>
        <w:t>December 21</w:t>
      </w:r>
      <w:bookmarkStart w:id="0" w:name="_GoBack"/>
      <w:bookmarkEnd w:id="0"/>
      <w:r>
        <w:rPr>
          <w:b/>
          <w:spacing w:val="-2"/>
          <w:szCs w:val="22"/>
        </w:rPr>
        <w:t>, 2020</w:t>
      </w:r>
      <w:r>
        <w:rPr>
          <w:b/>
          <w:spacing w:val="-2"/>
          <w:szCs w:val="22"/>
        </w:rPr>
        <w:tab/>
        <w:t xml:space="preserve">Released: </w:t>
      </w:r>
      <w:r w:rsidR="00615C2D">
        <w:rPr>
          <w:b/>
          <w:spacing w:val="-2"/>
          <w:szCs w:val="22"/>
        </w:rPr>
        <w:t>December 22</w:t>
      </w:r>
      <w:r>
        <w:rPr>
          <w:b/>
          <w:spacing w:val="-2"/>
          <w:szCs w:val="22"/>
        </w:rPr>
        <w:t>, 2020</w:t>
      </w:r>
    </w:p>
    <w:p w:rsidR="00D77AFD" w:rsidP="00D77AFD" w14:paraId="1EEB1767" w14:textId="77777777">
      <w:pPr>
        <w:rPr>
          <w:szCs w:val="22"/>
        </w:rPr>
      </w:pPr>
    </w:p>
    <w:p w:rsidR="00D77AFD" w:rsidP="00D77AFD" w14:paraId="3BED85FD" w14:textId="77777777">
      <w:pPr>
        <w:spacing w:after="120"/>
        <w:rPr>
          <w:szCs w:val="22"/>
        </w:rPr>
      </w:pPr>
      <w:r>
        <w:rPr>
          <w:szCs w:val="22"/>
        </w:rPr>
        <w:t>By the Deputy Chief, Consumer and Governmental Affairs Bureau:</w:t>
      </w:r>
    </w:p>
    <w:p w:rsidR="00D77AFD" w:rsidRPr="005E1920" w:rsidP="00D77AFD" w14:paraId="2239FDE6" w14:textId="77777777">
      <w:pPr>
        <w:numPr>
          <w:ilvl w:val="0"/>
          <w:numId w:val="9"/>
        </w:numPr>
        <w:tabs>
          <w:tab w:val="num" w:pos="720"/>
          <w:tab w:val="clear" w:pos="1080"/>
        </w:tabs>
        <w:spacing w:after="120"/>
        <w:ind w:hanging="1080"/>
        <w:jc w:val="both"/>
        <w:rPr>
          <w:b/>
          <w:szCs w:val="22"/>
        </w:rPr>
      </w:pPr>
      <w:r>
        <w:rPr>
          <w:b/>
          <w:szCs w:val="22"/>
        </w:rPr>
        <w:t>INTRODUCTION</w:t>
      </w:r>
    </w:p>
    <w:p w:rsidR="00D77AFD" w:rsidP="00D77AFD" w14:paraId="25CE22DE" w14:textId="77777777">
      <w:pPr>
        <w:numPr>
          <w:ilvl w:val="0"/>
          <w:numId w:val="7"/>
        </w:numPr>
        <w:spacing w:after="120"/>
        <w:ind w:left="0" w:firstLine="720"/>
        <w:rPr>
          <w:szCs w:val="22"/>
        </w:rPr>
      </w:pPr>
      <w:r w:rsidRPr="00142D97">
        <w:t>Section 258 of the Communications Act of 1934, as amended</w:t>
      </w:r>
      <w:r>
        <w:t xml:space="preserve"> (the Act),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3"/>
      </w:r>
      <w:r w:rsidRPr="00142D97">
        <w:t xml:space="preserve">  The </w:t>
      </w:r>
      <w:r>
        <w:t xml:space="preserve">Commission’s implementing </w:t>
      </w:r>
      <w:r w:rsidRPr="00142D97">
        <w:t xml:space="preserve">rules require, among other things, that a carrier </w:t>
      </w:r>
      <w:r>
        <w:t xml:space="preserve">obtain </w:t>
      </w:r>
      <w:r w:rsidRPr="00142D97">
        <w:t xml:space="preserve">subscriber </w:t>
      </w:r>
      <w:r>
        <w:t>authorization and follow specific verification procedures</w:t>
      </w:r>
      <w:r w:rsidRPr="00142D97">
        <w:t xml:space="preserve"> before a carrier change may occur.</w:t>
      </w:r>
      <w:r>
        <w:rPr>
          <w:rStyle w:val="FootnoteReference"/>
        </w:rPr>
        <w:footnoteReference w:id="4"/>
      </w:r>
      <w:r w:rsidRPr="00142D97">
        <w:t xml:space="preserve">  </w:t>
      </w:r>
      <w:r>
        <w:rPr>
          <w:szCs w:val="22"/>
        </w:rPr>
        <w:t>Specifically, when a carrier uses a third party to verify the carrier change, it must</w:t>
      </w:r>
      <w:r>
        <w:t xml:space="preserve"> confirm that the consumer has the authority to change carriers, wishes to change carriers, and understands that he or she is authorizing a carrier change.</w:t>
      </w:r>
      <w:r>
        <w:rPr>
          <w:rStyle w:val="FootnoteReference"/>
        </w:rPr>
        <w:footnoteReference w:id="5"/>
      </w:r>
      <w:r>
        <w:rPr>
          <w:szCs w:val="22"/>
        </w:rPr>
        <w:t xml:space="preserve">  </w:t>
      </w:r>
    </w:p>
    <w:p w:rsidR="00D77AFD" w:rsidRPr="007E5FD4" w:rsidP="00D77AFD" w14:paraId="701C6EF8" w14:textId="77777777">
      <w:pPr>
        <w:numPr>
          <w:ilvl w:val="0"/>
          <w:numId w:val="7"/>
        </w:numPr>
        <w:spacing w:after="120"/>
        <w:ind w:left="0" w:firstLine="720"/>
        <w:rPr>
          <w:szCs w:val="22"/>
        </w:rPr>
      </w:pPr>
      <w:r>
        <w:t xml:space="preserve">Long Distance Consolidated Billing Co. (LDCB), a long distance carrier, </w:t>
      </w:r>
      <w:r>
        <w:rPr>
          <w:szCs w:val="22"/>
        </w:rPr>
        <w:t>filed a petition for reconsideration asking us to reconsider a Consumer Policy Division (</w:t>
      </w:r>
      <w:r w:rsidRPr="00D10985">
        <w:rPr>
          <w:szCs w:val="22"/>
        </w:rPr>
        <w:t>Division</w:t>
      </w:r>
      <w:r w:rsidRPr="00063E91">
        <w:rPr>
          <w:szCs w:val="22"/>
        </w:rPr>
        <w:t>) order finding</w:t>
      </w:r>
      <w:r>
        <w:rPr>
          <w:szCs w:val="22"/>
        </w:rPr>
        <w:t xml:space="preserve"> that LDCB changed four consumers’ carriers without authorization verified in accordance with the Commission’s slamming rules.</w:t>
      </w:r>
      <w:r>
        <w:rPr>
          <w:rStyle w:val="FootnoteReference"/>
          <w:szCs w:val="22"/>
        </w:rPr>
        <w:footnoteReference w:id="6"/>
      </w:r>
      <w:r w:rsidRPr="007E5FD4">
        <w:rPr>
          <w:szCs w:val="22"/>
        </w:rPr>
        <w:t xml:space="preserve">  On reconsideration, we affirm that LDCB violated the Commission’s slamming rules and deny the Petition.</w:t>
      </w:r>
      <w:r>
        <w:rPr>
          <w:rStyle w:val="FootnoteReference"/>
          <w:szCs w:val="22"/>
        </w:rPr>
        <w:footnoteReference w:id="7"/>
      </w:r>
      <w:r w:rsidRPr="007E5FD4">
        <w:rPr>
          <w:szCs w:val="22"/>
        </w:rPr>
        <w:t xml:space="preserve">    </w:t>
      </w:r>
    </w:p>
    <w:p w:rsidR="00D77AFD" w:rsidRPr="00CC3CCC" w:rsidP="00D77AFD" w14:paraId="0DDA1583" w14:textId="77777777">
      <w:pPr>
        <w:numPr>
          <w:ilvl w:val="0"/>
          <w:numId w:val="9"/>
        </w:numPr>
        <w:tabs>
          <w:tab w:val="num" w:pos="720"/>
          <w:tab w:val="clear" w:pos="1080"/>
        </w:tabs>
        <w:spacing w:after="120"/>
        <w:ind w:hanging="1080"/>
        <w:jc w:val="both"/>
        <w:rPr>
          <w:b/>
          <w:szCs w:val="22"/>
        </w:rPr>
      </w:pPr>
      <w:r>
        <w:rPr>
          <w:b/>
          <w:szCs w:val="22"/>
        </w:rPr>
        <w:t>BACKGROUND</w:t>
      </w:r>
    </w:p>
    <w:p w:rsidR="00D77AFD" w:rsidRPr="00CC3CCC" w:rsidP="00D77AFD" w14:paraId="0277E7FC" w14:textId="77777777">
      <w:pPr>
        <w:numPr>
          <w:ilvl w:val="0"/>
          <w:numId w:val="7"/>
        </w:numPr>
        <w:spacing w:after="120"/>
        <w:ind w:left="0" w:firstLine="720"/>
        <w:rPr>
          <w:szCs w:val="22"/>
        </w:rPr>
      </w:pPr>
      <w:r w:rsidRPr="00142D97">
        <w:t xml:space="preserve">The </w:t>
      </w:r>
      <w:r>
        <w:t xml:space="preserve">Commission’s rules implementing section 258 </w:t>
      </w:r>
      <w:r w:rsidRPr="00142D97">
        <w:t>require</w:t>
      </w:r>
      <w:r>
        <w:t xml:space="preserve"> that a </w:t>
      </w:r>
      <w:r w:rsidRPr="00142D97">
        <w:t xml:space="preserve">carrier: </w:t>
      </w:r>
      <w:r>
        <w:t xml:space="preserve"> </w:t>
      </w:r>
      <w:r w:rsidRPr="00142D97">
        <w:t>(1) obtain the subscriber</w:t>
      </w:r>
      <w:r>
        <w:t>’</w:t>
      </w:r>
      <w:r w:rsidRPr="00142D97">
        <w:t xml:space="preserve">s written or electronically signed authorization in a format that </w:t>
      </w:r>
      <w:r>
        <w:t>satisfies our rules; (2) obtain</w:t>
      </w:r>
      <w:r w:rsidRPr="00142D97">
        <w:t xml:space="preserve"> confirmation from the subscriber via a toll-free number provided exclusively </w:t>
      </w:r>
      <w:r>
        <w:t>to</w:t>
      </w:r>
      <w:r w:rsidRPr="00142D97">
        <w:t xml:space="preserve"> confirm orders electronically; or (3) </w:t>
      </w:r>
      <w:r>
        <w:t>use</w:t>
      </w:r>
      <w:r w:rsidRPr="00142D97">
        <w:t xml:space="preserve"> an </w:t>
      </w:r>
      <w:r>
        <w:t xml:space="preserve">appropriately qualified </w:t>
      </w:r>
      <w:r w:rsidRPr="00142D97">
        <w:t>independent third party to verify the order.</w:t>
      </w:r>
      <w:r>
        <w:rPr>
          <w:rStyle w:val="FootnoteReference"/>
        </w:rPr>
        <w:footnoteReference w:id="8"/>
      </w:r>
      <w:r w:rsidRPr="00142D97">
        <w:t xml:space="preserve"> </w:t>
      </w:r>
      <w:r>
        <w:t xml:space="preserve"> </w:t>
      </w:r>
      <w:r>
        <w:rPr>
          <w:szCs w:val="22"/>
        </w:rPr>
        <w:t xml:space="preserve">If the </w:t>
      </w:r>
      <w:r>
        <w:rPr>
          <w:szCs w:val="22"/>
        </w:rPr>
        <w:t>carrier uses an independent third party to verify subscriber authorization, the rules require, among other things, that the verifier elicit confirmation that “the person on the [verification] call is authorized to make the carrier change.”</w:t>
      </w:r>
      <w:r>
        <w:rPr>
          <w:rStyle w:val="FootnoteReference"/>
          <w:szCs w:val="22"/>
        </w:rPr>
        <w:footnoteReference w:id="9"/>
      </w:r>
      <w:r>
        <w:rPr>
          <w:szCs w:val="22"/>
        </w:rPr>
        <w:t xml:space="preserve">  </w:t>
      </w:r>
    </w:p>
    <w:p w:rsidR="00D77AFD" w:rsidRPr="00CC3CCC" w:rsidP="00D77AFD" w14:paraId="4D0B5429" w14:textId="77777777">
      <w:pPr>
        <w:numPr>
          <w:ilvl w:val="0"/>
          <w:numId w:val="7"/>
        </w:numPr>
        <w:spacing w:after="120"/>
        <w:ind w:left="0" w:firstLine="720"/>
        <w:rPr>
          <w:szCs w:val="22"/>
        </w:rPr>
      </w:pPr>
      <w:r>
        <w:rPr>
          <w:szCs w:val="22"/>
        </w:rPr>
        <w:t xml:space="preserve">The rules also require </w:t>
      </w:r>
      <w:r>
        <w:t xml:space="preserve">that </w:t>
      </w:r>
      <w:r>
        <w:rPr>
          <w:szCs w:val="22"/>
        </w:rPr>
        <w:t>“any description of the carrier change transaction . . . not be misleading” and that third-party verifiers must “convey explicitly that consumers will have authorized a carrier change, and not, for instance, an upgrade in existing service [or a] bill consolidation.”</w:t>
      </w:r>
      <w:r>
        <w:rPr>
          <w:rStyle w:val="FootnoteReference"/>
          <w:szCs w:val="22"/>
        </w:rPr>
        <w:footnoteReference w:id="10"/>
      </w:r>
      <w:r>
        <w:t xml:space="preserve">  </w:t>
      </w:r>
      <w:r>
        <w:rPr>
          <w:szCs w:val="22"/>
        </w:rPr>
        <w:t>The Commission has explained that “carriers using ambiguous language to describe the nature of the transaction may lead to consumer confusion concerning the true purpose of the solicitation call,” and that “such practices are misleading and unreasonable, and warrant specific treatment in our rules.”</w:t>
      </w:r>
      <w:r>
        <w:rPr>
          <w:rStyle w:val="FootnoteReference"/>
          <w:szCs w:val="22"/>
        </w:rPr>
        <w:footnoteReference w:id="11"/>
      </w:r>
    </w:p>
    <w:p w:rsidR="00D77AFD" w:rsidP="00D77AFD" w14:paraId="46A889C7" w14:textId="77777777">
      <w:pPr>
        <w:numPr>
          <w:ilvl w:val="0"/>
          <w:numId w:val="7"/>
        </w:numPr>
        <w:spacing w:after="120"/>
        <w:ind w:left="0" w:firstLine="720"/>
        <w:rPr>
          <w:szCs w:val="22"/>
        </w:rPr>
      </w:pPr>
      <w:r w:rsidRPr="0023268C">
        <w:t>Between</w:t>
      </w:r>
      <w:r>
        <w:rPr>
          <w:szCs w:val="22"/>
        </w:rPr>
        <w:t xml:space="preserve"> 2015 and 2018, four consumers (Complainants) complained to the Commission that their carriers had been changed to LDCB without their authorization.</w:t>
      </w:r>
      <w:r>
        <w:rPr>
          <w:rStyle w:val="FootnoteReference"/>
          <w:szCs w:val="22"/>
        </w:rPr>
        <w:footnoteReference w:id="12"/>
      </w:r>
      <w:r>
        <w:rPr>
          <w:szCs w:val="22"/>
        </w:rPr>
        <w:t xml:space="preserve">  Pursuant to our rules, the Division notified LDCB of the complaints.</w:t>
      </w:r>
      <w:r>
        <w:rPr>
          <w:rStyle w:val="FootnoteReference"/>
          <w:szCs w:val="22"/>
        </w:rPr>
        <w:footnoteReference w:id="13"/>
      </w:r>
      <w:r>
        <w:rPr>
          <w:szCs w:val="22"/>
        </w:rPr>
        <w:t xml:space="preserve">  LDCB responded that the Complainants’ authorizations were obtained and confirmed through third-party verification recordings.</w:t>
      </w:r>
      <w:r>
        <w:rPr>
          <w:rStyle w:val="FootnoteReference"/>
          <w:szCs w:val="22"/>
        </w:rPr>
        <w:footnoteReference w:id="14"/>
      </w:r>
      <w:r>
        <w:rPr>
          <w:szCs w:val="22"/>
        </w:rPr>
        <w:t xml:space="preserve">  The Division reviewed the complaints, LDCB’s responses, and the third-party verifications in each case, and determined that LDCB violated the Commission’s slamming rules.</w:t>
      </w:r>
      <w:r>
        <w:rPr>
          <w:rStyle w:val="FootnoteReference"/>
          <w:szCs w:val="22"/>
        </w:rPr>
        <w:footnoteReference w:id="15"/>
      </w:r>
      <w:r>
        <w:rPr>
          <w:szCs w:val="22"/>
        </w:rPr>
        <w:t xml:space="preserve">  </w:t>
      </w:r>
    </w:p>
    <w:p w:rsidR="00D77AFD" w:rsidRPr="00383252" w:rsidP="00D77AFD" w14:paraId="4ABA82D1" w14:textId="77777777">
      <w:pPr>
        <w:numPr>
          <w:ilvl w:val="0"/>
          <w:numId w:val="7"/>
        </w:numPr>
        <w:spacing w:after="120"/>
        <w:ind w:left="0" w:firstLine="720"/>
        <w:rPr>
          <w:szCs w:val="22"/>
        </w:rPr>
      </w:pPr>
      <w:r>
        <w:rPr>
          <w:szCs w:val="22"/>
        </w:rPr>
        <w:t>Specifically, the Division found that LDCB failed to clearly disclose that accepting the offer would result in a change of carriers or to elicit from the person on the call that he or she was authorizing a carrier change for regional toll service.  The Division stated that “[a] switch from one carrier to another carrier differs from a change to one’s service” and that “any description of the carrier change transaction . . . shall not be misleading.”</w:t>
      </w:r>
      <w:r>
        <w:rPr>
          <w:rStyle w:val="FootnoteReference"/>
          <w:szCs w:val="22"/>
        </w:rPr>
        <w:footnoteReference w:id="16"/>
      </w:r>
      <w:r>
        <w:rPr>
          <w:szCs w:val="22"/>
        </w:rPr>
        <w:t xml:space="preserve">  LDCB seeks reconsideration of the </w:t>
      </w:r>
      <w:r w:rsidRPr="00C34963">
        <w:rPr>
          <w:i/>
          <w:szCs w:val="22"/>
        </w:rPr>
        <w:t>Division Order</w:t>
      </w:r>
      <w:r w:rsidRPr="00C34963">
        <w:rPr>
          <w:szCs w:val="22"/>
        </w:rPr>
        <w:t>.</w:t>
      </w:r>
    </w:p>
    <w:p w:rsidR="00D77AFD" w:rsidRPr="00383252" w:rsidP="00D77AFD" w14:paraId="70395880" w14:textId="77777777">
      <w:pPr>
        <w:numPr>
          <w:ilvl w:val="0"/>
          <w:numId w:val="9"/>
        </w:numPr>
        <w:tabs>
          <w:tab w:val="num" w:pos="720"/>
          <w:tab w:val="clear" w:pos="1080"/>
        </w:tabs>
        <w:spacing w:after="120"/>
        <w:ind w:hanging="1080"/>
        <w:jc w:val="both"/>
        <w:rPr>
          <w:b/>
          <w:szCs w:val="22"/>
        </w:rPr>
      </w:pPr>
      <w:r>
        <w:rPr>
          <w:b/>
          <w:szCs w:val="22"/>
        </w:rPr>
        <w:t>DISCUSSION</w:t>
      </w:r>
    </w:p>
    <w:p w:rsidR="00D77AFD" w:rsidRPr="00383252" w:rsidP="00D77AFD" w14:paraId="630518C4" w14:textId="77777777">
      <w:pPr>
        <w:numPr>
          <w:ilvl w:val="0"/>
          <w:numId w:val="7"/>
        </w:numPr>
        <w:spacing w:after="120"/>
        <w:ind w:left="0" w:firstLine="720"/>
        <w:rPr>
          <w:szCs w:val="22"/>
        </w:rPr>
      </w:pPr>
      <w:r>
        <w:rPr>
          <w:szCs w:val="22"/>
        </w:rPr>
        <w:t xml:space="preserve">Based on the record, we affirm the </w:t>
      </w:r>
      <w:r w:rsidRPr="00685828">
        <w:rPr>
          <w:i/>
          <w:szCs w:val="22"/>
        </w:rPr>
        <w:t>Division Order</w:t>
      </w:r>
      <w:r>
        <w:rPr>
          <w:szCs w:val="22"/>
        </w:rPr>
        <w:t xml:space="preserve"> and deny LDCB’s </w:t>
      </w:r>
      <w:r w:rsidRPr="00652ABC">
        <w:rPr>
          <w:szCs w:val="22"/>
        </w:rPr>
        <w:t>Petiti</w:t>
      </w:r>
      <w:r>
        <w:rPr>
          <w:szCs w:val="22"/>
        </w:rPr>
        <w:t xml:space="preserve">on.  As discussed below, we find that LDCB violated the Commission’s slamming rules when, in each of the four cases, LDCB’s verifier failed to obtain express confirmation from the consumer that he or she was authorizing a </w:t>
      </w:r>
      <w:r w:rsidRPr="00CA49D3">
        <w:rPr>
          <w:i/>
          <w:szCs w:val="22"/>
        </w:rPr>
        <w:t>carrier change</w:t>
      </w:r>
      <w:r>
        <w:rPr>
          <w:szCs w:val="22"/>
        </w:rPr>
        <w:t xml:space="preserve"> for regional toll service and used misleading language that obscured the true purpose of the call.</w:t>
      </w:r>
      <w:r>
        <w:rPr>
          <w:rStyle w:val="FootnoteReference"/>
          <w:szCs w:val="22"/>
        </w:rPr>
        <w:footnoteReference w:id="17"/>
      </w:r>
      <w:r w:rsidRPr="00CC5022">
        <w:rPr>
          <w:szCs w:val="22"/>
        </w:rPr>
        <w:t xml:space="preserve"> </w:t>
      </w:r>
      <w:r>
        <w:t xml:space="preserve">  </w:t>
      </w:r>
    </w:p>
    <w:p w:rsidR="00D77AFD" w:rsidP="00D77AFD" w14:paraId="5593F131" w14:textId="77777777">
      <w:pPr>
        <w:numPr>
          <w:ilvl w:val="0"/>
          <w:numId w:val="7"/>
        </w:numPr>
        <w:spacing w:after="120"/>
        <w:ind w:left="0" w:firstLine="720"/>
        <w:rPr>
          <w:szCs w:val="22"/>
        </w:rPr>
      </w:pPr>
      <w:r>
        <w:t xml:space="preserve">The Commission’s rules set forth detailed procedures that carriers using a third-party verification recording to verify consumer authorization must follow.  </w:t>
      </w:r>
      <w:r w:rsidRPr="001A3CF7">
        <w:rPr>
          <w:szCs w:val="22"/>
        </w:rPr>
        <w:t xml:space="preserve">While the rules do not prescribe specific language </w:t>
      </w:r>
      <w:r>
        <w:rPr>
          <w:szCs w:val="22"/>
        </w:rPr>
        <w:t>for third-party verifications</w:t>
      </w:r>
      <w:r w:rsidRPr="001A3CF7">
        <w:rPr>
          <w:szCs w:val="22"/>
        </w:rPr>
        <w:t xml:space="preserve">, </w:t>
      </w:r>
      <w:r w:rsidRPr="001A3CF7">
        <w:rPr>
          <w:color w:val="000000"/>
        </w:rPr>
        <w:t xml:space="preserve">they do require that all third-party verifiers “elicit, at a minimum the identity of the subscriber [and] confirmation that the person on the call is authorized to make the </w:t>
      </w:r>
      <w:r w:rsidRPr="001A3CF7">
        <w:rPr>
          <w:i/>
          <w:iCs/>
          <w:color w:val="000000"/>
        </w:rPr>
        <w:t>carrier change</w:t>
      </w:r>
      <w:r w:rsidRPr="001A3CF7">
        <w:rPr>
          <w:color w:val="000000"/>
        </w:rPr>
        <w:t xml:space="preserve"> . . .”</w:t>
      </w:r>
      <w:r>
        <w:rPr>
          <w:rStyle w:val="FootnoteReference"/>
        </w:rPr>
        <w:footnoteReference w:id="18"/>
      </w:r>
      <w:r w:rsidRPr="001A3CF7">
        <w:rPr>
          <w:szCs w:val="22"/>
        </w:rPr>
        <w:t xml:space="preserve">  The Commission has stated that it “seek[s] to ensure that verifiers confirm the consumer’s intent to receive service </w:t>
      </w:r>
      <w:r w:rsidRPr="001A3CF7">
        <w:rPr>
          <w:i/>
          <w:szCs w:val="22"/>
        </w:rPr>
        <w:t>from a different carrier</w:t>
      </w:r>
      <w:r w:rsidRPr="001A3CF7">
        <w:rPr>
          <w:szCs w:val="22"/>
        </w:rPr>
        <w:t>, regardless of whether that is phrased as a ‘change,’ a ‘switch,’ or any other non-misleading term.”</w:t>
      </w:r>
      <w:r>
        <w:rPr>
          <w:rStyle w:val="FootnoteReference"/>
          <w:szCs w:val="22"/>
        </w:rPr>
        <w:footnoteReference w:id="19"/>
      </w:r>
      <w:r w:rsidRPr="001A3CF7">
        <w:rPr>
          <w:szCs w:val="22"/>
        </w:rPr>
        <w:t xml:space="preserve">  </w:t>
      </w:r>
      <w:r>
        <w:t xml:space="preserve">The carrier’s verifier must confirm that the person on the call:  (a) is authorized to make a carrier change; and (b) actually wants a </w:t>
      </w:r>
      <w:r w:rsidRPr="0080092E">
        <w:t>carrier change</w:t>
      </w:r>
      <w:r>
        <w:t>—not merely an upgrade to an existing service, bill consolidation, or any other transaction.</w:t>
      </w:r>
      <w:r>
        <w:rPr>
          <w:rStyle w:val="FootnoteReference"/>
        </w:rPr>
        <w:footnoteReference w:id="20"/>
      </w:r>
    </w:p>
    <w:p w:rsidR="00D77AFD" w:rsidP="00D77AFD" w14:paraId="2798C469" w14:textId="77777777">
      <w:pPr>
        <w:numPr>
          <w:ilvl w:val="0"/>
          <w:numId w:val="7"/>
        </w:numPr>
        <w:spacing w:after="120"/>
        <w:ind w:left="0" w:firstLine="720"/>
        <w:rPr>
          <w:szCs w:val="22"/>
        </w:rPr>
      </w:pPr>
      <w:r>
        <w:rPr>
          <w:szCs w:val="22"/>
        </w:rPr>
        <w:t>At the time LDCB switched Complainants’ carriers, the Commission’s rules required that a carrier obtain separate authorizations for each service sold.</w:t>
      </w:r>
      <w:r>
        <w:rPr>
          <w:rStyle w:val="FootnoteReference"/>
          <w:szCs w:val="22"/>
        </w:rPr>
        <w:footnoteReference w:id="21"/>
      </w:r>
      <w:r>
        <w:rPr>
          <w:szCs w:val="22"/>
        </w:rPr>
        <w:t xml:space="preserve">  </w:t>
      </w:r>
      <w:r>
        <w:rPr>
          <w:color w:val="000000"/>
        </w:rPr>
        <w:t xml:space="preserve">LDCB submitted requests to change two separate services for each Complainant:  long distance and regional toll.  </w:t>
      </w:r>
      <w:r>
        <w:rPr>
          <w:szCs w:val="22"/>
        </w:rPr>
        <w:t xml:space="preserve">In each third-party verification, </w:t>
      </w:r>
      <w:r w:rsidRPr="00D2614F">
        <w:rPr>
          <w:szCs w:val="22"/>
        </w:rPr>
        <w:t>LDCB’s verifier asks the person on the call if he</w:t>
      </w:r>
      <w:r>
        <w:rPr>
          <w:szCs w:val="22"/>
        </w:rPr>
        <w:t>/she</w:t>
      </w:r>
      <w:r w:rsidRPr="00D2614F">
        <w:rPr>
          <w:szCs w:val="22"/>
        </w:rPr>
        <w:t xml:space="preserve"> </w:t>
      </w:r>
      <w:r w:rsidRPr="00AD2179">
        <w:rPr>
          <w:szCs w:val="22"/>
        </w:rPr>
        <w:t xml:space="preserve">“authorize[s] [LDCB] to provide </w:t>
      </w:r>
      <w:r w:rsidRPr="00AD2179">
        <w:rPr>
          <w:i/>
          <w:szCs w:val="22"/>
        </w:rPr>
        <w:t xml:space="preserve">service </w:t>
      </w:r>
      <w:r w:rsidRPr="00AD2179">
        <w:rPr>
          <w:szCs w:val="22"/>
        </w:rPr>
        <w:t>for your regional toll calls”</w:t>
      </w:r>
      <w:r>
        <w:rPr>
          <w:szCs w:val="22"/>
        </w:rPr>
        <w:t xml:space="preserve"> and at no time confirms whether the consumers were authorizing a </w:t>
      </w:r>
      <w:r w:rsidRPr="008D476B">
        <w:rPr>
          <w:i/>
          <w:szCs w:val="22"/>
        </w:rPr>
        <w:t>carrier change</w:t>
      </w:r>
      <w:r>
        <w:rPr>
          <w:szCs w:val="22"/>
        </w:rPr>
        <w:t xml:space="preserve"> for regional toll service.</w:t>
      </w:r>
      <w:r>
        <w:rPr>
          <w:rStyle w:val="FootnoteReference"/>
          <w:szCs w:val="22"/>
        </w:rPr>
        <w:footnoteReference w:id="22"/>
      </w:r>
      <w:r>
        <w:rPr>
          <w:szCs w:val="22"/>
        </w:rPr>
        <w:t xml:space="preserve">    </w:t>
      </w:r>
    </w:p>
    <w:p w:rsidR="00D77AFD" w:rsidRPr="00D03AAC" w:rsidP="00D77AFD" w14:paraId="2AB3C14B" w14:textId="77777777">
      <w:pPr>
        <w:numPr>
          <w:ilvl w:val="0"/>
          <w:numId w:val="7"/>
        </w:numPr>
        <w:spacing w:after="120"/>
        <w:ind w:left="0" w:firstLine="720"/>
        <w:rPr>
          <w:szCs w:val="22"/>
        </w:rPr>
      </w:pPr>
      <w:r>
        <w:rPr>
          <w:szCs w:val="22"/>
        </w:rPr>
        <w:t xml:space="preserve">We find that LDCB’s third-party verification failed to obtain express confirmation from the consumer that he or she was authorizing a </w:t>
      </w:r>
      <w:r w:rsidRPr="00993D17">
        <w:rPr>
          <w:iCs/>
          <w:szCs w:val="22"/>
        </w:rPr>
        <w:t>carrier change</w:t>
      </w:r>
      <w:r>
        <w:rPr>
          <w:szCs w:val="22"/>
        </w:rPr>
        <w:t xml:space="preserve"> for regional toll service.  First, LDCB’s question neither verified that the person on the call authorized a carrier change for regional toll service nor contained similarly clear language to confirm that the consumer wanted to change or switch to a carrier other than the consumer’s existing presubscribed carrier for regional toll service.  </w:t>
      </w:r>
      <w:r w:rsidRPr="00134662">
        <w:rPr>
          <w:szCs w:val="22"/>
        </w:rPr>
        <w:t xml:space="preserve">Second, </w:t>
      </w:r>
      <w:r>
        <w:rPr>
          <w:szCs w:val="22"/>
        </w:rPr>
        <w:t xml:space="preserve">as the Commission has consistently held since 2012, </w:t>
      </w:r>
      <w:r w:rsidRPr="00134662">
        <w:rPr>
          <w:szCs w:val="22"/>
        </w:rPr>
        <w:t>the question misleadingly suggested that the transaction involved only a change in service and not necessarily a switch from one carrier to another</w:t>
      </w:r>
      <w:r>
        <w:rPr>
          <w:szCs w:val="22"/>
        </w:rPr>
        <w:t xml:space="preserve"> for regional toll service.</w:t>
      </w:r>
      <w:r>
        <w:rPr>
          <w:rStyle w:val="FootnoteReference"/>
          <w:szCs w:val="22"/>
        </w:rPr>
        <w:footnoteReference w:id="23"/>
      </w:r>
      <w:r>
        <w:rPr>
          <w:szCs w:val="22"/>
        </w:rPr>
        <w:t xml:space="preserve"> </w:t>
      </w:r>
      <w:r w:rsidRPr="00D03AAC">
        <w:rPr>
          <w:szCs w:val="22"/>
        </w:rPr>
        <w:t xml:space="preserve"> There is</w:t>
      </w:r>
      <w:r>
        <w:rPr>
          <w:szCs w:val="22"/>
        </w:rPr>
        <w:t xml:space="preserve"> </w:t>
      </w:r>
      <w:r w:rsidRPr="00D03AAC">
        <w:rPr>
          <w:szCs w:val="22"/>
        </w:rPr>
        <w:t xml:space="preserve">no mention of a carrier change or carrier switch in the question.  The phrase “to provide service” does not necessarily indicate a change in carriers.  It might, for example, refer to a service </w:t>
      </w:r>
      <w:r>
        <w:rPr>
          <w:szCs w:val="22"/>
        </w:rPr>
        <w:t xml:space="preserve">provided by the current carrier but at a different price </w:t>
      </w:r>
      <w:r w:rsidRPr="00D03AAC">
        <w:rPr>
          <w:szCs w:val="22"/>
        </w:rPr>
        <w:t xml:space="preserve">or </w:t>
      </w:r>
      <w:r>
        <w:rPr>
          <w:szCs w:val="22"/>
        </w:rPr>
        <w:t xml:space="preserve">with different </w:t>
      </w:r>
      <w:r w:rsidRPr="00D03AAC">
        <w:rPr>
          <w:szCs w:val="22"/>
        </w:rPr>
        <w:t xml:space="preserve">features.  The Commission </w:t>
      </w:r>
      <w:r w:rsidRPr="00D03AAC">
        <w:rPr>
          <w:szCs w:val="22"/>
        </w:rPr>
        <w:t>has made the same observation repeatedly.</w:t>
      </w:r>
      <w:r>
        <w:rPr>
          <w:rStyle w:val="FootnoteReference"/>
          <w:szCs w:val="22"/>
        </w:rPr>
        <w:footnoteReference w:id="24"/>
      </w:r>
      <w:r w:rsidRPr="00D03AAC">
        <w:rPr>
          <w:szCs w:val="22"/>
        </w:rPr>
        <w:t xml:space="preserve">  </w:t>
      </w:r>
      <w:r>
        <w:rPr>
          <w:szCs w:val="22"/>
        </w:rPr>
        <w:t>In fact, the Commission has specifically found that the same third-party verification script LDCB used to verify other carrier changes violates the slamming rules.</w:t>
      </w:r>
      <w:r>
        <w:rPr>
          <w:rStyle w:val="FootnoteReference"/>
          <w:szCs w:val="22"/>
        </w:rPr>
        <w:footnoteReference w:id="25"/>
      </w:r>
      <w:r>
        <w:rPr>
          <w:szCs w:val="22"/>
        </w:rPr>
        <w:t xml:space="preserve">  </w:t>
      </w:r>
      <w:r w:rsidRPr="00D03AAC">
        <w:rPr>
          <w:szCs w:val="22"/>
        </w:rPr>
        <w:t>Thes</w:t>
      </w:r>
      <w:r>
        <w:rPr>
          <w:szCs w:val="22"/>
        </w:rPr>
        <w:t>e rulings</w:t>
      </w:r>
      <w:r w:rsidRPr="00D03AAC">
        <w:rPr>
          <w:szCs w:val="22"/>
        </w:rPr>
        <w:t xml:space="preserve"> refute LDCB’s contention that </w:t>
      </w:r>
      <w:r>
        <w:rPr>
          <w:szCs w:val="22"/>
        </w:rPr>
        <w:t xml:space="preserve">the </w:t>
      </w:r>
      <w:r w:rsidRPr="00D03AAC">
        <w:rPr>
          <w:szCs w:val="22"/>
        </w:rPr>
        <w:t xml:space="preserve">question on </w:t>
      </w:r>
      <w:r>
        <w:rPr>
          <w:szCs w:val="22"/>
        </w:rPr>
        <w:t>its</w:t>
      </w:r>
      <w:r w:rsidRPr="00D03AAC">
        <w:rPr>
          <w:szCs w:val="22"/>
        </w:rPr>
        <w:t xml:space="preserve"> third-party verification script clearly referred to a carrier change for regional toll service.</w:t>
      </w:r>
      <w:r>
        <w:rPr>
          <w:rStyle w:val="FootnoteReference"/>
          <w:szCs w:val="22"/>
        </w:rPr>
        <w:footnoteReference w:id="26"/>
      </w:r>
      <w:r w:rsidRPr="00D03AAC">
        <w:rPr>
          <w:szCs w:val="22"/>
        </w:rPr>
        <w:t xml:space="preserve">  </w:t>
      </w:r>
    </w:p>
    <w:p w:rsidR="00D77AFD" w:rsidRPr="00627414" w:rsidP="00D77AFD" w14:paraId="4D0B2938" w14:textId="77777777">
      <w:pPr>
        <w:numPr>
          <w:ilvl w:val="0"/>
          <w:numId w:val="7"/>
        </w:numPr>
        <w:spacing w:after="120"/>
        <w:ind w:left="0" w:firstLine="720"/>
        <w:rPr>
          <w:szCs w:val="22"/>
        </w:rPr>
      </w:pPr>
      <w:r>
        <w:t>We also reject LDCB’s argument that “with the full context of the TPVs, there can be no mistake that the Complainants authorized a carrier change for their regional toll . . . service.”</w:t>
      </w:r>
      <w:r>
        <w:rPr>
          <w:rStyle w:val="FootnoteReference"/>
        </w:rPr>
        <w:footnoteReference w:id="27"/>
      </w:r>
      <w:r>
        <w:t xml:space="preserve">  </w:t>
      </w:r>
      <w:r w:rsidRPr="00627414">
        <w:rPr>
          <w:szCs w:val="22"/>
        </w:rPr>
        <w:t xml:space="preserve">LDCB asserts that its </w:t>
      </w:r>
      <w:r>
        <w:rPr>
          <w:szCs w:val="22"/>
        </w:rPr>
        <w:t>third-party verifications</w:t>
      </w:r>
      <w:r w:rsidRPr="00627414">
        <w:rPr>
          <w:szCs w:val="22"/>
        </w:rPr>
        <w:t xml:space="preserve"> included other statements and questions during the conversation</w:t>
      </w:r>
      <w:r>
        <w:rPr>
          <w:szCs w:val="22"/>
        </w:rPr>
        <w:t>s with Complainants</w:t>
      </w:r>
      <w:r w:rsidRPr="00627414">
        <w:rPr>
          <w:szCs w:val="22"/>
        </w:rPr>
        <w:t xml:space="preserve"> that pro</w:t>
      </w:r>
      <w:r>
        <w:rPr>
          <w:szCs w:val="22"/>
        </w:rPr>
        <w:t>v</w:t>
      </w:r>
      <w:r w:rsidRPr="00627414">
        <w:rPr>
          <w:szCs w:val="22"/>
        </w:rPr>
        <w:t>e they were authorizing a carrier change</w:t>
      </w:r>
      <w:r>
        <w:rPr>
          <w:szCs w:val="22"/>
        </w:rPr>
        <w:t xml:space="preserve"> for regional toll service</w:t>
      </w:r>
      <w:r w:rsidRPr="00627414">
        <w:rPr>
          <w:szCs w:val="22"/>
        </w:rPr>
        <w:t>.</w:t>
      </w:r>
      <w:r>
        <w:rPr>
          <w:rStyle w:val="FootnoteReference"/>
          <w:szCs w:val="22"/>
        </w:rPr>
        <w:footnoteReference w:id="28"/>
      </w:r>
      <w:r w:rsidRPr="00627414">
        <w:rPr>
          <w:szCs w:val="22"/>
        </w:rPr>
        <w:t xml:space="preserve">  It </w:t>
      </w:r>
      <w:r>
        <w:rPr>
          <w:szCs w:val="22"/>
        </w:rPr>
        <w:t>argues</w:t>
      </w:r>
      <w:r w:rsidRPr="00627414">
        <w:rPr>
          <w:szCs w:val="22"/>
        </w:rPr>
        <w:t xml:space="preserve"> that the verifier’s question regarding regional toll service</w:t>
      </w:r>
      <w:r>
        <w:rPr>
          <w:szCs w:val="22"/>
        </w:rPr>
        <w:t xml:space="preserve"> follows</w:t>
      </w:r>
      <w:r w:rsidRPr="00627414">
        <w:rPr>
          <w:szCs w:val="22"/>
        </w:rPr>
        <w:t xml:space="preserve"> a question regarding a carrier change for “long distance calls.” </w:t>
      </w:r>
      <w:r>
        <w:rPr>
          <w:szCs w:val="22"/>
        </w:rPr>
        <w:t xml:space="preserve"> According to </w:t>
      </w:r>
      <w:r w:rsidRPr="00627414">
        <w:rPr>
          <w:szCs w:val="22"/>
        </w:rPr>
        <w:t>LDCB</w:t>
      </w:r>
      <w:r>
        <w:rPr>
          <w:szCs w:val="22"/>
        </w:rPr>
        <w:t>,</w:t>
      </w:r>
      <w:r w:rsidRPr="00627414">
        <w:rPr>
          <w:szCs w:val="22"/>
        </w:rPr>
        <w:t xml:space="preserve"> </w:t>
      </w:r>
      <w:r>
        <w:rPr>
          <w:szCs w:val="22"/>
        </w:rPr>
        <w:t>the verifier’s question</w:t>
      </w:r>
      <w:r w:rsidRPr="00627414">
        <w:rPr>
          <w:szCs w:val="22"/>
        </w:rPr>
        <w:t xml:space="preserve"> “</w:t>
      </w:r>
      <w:r>
        <w:rPr>
          <w:szCs w:val="22"/>
        </w:rPr>
        <w:t>[d]</w:t>
      </w:r>
      <w:r w:rsidRPr="00627414">
        <w:rPr>
          <w:szCs w:val="22"/>
        </w:rPr>
        <w:t>o you also authorize LDCB to provide service for your regional toll calls</w:t>
      </w:r>
      <w:r>
        <w:rPr>
          <w:szCs w:val="22"/>
        </w:rPr>
        <w:t xml:space="preserve">?” </w:t>
      </w:r>
      <w:r w:rsidRPr="00627414">
        <w:rPr>
          <w:szCs w:val="22"/>
        </w:rPr>
        <w:t>refers back</w:t>
      </w:r>
      <w:r w:rsidRPr="00627414">
        <w:rPr>
          <w:szCs w:val="22"/>
        </w:rPr>
        <w:t xml:space="preserve"> to the consumer’s previous answers giving LDCB authorization to change long distance carriers.</w:t>
      </w:r>
      <w:r>
        <w:rPr>
          <w:rStyle w:val="FootnoteReference"/>
          <w:szCs w:val="22"/>
        </w:rPr>
        <w:footnoteReference w:id="29"/>
      </w:r>
      <w:r w:rsidRPr="00627414">
        <w:rPr>
          <w:szCs w:val="22"/>
        </w:rPr>
        <w:t xml:space="preserve"> </w:t>
      </w:r>
    </w:p>
    <w:p w:rsidR="00D77AFD" w:rsidRPr="00784206" w:rsidP="00D77AFD" w14:paraId="4039346B" w14:textId="77777777">
      <w:pPr>
        <w:numPr>
          <w:ilvl w:val="0"/>
          <w:numId w:val="7"/>
        </w:numPr>
        <w:spacing w:after="120"/>
        <w:ind w:left="0" w:firstLine="720"/>
        <w:rPr>
          <w:szCs w:val="22"/>
        </w:rPr>
      </w:pPr>
      <w:r>
        <w:t>The Commission has explained that “some carriers introduce ambiguity into what should be a straightforward interaction by describing the carrier change offer as a mere ‘upgrade’ to existing service or in other ways that obscure the true purpose.”</w:t>
      </w:r>
      <w:r>
        <w:rPr>
          <w:rStyle w:val="FootnoteReference"/>
        </w:rPr>
        <w:footnoteReference w:id="30"/>
      </w:r>
      <w:r>
        <w:t xml:space="preserve">  We find that the “context” LDCB provided elsewhere in the third-party verification did not resolve the ambiguity regarding a carrier change for regional toll service, and, therefore, did not serve as clear and convincing evidence that the individual who answered the call was authorizing a carrier change for such service.</w:t>
      </w:r>
      <w:r>
        <w:rPr>
          <w:rStyle w:val="FootnoteReference"/>
        </w:rPr>
        <w:footnoteReference w:id="31"/>
      </w:r>
      <w:r>
        <w:rPr>
          <w:szCs w:val="22"/>
        </w:rPr>
        <w:t xml:space="preserve">  </w:t>
      </w:r>
      <w:r>
        <w:t>As the Commission has made clear on numerous occasions,</w:t>
      </w:r>
      <w:r w:rsidRPr="00C41115">
        <w:t xml:space="preserve"> </w:t>
      </w:r>
      <w:r>
        <w:t xml:space="preserve">the prohibition on introducing ambiguity </w:t>
      </w:r>
      <w:r w:rsidRPr="006531FD">
        <w:t>is crucial to protect</w:t>
      </w:r>
      <w:r>
        <w:t>ing</w:t>
      </w:r>
      <w:r w:rsidRPr="006531FD">
        <w:t xml:space="preserve"> consumers</w:t>
      </w:r>
      <w:r>
        <w:t>,</w:t>
      </w:r>
      <w:r>
        <w:t xml:space="preserve"> </w:t>
      </w:r>
      <w:r>
        <w:t>particularly w</w:t>
      </w:r>
      <w:r w:rsidRPr="006531FD">
        <w:t xml:space="preserve">here the </w:t>
      </w:r>
      <w:r>
        <w:t>C</w:t>
      </w:r>
      <w:r w:rsidRPr="006531FD">
        <w:t>omplainants contend they did not intend to change carriers at all.</w:t>
      </w:r>
      <w:r>
        <w:rPr>
          <w:rStyle w:val="FootnoteReference"/>
        </w:rPr>
        <w:footnoteReference w:id="32"/>
      </w:r>
    </w:p>
    <w:p w:rsidR="00D77AFD" w:rsidP="00D77AFD" w14:paraId="6D9CB600" w14:textId="77777777">
      <w:pPr>
        <w:numPr>
          <w:ilvl w:val="0"/>
          <w:numId w:val="7"/>
        </w:numPr>
        <w:spacing w:after="120"/>
        <w:ind w:left="0" w:firstLine="720"/>
        <w:rPr>
          <w:szCs w:val="22"/>
        </w:rPr>
      </w:pPr>
      <w:r>
        <w:rPr>
          <w:szCs w:val="22"/>
        </w:rPr>
        <w:t>We also disagree with LDCB that the Division’s order creates a “de facto requirement” that carriers use the term “carrier change.”</w:t>
      </w:r>
      <w:r>
        <w:rPr>
          <w:rStyle w:val="FootnoteReference"/>
          <w:szCs w:val="22"/>
        </w:rPr>
        <w:footnoteReference w:id="33"/>
      </w:r>
      <w:r>
        <w:rPr>
          <w:szCs w:val="22"/>
        </w:rPr>
        <w:t xml:space="preserve">  The rules do not require any “magic words,” as LDCB argues.  Rather, the rules simply require unambiguous statements to the </w:t>
      </w:r>
      <w:r>
        <w:rPr>
          <w:szCs w:val="22"/>
        </w:rPr>
        <w:t>consumer</w:t>
      </w:r>
      <w:r>
        <w:rPr>
          <w:szCs w:val="22"/>
        </w:rPr>
        <w:t xml:space="preserve"> so they understand the choices they are making.</w:t>
      </w:r>
    </w:p>
    <w:p w:rsidR="00D77AFD" w:rsidRPr="00993D17" w:rsidP="00D77AFD" w14:paraId="2FFF02A1" w14:textId="77777777">
      <w:pPr>
        <w:numPr>
          <w:ilvl w:val="0"/>
          <w:numId w:val="7"/>
        </w:numPr>
        <w:spacing w:after="120"/>
        <w:ind w:left="0" w:firstLine="720"/>
        <w:rPr>
          <w:szCs w:val="22"/>
        </w:rPr>
      </w:pPr>
      <w:r>
        <w:rPr>
          <w:szCs w:val="22"/>
        </w:rPr>
        <w:t xml:space="preserve">Finally, LDCB argues </w:t>
      </w:r>
      <w:r w:rsidRPr="00CA49D3">
        <w:rPr>
          <w:szCs w:val="22"/>
        </w:rPr>
        <w:t xml:space="preserve">that </w:t>
      </w:r>
      <w:r>
        <w:rPr>
          <w:szCs w:val="22"/>
        </w:rPr>
        <w:t>the third-party verifications</w:t>
      </w:r>
      <w:r w:rsidRPr="00CA49D3">
        <w:rPr>
          <w:szCs w:val="22"/>
        </w:rPr>
        <w:t xml:space="preserve"> </w:t>
      </w:r>
      <w:r>
        <w:rPr>
          <w:szCs w:val="22"/>
        </w:rPr>
        <w:t>associated with the four complaints contained questions “substantially identical”</w:t>
      </w:r>
      <w:r w:rsidRPr="00CA49D3">
        <w:rPr>
          <w:szCs w:val="22"/>
        </w:rPr>
        <w:t xml:space="preserve"> to</w:t>
      </w:r>
      <w:r>
        <w:rPr>
          <w:szCs w:val="22"/>
        </w:rPr>
        <w:t xml:space="preserve"> those in third-party verifications</w:t>
      </w:r>
      <w:r w:rsidRPr="00CA49D3">
        <w:rPr>
          <w:szCs w:val="22"/>
        </w:rPr>
        <w:t xml:space="preserve"> the Division </w:t>
      </w:r>
      <w:r>
        <w:rPr>
          <w:szCs w:val="22"/>
        </w:rPr>
        <w:t xml:space="preserve">had previously </w:t>
      </w:r>
      <w:r w:rsidRPr="00CA49D3">
        <w:rPr>
          <w:szCs w:val="22"/>
        </w:rPr>
        <w:t xml:space="preserve">reviewed in </w:t>
      </w:r>
      <w:r>
        <w:rPr>
          <w:szCs w:val="22"/>
        </w:rPr>
        <w:t xml:space="preserve">two other </w:t>
      </w:r>
      <w:r w:rsidRPr="00CA49D3">
        <w:rPr>
          <w:szCs w:val="22"/>
        </w:rPr>
        <w:t xml:space="preserve">slamming cases </w:t>
      </w:r>
      <w:r>
        <w:rPr>
          <w:szCs w:val="22"/>
        </w:rPr>
        <w:t xml:space="preserve">in 2009 and 2010 </w:t>
      </w:r>
      <w:r w:rsidRPr="00CA49D3">
        <w:rPr>
          <w:szCs w:val="22"/>
        </w:rPr>
        <w:t xml:space="preserve">and found </w:t>
      </w:r>
      <w:r>
        <w:rPr>
          <w:szCs w:val="22"/>
        </w:rPr>
        <w:t xml:space="preserve">compliant </w:t>
      </w:r>
      <w:r w:rsidRPr="00CA49D3">
        <w:rPr>
          <w:szCs w:val="22"/>
        </w:rPr>
        <w:t xml:space="preserve">with the </w:t>
      </w:r>
      <w:r w:rsidRPr="00CA49D3">
        <w:rPr>
          <w:szCs w:val="22"/>
        </w:rPr>
        <w:t>rules</w:t>
      </w:r>
      <w:r w:rsidRPr="00CA49D3">
        <w:rPr>
          <w:color w:val="000000"/>
        </w:rPr>
        <w:t>.</w:t>
      </w:r>
      <w:r>
        <w:rPr>
          <w:rStyle w:val="FootnoteReference"/>
        </w:rPr>
        <w:footnoteReference w:id="34"/>
      </w:r>
      <w:r>
        <w:rPr>
          <w:szCs w:val="22"/>
        </w:rPr>
        <w:t xml:space="preserve">  LDCB</w:t>
      </w:r>
      <w:r w:rsidRPr="00CA49D3">
        <w:rPr>
          <w:szCs w:val="22"/>
        </w:rPr>
        <w:t xml:space="preserve"> asserts the Division cannot</w:t>
      </w:r>
      <w:r>
        <w:rPr>
          <w:szCs w:val="22"/>
        </w:rPr>
        <w:t xml:space="preserve"> subsequently</w:t>
      </w:r>
      <w:r w:rsidRPr="00CA49D3">
        <w:rPr>
          <w:szCs w:val="22"/>
        </w:rPr>
        <w:t xml:space="preserve"> find </w:t>
      </w:r>
      <w:r>
        <w:rPr>
          <w:szCs w:val="22"/>
        </w:rPr>
        <w:t>that the</w:t>
      </w:r>
      <w:r w:rsidRPr="00CA49D3">
        <w:rPr>
          <w:szCs w:val="22"/>
        </w:rPr>
        <w:t xml:space="preserve"> </w:t>
      </w:r>
      <w:r>
        <w:rPr>
          <w:szCs w:val="22"/>
        </w:rPr>
        <w:t>third-party verifications</w:t>
      </w:r>
      <w:r w:rsidRPr="00CA49D3">
        <w:rPr>
          <w:szCs w:val="22"/>
        </w:rPr>
        <w:t xml:space="preserve"> </w:t>
      </w:r>
      <w:r>
        <w:rPr>
          <w:szCs w:val="22"/>
        </w:rPr>
        <w:t>under review here were</w:t>
      </w:r>
      <w:r w:rsidRPr="00CA49D3">
        <w:rPr>
          <w:szCs w:val="22"/>
        </w:rPr>
        <w:t xml:space="preserve"> deficient.</w:t>
      </w:r>
      <w:r>
        <w:rPr>
          <w:rStyle w:val="FootnoteReference"/>
          <w:szCs w:val="22"/>
        </w:rPr>
        <w:footnoteReference w:id="35"/>
      </w:r>
      <w:r w:rsidRPr="00CA49D3">
        <w:rPr>
          <w:szCs w:val="22"/>
        </w:rPr>
        <w:t xml:space="preserve"> </w:t>
      </w:r>
      <w:r>
        <w:rPr>
          <w:szCs w:val="22"/>
        </w:rPr>
        <w:t xml:space="preserve"> By</w:t>
      </w:r>
      <w:r w:rsidRPr="008C13F9">
        <w:rPr>
          <w:szCs w:val="22"/>
        </w:rPr>
        <w:t xml:space="preserve"> the </w:t>
      </w:r>
      <w:r w:rsidRPr="00AB0BBA">
        <w:t>time</w:t>
      </w:r>
      <w:r w:rsidRPr="008C76AF">
        <w:rPr>
          <w:szCs w:val="22"/>
        </w:rPr>
        <w:t xml:space="preserve"> the Complainants</w:t>
      </w:r>
      <w:r w:rsidRPr="008C13F9">
        <w:rPr>
          <w:szCs w:val="22"/>
        </w:rPr>
        <w:t xml:space="preserve"> filed their complaints between 2015</w:t>
      </w:r>
      <w:r w:rsidRPr="002976E0">
        <w:rPr>
          <w:szCs w:val="22"/>
        </w:rPr>
        <w:t xml:space="preserve"> and 2018, the Commission had issued several slamming orders</w:t>
      </w:r>
      <w:r>
        <w:rPr>
          <w:szCs w:val="22"/>
        </w:rPr>
        <w:t xml:space="preserve"> that made </w:t>
      </w:r>
      <w:r w:rsidRPr="008C13F9">
        <w:rPr>
          <w:szCs w:val="22"/>
        </w:rPr>
        <w:t xml:space="preserve">clear a </w:t>
      </w:r>
      <w:r w:rsidRPr="002976E0">
        <w:rPr>
          <w:szCs w:val="22"/>
        </w:rPr>
        <w:t>third-party verification that does not elicit the consumer’s confirmation that he/she is authorized to make a carrier change fails to comply with the rules.</w:t>
      </w:r>
      <w:r>
        <w:rPr>
          <w:rStyle w:val="FootnoteReference"/>
          <w:szCs w:val="22"/>
        </w:rPr>
        <w:footnoteReference w:id="36"/>
      </w:r>
      <w:r w:rsidRPr="008C76AF">
        <w:rPr>
          <w:szCs w:val="22"/>
        </w:rPr>
        <w:t xml:space="preserve">  </w:t>
      </w:r>
      <w:r>
        <w:rPr>
          <w:szCs w:val="22"/>
        </w:rPr>
        <w:t xml:space="preserve">And </w:t>
      </w:r>
      <w:r w:rsidRPr="008C13F9">
        <w:rPr>
          <w:szCs w:val="22"/>
        </w:rPr>
        <w:t xml:space="preserve">the Commission </w:t>
      </w:r>
      <w:r>
        <w:rPr>
          <w:szCs w:val="22"/>
        </w:rPr>
        <w:t>proposed a f</w:t>
      </w:r>
      <w:r w:rsidRPr="008C13F9">
        <w:rPr>
          <w:szCs w:val="22"/>
        </w:rPr>
        <w:t xml:space="preserve">orfeiture </w:t>
      </w:r>
      <w:r>
        <w:rPr>
          <w:szCs w:val="22"/>
        </w:rPr>
        <w:t xml:space="preserve">against </w:t>
      </w:r>
      <w:r w:rsidRPr="008C13F9">
        <w:rPr>
          <w:szCs w:val="22"/>
        </w:rPr>
        <w:t xml:space="preserve">LDCB in 2015 finding that </w:t>
      </w:r>
      <w:r w:rsidRPr="002976E0">
        <w:rPr>
          <w:szCs w:val="22"/>
        </w:rPr>
        <w:t>the company’s third-party verification scripts apparently violated the rules as they did not confirm that the consumers were authorizing a carrier change for regional toll service.</w:t>
      </w:r>
      <w:r>
        <w:rPr>
          <w:rStyle w:val="FootnoteReference"/>
          <w:szCs w:val="22"/>
        </w:rPr>
        <w:footnoteReference w:id="37"/>
      </w:r>
      <w:r w:rsidRPr="008C76AF">
        <w:rPr>
          <w:szCs w:val="22"/>
        </w:rPr>
        <w:t xml:space="preserve">  </w:t>
      </w:r>
      <w:r>
        <w:rPr>
          <w:szCs w:val="22"/>
        </w:rPr>
        <w:t xml:space="preserve">Yet even with the benefit of these orders </w:t>
      </w:r>
      <w:r w:rsidRPr="002976E0">
        <w:rPr>
          <w:szCs w:val="22"/>
        </w:rPr>
        <w:t xml:space="preserve">LDCB did not revise its third-party verification script, which sought confirmation from the consumer that he/she was authorizing a change in “service” for regional toll calls.  </w:t>
      </w:r>
      <w:r w:rsidRPr="00BF25FF">
        <w:rPr>
          <w:szCs w:val="22"/>
        </w:rPr>
        <w:t>We therefore conclude that LDCB was on notice</w:t>
      </w:r>
      <w:r w:rsidRPr="00993D17">
        <w:rPr>
          <w:szCs w:val="22"/>
        </w:rPr>
        <w:t xml:space="preserve"> at the time of the third-party verifications in these four cases that the third-party verification script it used violated the Commission’s slamming rules.</w:t>
      </w:r>
    </w:p>
    <w:p w:rsidR="00D77AFD" w:rsidRPr="00704BD8" w:rsidP="00D77AFD" w14:paraId="6514B23A" w14:textId="77777777">
      <w:pPr>
        <w:numPr>
          <w:ilvl w:val="0"/>
          <w:numId w:val="7"/>
        </w:numPr>
        <w:spacing w:after="120"/>
        <w:ind w:left="0" w:firstLine="720"/>
      </w:pPr>
      <w:r w:rsidRPr="001C6571">
        <w:rPr>
          <w:szCs w:val="22"/>
        </w:rPr>
        <w:t xml:space="preserve">For the reasons stated above, we affirm the </w:t>
      </w:r>
      <w:r w:rsidRPr="001C6571">
        <w:rPr>
          <w:i/>
          <w:szCs w:val="22"/>
        </w:rPr>
        <w:t>Division Order</w:t>
      </w:r>
      <w:r>
        <w:rPr>
          <w:i/>
          <w:szCs w:val="22"/>
        </w:rPr>
        <w:t xml:space="preserve"> </w:t>
      </w:r>
      <w:r>
        <w:rPr>
          <w:szCs w:val="22"/>
        </w:rPr>
        <w:t xml:space="preserve">and deny </w:t>
      </w:r>
      <w:r w:rsidRPr="001C6571">
        <w:rPr>
          <w:szCs w:val="22"/>
        </w:rPr>
        <w:t xml:space="preserve">LDCB’s Petition.  </w:t>
      </w:r>
      <w:r w:rsidRPr="00980476">
        <w:rPr>
          <w:szCs w:val="22"/>
        </w:rPr>
        <w:t xml:space="preserve">      </w:t>
      </w:r>
    </w:p>
    <w:p w:rsidR="00D77AFD" w:rsidRPr="00CC3CCC" w:rsidP="00D77AFD" w14:paraId="66064FCE" w14:textId="77777777">
      <w:pPr>
        <w:numPr>
          <w:ilvl w:val="0"/>
          <w:numId w:val="9"/>
        </w:numPr>
        <w:tabs>
          <w:tab w:val="num" w:pos="720"/>
          <w:tab w:val="clear" w:pos="1080"/>
        </w:tabs>
        <w:spacing w:after="120"/>
        <w:ind w:hanging="1080"/>
        <w:jc w:val="both"/>
        <w:rPr>
          <w:b/>
          <w:szCs w:val="22"/>
        </w:rPr>
      </w:pPr>
      <w:r>
        <w:rPr>
          <w:b/>
          <w:szCs w:val="22"/>
        </w:rPr>
        <w:t>ORDERING CLAUSES</w:t>
      </w:r>
    </w:p>
    <w:p w:rsidR="00D77AFD" w:rsidRPr="00CC3CCC" w:rsidP="00D77AFD" w14:paraId="1B3091E4" w14:textId="77777777">
      <w:pPr>
        <w:numPr>
          <w:ilvl w:val="0"/>
          <w:numId w:val="7"/>
        </w:numPr>
        <w:spacing w:after="120"/>
        <w:ind w:left="0" w:firstLine="720"/>
      </w:pPr>
      <w:r>
        <w:rPr>
          <w:szCs w:val="22"/>
        </w:rPr>
        <w:t xml:space="preserve"> </w:t>
      </w:r>
      <w:r w:rsidRPr="00AB0BBA">
        <w:t>Accordingly</w:t>
      </w:r>
      <w:r w:rsidRPr="001C6571">
        <w:rPr>
          <w:szCs w:val="22"/>
        </w:rPr>
        <w:t xml:space="preserve">, IT IS ORDERED that, pursuant to </w:t>
      </w:r>
      <w:r>
        <w:rPr>
          <w:szCs w:val="22"/>
        </w:rPr>
        <w:t>s</w:t>
      </w:r>
      <w:r w:rsidRPr="001C6571">
        <w:rPr>
          <w:szCs w:val="22"/>
        </w:rPr>
        <w:t xml:space="preserve">ection 258 of the Communications Act of 1934, as amended, 47 U.S.C. § 258, </w:t>
      </w:r>
      <w:r>
        <w:rPr>
          <w:szCs w:val="22"/>
        </w:rPr>
        <w:t>s</w:t>
      </w:r>
      <w:r w:rsidRPr="001C6571">
        <w:rPr>
          <w:szCs w:val="22"/>
        </w:rPr>
        <w:t xml:space="preserve">ections 1.106 and 1.719 of the Commission’s rules, 47 CFR §§ 1.106, 1.719, and authority delegated by </w:t>
      </w:r>
      <w:r>
        <w:rPr>
          <w:szCs w:val="22"/>
        </w:rPr>
        <w:t>s</w:t>
      </w:r>
      <w:r w:rsidRPr="001C6571">
        <w:rPr>
          <w:szCs w:val="22"/>
        </w:rPr>
        <w:t>ections 0.141</w:t>
      </w:r>
      <w:r>
        <w:rPr>
          <w:szCs w:val="22"/>
        </w:rPr>
        <w:t xml:space="preserve"> and </w:t>
      </w:r>
      <w:r w:rsidRPr="001C6571">
        <w:rPr>
          <w:szCs w:val="22"/>
        </w:rPr>
        <w:t xml:space="preserve">0.361 of the Commission’s rules, 47 CFR §§ 0.141, 0.361, the Petition for Reconsideration filed by Long Distance Consolidated Billing Co. on </w:t>
      </w:r>
      <w:r>
        <w:rPr>
          <w:szCs w:val="22"/>
        </w:rPr>
        <w:t>June 14, 2019</w:t>
      </w:r>
      <w:r>
        <w:t>, IS DENIED.</w:t>
      </w:r>
    </w:p>
    <w:p w:rsidR="00D77AFD" w:rsidRPr="001C6571" w:rsidP="00D77AFD" w14:paraId="31599B91" w14:textId="77777777">
      <w:pPr>
        <w:numPr>
          <w:ilvl w:val="0"/>
          <w:numId w:val="7"/>
        </w:numPr>
        <w:spacing w:after="120"/>
        <w:ind w:left="0" w:firstLine="720"/>
        <w:rPr>
          <w:szCs w:val="22"/>
        </w:rPr>
      </w:pPr>
      <w:r w:rsidRPr="001C6571">
        <w:rPr>
          <w:szCs w:val="22"/>
        </w:rPr>
        <w:t xml:space="preserve">IT IS </w:t>
      </w:r>
      <w:r w:rsidRPr="00AB0BBA">
        <w:t>FURTHER</w:t>
      </w:r>
      <w:r w:rsidRPr="001C6571">
        <w:rPr>
          <w:szCs w:val="22"/>
        </w:rPr>
        <w:t xml:space="preserve"> ORDERED that this Order is EFFECTIVE UPON RELEASE.</w:t>
      </w:r>
    </w:p>
    <w:p w:rsidR="00D77AFD" w:rsidP="00D77AFD" w14:paraId="55B1C4F1" w14:textId="77777777">
      <w:pPr>
        <w:ind w:left="2880" w:right="270" w:firstLine="1440"/>
        <w:rPr>
          <w:szCs w:val="22"/>
        </w:rPr>
      </w:pPr>
      <w:r>
        <w:rPr>
          <w:szCs w:val="22"/>
        </w:rPr>
        <w:t>FEDERAL COMMUNICATIONS COMMISSION</w:t>
      </w:r>
    </w:p>
    <w:p w:rsidR="00D77AFD" w:rsidP="00D77AFD" w14:paraId="1FDD4564" w14:textId="77777777">
      <w:pPr>
        <w:ind w:right="270" w:firstLine="1440"/>
        <w:rPr>
          <w:szCs w:val="22"/>
        </w:rPr>
      </w:pPr>
    </w:p>
    <w:p w:rsidR="00D77AFD" w:rsidP="00D77AFD" w14:paraId="06BBE021" w14:textId="77777777">
      <w:pPr>
        <w:ind w:right="270" w:firstLine="1440"/>
        <w:rPr>
          <w:szCs w:val="22"/>
        </w:rPr>
      </w:pPr>
    </w:p>
    <w:p w:rsidR="00D77AFD" w:rsidP="00D77AFD" w14:paraId="7091FA72" w14:textId="77777777">
      <w:pPr>
        <w:ind w:right="270" w:firstLine="1440"/>
        <w:rPr>
          <w:szCs w:val="22"/>
        </w:rPr>
      </w:pPr>
    </w:p>
    <w:p w:rsidR="00D77AFD" w:rsidP="00D77AFD" w14:paraId="2B41EAEA" w14:textId="77777777">
      <w:pPr>
        <w:tabs>
          <w:tab w:val="left" w:pos="3600"/>
        </w:tabs>
        <w:ind w:right="270" w:firstLine="4320"/>
        <w:rPr>
          <w:szCs w:val="22"/>
        </w:rPr>
      </w:pPr>
    </w:p>
    <w:p w:rsidR="00D77AFD" w:rsidP="00D77AFD" w14:paraId="1ADDE475" w14:textId="77777777">
      <w:pPr>
        <w:tabs>
          <w:tab w:val="left" w:pos="3600"/>
        </w:tabs>
        <w:ind w:right="270" w:firstLine="4320"/>
        <w:rPr>
          <w:szCs w:val="22"/>
        </w:rPr>
      </w:pPr>
      <w:r>
        <w:rPr>
          <w:szCs w:val="22"/>
        </w:rPr>
        <w:t>Mark A. Stone</w:t>
      </w:r>
    </w:p>
    <w:p w:rsidR="00D77AFD" w:rsidP="00D77AFD" w14:paraId="4D9220FD" w14:textId="77777777">
      <w:pPr>
        <w:tabs>
          <w:tab w:val="left" w:pos="3600"/>
        </w:tabs>
        <w:ind w:right="270" w:firstLine="4320"/>
        <w:rPr>
          <w:szCs w:val="22"/>
        </w:rPr>
      </w:pPr>
      <w:r>
        <w:rPr>
          <w:szCs w:val="22"/>
        </w:rPr>
        <w:t>Deputy Chief</w:t>
      </w:r>
      <w:r>
        <w:rPr>
          <w:szCs w:val="22"/>
        </w:rPr>
        <w:tab/>
      </w:r>
      <w:r>
        <w:rPr>
          <w:szCs w:val="22"/>
        </w:rPr>
        <w:tab/>
      </w:r>
    </w:p>
    <w:p w:rsidR="00D77AFD" w:rsidP="00D77AFD" w14:paraId="7A08647F" w14:textId="77777777">
      <w:pPr>
        <w:tabs>
          <w:tab w:val="left" w:pos="3600"/>
        </w:tabs>
        <w:ind w:firstLine="4320"/>
      </w:pPr>
      <w:r>
        <w:t>Consumer and Governmental Affairs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E10C7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0A775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1FDD8C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2729D3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29D48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7AFD" w14:paraId="338E3B7D" w14:textId="77777777">
      <w:r>
        <w:separator/>
      </w:r>
    </w:p>
  </w:footnote>
  <w:footnote w:type="continuationSeparator" w:id="1">
    <w:p w:rsidR="00D77AFD" w:rsidP="00C721AC" w14:paraId="27789675" w14:textId="77777777">
      <w:pPr>
        <w:spacing w:before="120"/>
        <w:rPr>
          <w:sz w:val="20"/>
        </w:rPr>
      </w:pPr>
      <w:r>
        <w:rPr>
          <w:sz w:val="20"/>
        </w:rPr>
        <w:t xml:space="preserve">(Continued from previous page)  </w:t>
      </w:r>
      <w:r>
        <w:rPr>
          <w:sz w:val="20"/>
        </w:rPr>
        <w:separator/>
      </w:r>
    </w:p>
  </w:footnote>
  <w:footnote w:type="continuationNotice" w:id="2">
    <w:p w:rsidR="00D77AFD" w:rsidP="00C721AC" w14:paraId="63E7FAFD" w14:textId="77777777">
      <w:pPr>
        <w:jc w:val="right"/>
        <w:rPr>
          <w:sz w:val="20"/>
        </w:rPr>
      </w:pPr>
      <w:r>
        <w:rPr>
          <w:sz w:val="20"/>
        </w:rPr>
        <w:t>(continued….)</w:t>
      </w:r>
    </w:p>
  </w:footnote>
  <w:footnote w:id="3">
    <w:p w:rsidR="00D77AFD" w:rsidP="00D77AFD" w14:paraId="2F044D21" w14:textId="77777777">
      <w:pPr>
        <w:pStyle w:val="FootnoteText"/>
      </w:pPr>
      <w:r>
        <w:rPr>
          <w:rStyle w:val="FootnoteReference"/>
        </w:rPr>
        <w:footnoteRef/>
      </w:r>
      <w:r>
        <w:t xml:space="preserve"> 47 U.S.C. § 258(a).</w:t>
      </w:r>
    </w:p>
  </w:footnote>
  <w:footnote w:id="4">
    <w:p w:rsidR="00D77AFD" w:rsidP="00D77AFD" w14:paraId="530FC188" w14:textId="77777777">
      <w:pPr>
        <w:pStyle w:val="FootnoteText"/>
        <w:tabs>
          <w:tab w:val="left" w:pos="0"/>
        </w:tabs>
      </w:pPr>
      <w:r>
        <w:rPr>
          <w:rStyle w:val="FootnoteReference"/>
        </w:rPr>
        <w:footnoteRef/>
      </w:r>
      <w:r>
        <w:t xml:space="preserve"> </w:t>
      </w:r>
      <w:r>
        <w:rPr>
          <w:i/>
        </w:rPr>
        <w:t>See</w:t>
      </w:r>
      <w:r>
        <w:t xml:space="preserve"> 47 CFR § 64.1120.</w:t>
      </w:r>
    </w:p>
  </w:footnote>
  <w:footnote w:id="5">
    <w:p w:rsidR="00D77AFD" w:rsidP="00D77AFD" w14:paraId="1E805061" w14:textId="77777777">
      <w:pPr>
        <w:pStyle w:val="FootnoteText"/>
      </w:pPr>
      <w:r>
        <w:rPr>
          <w:rStyle w:val="FootnoteReference"/>
        </w:rPr>
        <w:footnoteRef/>
      </w:r>
      <w:r>
        <w:t xml:space="preserve"> </w:t>
      </w:r>
      <w:r w:rsidRPr="007B59E5">
        <w:rPr>
          <w:i/>
        </w:rPr>
        <w:t>Id.</w:t>
      </w:r>
      <w:r>
        <w:t xml:space="preserve"> § 64.1120(c)(3)(iii).</w:t>
      </w:r>
    </w:p>
  </w:footnote>
  <w:footnote w:id="6">
    <w:p w:rsidR="00D77AFD" w:rsidP="00D77AFD" w14:paraId="3B986823" w14:textId="77777777">
      <w:pPr>
        <w:pStyle w:val="FootnoteText"/>
        <w:widowControl w:val="0"/>
      </w:pPr>
      <w:r>
        <w:rPr>
          <w:rStyle w:val="FootnoteReference"/>
        </w:rPr>
        <w:footnoteRef/>
      </w:r>
      <w:r>
        <w:rPr>
          <w:i/>
        </w:rPr>
        <w:t xml:space="preserve"> See </w:t>
      </w:r>
      <w:r>
        <w:t xml:space="preserve">Long Distance Consolidated Billing Co., Petition for Reconsideration (filed June 14, 2019) (Petition); </w:t>
      </w:r>
      <w:r w:rsidRPr="00CB2CDD">
        <w:rPr>
          <w:i/>
        </w:rPr>
        <w:t>see also</w:t>
      </w:r>
      <w:r>
        <w:t xml:space="preserve"> </w:t>
      </w:r>
      <w:r w:rsidRPr="00CB2CDD">
        <w:rPr>
          <w:i/>
        </w:rPr>
        <w:t>Long Distance</w:t>
      </w:r>
      <w:r w:rsidRPr="00CB2CDD">
        <w:rPr>
          <w:i/>
        </w:rPr>
        <w:t xml:space="preserve"> Consolidated Billing Co.,</w:t>
      </w:r>
      <w:r>
        <w:t xml:space="preserve"> </w:t>
      </w:r>
      <w:r w:rsidRPr="00995F03">
        <w:rPr>
          <w:i/>
        </w:rPr>
        <w:t>Complaint</w:t>
      </w:r>
      <w:r>
        <w:rPr>
          <w:i/>
        </w:rPr>
        <w:t>s</w:t>
      </w:r>
      <w:r w:rsidRPr="00995F03">
        <w:rPr>
          <w:i/>
        </w:rPr>
        <w:t xml:space="preserve"> Regarding Unauthorized Change of Subscriber’s Telecommunications Carrier</w:t>
      </w:r>
      <w:r>
        <w:t xml:space="preserve">, Order, 34 FCC </w:t>
      </w:r>
      <w:r>
        <w:t>Rcd</w:t>
      </w:r>
      <w:r>
        <w:t xml:space="preserve"> 3232 (CGB 2019) (</w:t>
      </w:r>
      <w:r w:rsidRPr="001D3CA6">
        <w:rPr>
          <w:i/>
        </w:rPr>
        <w:t>Division Order</w:t>
      </w:r>
      <w:r>
        <w:t>).</w:t>
      </w:r>
    </w:p>
  </w:footnote>
  <w:footnote w:id="7">
    <w:p w:rsidR="00D77AFD" w:rsidP="00D77AFD" w14:paraId="60DFEAD1" w14:textId="77777777">
      <w:pPr>
        <w:pStyle w:val="FootnoteText"/>
      </w:pPr>
      <w:r>
        <w:rPr>
          <w:rStyle w:val="FootnoteReference"/>
        </w:rPr>
        <w:footnoteRef/>
      </w:r>
      <w:r>
        <w:t xml:space="preserve"> </w:t>
      </w:r>
      <w:r>
        <w:rPr>
          <w:i/>
        </w:rPr>
        <w:t>See</w:t>
      </w:r>
      <w:r>
        <w:t xml:space="preserve"> 47 CFR §§ 64.1100-64.1190.  </w:t>
      </w:r>
    </w:p>
  </w:footnote>
  <w:footnote w:id="8">
    <w:p w:rsidR="00D77AFD" w:rsidP="00D77AFD" w14:paraId="0940478B" w14:textId="77777777">
      <w:pPr>
        <w:pStyle w:val="FootnoteText"/>
        <w:tabs>
          <w:tab w:val="left" w:pos="0"/>
        </w:tabs>
      </w:pPr>
      <w:r>
        <w:rPr>
          <w:rStyle w:val="FootnoteReference"/>
        </w:rPr>
        <w:footnoteRef/>
      </w:r>
      <w:r>
        <w:rPr>
          <w:i/>
        </w:rPr>
        <w:t xml:space="preserve"> See</w:t>
      </w:r>
      <w:r>
        <w:t xml:space="preserve"> </w:t>
      </w:r>
      <w:r w:rsidRPr="0014591C">
        <w:rPr>
          <w:i/>
        </w:rPr>
        <w:t>id.</w:t>
      </w:r>
      <w:r>
        <w:t xml:space="preserve"> § 64.1120(c).  Section 64.1130 of the Commission’s rules details the requirements for letter of agency form and content for written or electronically signed authorizations.  </w:t>
      </w:r>
      <w:r w:rsidRPr="0014591C">
        <w:rPr>
          <w:i/>
        </w:rPr>
        <w:t>Id.</w:t>
      </w:r>
      <w:r>
        <w:t xml:space="preserve"> § 64.1130.</w:t>
      </w:r>
    </w:p>
  </w:footnote>
  <w:footnote w:id="9">
    <w:p w:rsidR="00D77AFD" w:rsidP="00D77AFD" w14:paraId="02055D64" w14:textId="77777777">
      <w:pPr>
        <w:pStyle w:val="FootnoteText"/>
      </w:pPr>
      <w:r>
        <w:rPr>
          <w:rStyle w:val="FootnoteReference"/>
          <w:szCs w:val="22"/>
        </w:rPr>
        <w:footnoteRef/>
      </w:r>
      <w:r>
        <w:t xml:space="preserve"> </w:t>
      </w:r>
      <w:r w:rsidRPr="0000580C">
        <w:rPr>
          <w:i/>
        </w:rPr>
        <w:t>Id.</w:t>
      </w:r>
      <w:r>
        <w:t xml:space="preserve"> § 64.1120(c)(3)(iii).</w:t>
      </w:r>
    </w:p>
  </w:footnote>
  <w:footnote w:id="10">
    <w:p w:rsidR="00D77AFD" w:rsidP="00D77AFD" w14:paraId="22DC7A28" w14:textId="77777777">
      <w:pPr>
        <w:pStyle w:val="FootnoteText"/>
      </w:pPr>
      <w:r>
        <w:rPr>
          <w:rStyle w:val="FootnoteReference"/>
        </w:rPr>
        <w:footnoteRef/>
      </w:r>
      <w:r>
        <w:t xml:space="preserve"> </w:t>
      </w:r>
      <w:r>
        <w:rPr>
          <w:i/>
        </w:rPr>
        <w:t xml:space="preserve">See Implementation of the Subscriber Carrier Selection Changes Provisions of the Telecommunications Act of 1996; Policies and Rules Concerning Unauthorized Changes of Consumers’ </w:t>
      </w:r>
      <w:r>
        <w:rPr>
          <w:i/>
        </w:rPr>
        <w:t>Long Distance</w:t>
      </w:r>
      <w:r>
        <w:rPr>
          <w:i/>
        </w:rPr>
        <w:t xml:space="preserve"> Carriers</w:t>
      </w:r>
      <w:r>
        <w:t>,</w:t>
      </w:r>
      <w:r>
        <w:rPr>
          <w:i/>
        </w:rPr>
        <w:t xml:space="preserve"> </w:t>
      </w:r>
      <w:r>
        <w:t xml:space="preserve">Fourth Report and Order, 23 FCC </w:t>
      </w:r>
      <w:r>
        <w:t>Rcd</w:t>
      </w:r>
      <w:r>
        <w:t xml:space="preserve"> 493 (2008) (</w:t>
      </w:r>
      <w:r>
        <w:rPr>
          <w:i/>
        </w:rPr>
        <w:t>Fourth Report and Order</w:t>
      </w:r>
      <w:r>
        <w:t xml:space="preserve">).  </w:t>
      </w:r>
      <w:r>
        <w:rPr>
          <w:szCs w:val="22"/>
        </w:rPr>
        <w:t>T</w:t>
      </w:r>
      <w:r w:rsidRPr="00947D26">
        <w:rPr>
          <w:szCs w:val="22"/>
        </w:rPr>
        <w:t xml:space="preserve">he </w:t>
      </w:r>
      <w:r>
        <w:rPr>
          <w:szCs w:val="22"/>
        </w:rPr>
        <w:t>revised</w:t>
      </w:r>
      <w:r w:rsidRPr="00947D26">
        <w:rPr>
          <w:szCs w:val="22"/>
        </w:rPr>
        <w:t xml:space="preserve"> verification requirements in </w:t>
      </w:r>
      <w:r>
        <w:rPr>
          <w:szCs w:val="22"/>
        </w:rPr>
        <w:t>s</w:t>
      </w:r>
      <w:r w:rsidRPr="00947D26">
        <w:rPr>
          <w:szCs w:val="22"/>
        </w:rPr>
        <w:t>ection 64.1120(c)(3)(iii) became effective on July 30, 2008</w:t>
      </w:r>
      <w:r>
        <w:rPr>
          <w:szCs w:val="22"/>
        </w:rPr>
        <w:t xml:space="preserve">; </w:t>
      </w:r>
      <w:r>
        <w:t>47 CFR § 64.1120(c)(3)(iii).</w:t>
      </w:r>
    </w:p>
  </w:footnote>
  <w:footnote w:id="11">
    <w:p w:rsidR="00D77AFD" w:rsidP="00D77AFD" w14:paraId="7F47062E" w14:textId="77777777">
      <w:pPr>
        <w:pStyle w:val="FootnoteText"/>
        <w:rPr>
          <w:i/>
        </w:rPr>
      </w:pPr>
      <w:r>
        <w:rPr>
          <w:rStyle w:val="FootnoteReference"/>
        </w:rPr>
        <w:footnoteRef/>
      </w:r>
      <w:r>
        <w:t xml:space="preserve"> </w:t>
      </w:r>
      <w:r>
        <w:rPr>
          <w:i/>
        </w:rPr>
        <w:t xml:space="preserve">Fourth Report and Order, </w:t>
      </w:r>
      <w:r>
        <w:t xml:space="preserve">23 FCC </w:t>
      </w:r>
      <w:r>
        <w:t>Rcd</w:t>
      </w:r>
      <w:r>
        <w:rPr>
          <w:i/>
        </w:rPr>
        <w:t xml:space="preserve"> </w:t>
      </w:r>
      <w:r>
        <w:t>at 501, para. 18.</w:t>
      </w:r>
    </w:p>
  </w:footnote>
  <w:footnote w:id="12">
    <w:p w:rsidR="00D77AFD" w:rsidP="00D77AFD" w14:paraId="62C505A6" w14:textId="77777777">
      <w:pPr>
        <w:pStyle w:val="FootnoteText"/>
      </w:pPr>
      <w:r>
        <w:rPr>
          <w:rStyle w:val="FootnoteReference"/>
        </w:rPr>
        <w:footnoteRef/>
      </w:r>
      <w:r>
        <w:t xml:space="preserve"> </w:t>
      </w:r>
      <w:r w:rsidRPr="009B1AFF">
        <w:rPr>
          <w:i/>
        </w:rPr>
        <w:t>See</w:t>
      </w:r>
      <w:r>
        <w:t xml:space="preserve"> Informal Complaint Nos. 264883 (filed Apr. 29, 2015); 865347 (filed Mar. 17, 2016); 1052419 (filed June 23, 2016); 2208830 (filed Feb. 1, 2018).  Two of the Complainants also alleged that LDCB’s telemarketers misrepresented their identities by stating that they were calling on behalf of the Complainant’s current service provider.  </w:t>
      </w:r>
      <w:r w:rsidRPr="00494BB4">
        <w:rPr>
          <w:i/>
        </w:rPr>
        <w:t>See</w:t>
      </w:r>
      <w:r>
        <w:t xml:space="preserve"> Informal Complaint Nos. 264883 and 2208830.</w:t>
      </w:r>
    </w:p>
  </w:footnote>
  <w:footnote w:id="13">
    <w:p w:rsidR="00D77AFD" w:rsidP="00D77AFD" w14:paraId="3B76A3B9" w14:textId="77777777">
      <w:pPr>
        <w:pStyle w:val="FootnoteText"/>
      </w:pPr>
      <w:r>
        <w:rPr>
          <w:rStyle w:val="FootnoteReference"/>
        </w:rPr>
        <w:footnoteRef/>
      </w:r>
      <w:r>
        <w:t xml:space="preserve"> </w:t>
      </w:r>
      <w:r w:rsidRPr="006873BC">
        <w:rPr>
          <w:i/>
        </w:rPr>
        <w:t>See</w:t>
      </w:r>
      <w:r>
        <w:t xml:space="preserve"> 47 CFR § 1.719 (Commission procedure for informal complaints filed pursuant to section 258 of the Act); </w:t>
      </w:r>
      <w:r w:rsidRPr="00082FFF">
        <w:rPr>
          <w:i/>
        </w:rPr>
        <w:t>id.</w:t>
      </w:r>
      <w:r>
        <w:t xml:space="preserve"> § 64.1150 (procedures for resolution of unauthorized changes in preferred carrier).</w:t>
      </w:r>
    </w:p>
  </w:footnote>
  <w:footnote w:id="14">
    <w:p w:rsidR="00D77AFD" w:rsidP="00D77AFD" w14:paraId="5173B1B2" w14:textId="77777777">
      <w:pPr>
        <w:pStyle w:val="FootnoteText"/>
      </w:pPr>
      <w:r>
        <w:rPr>
          <w:rStyle w:val="FootnoteReference"/>
          <w:szCs w:val="22"/>
        </w:rPr>
        <w:footnoteRef/>
      </w:r>
      <w:r>
        <w:t xml:space="preserve"> </w:t>
      </w:r>
      <w:r w:rsidRPr="006873BC">
        <w:t xml:space="preserve">As discussed above, </w:t>
      </w:r>
      <w:r>
        <w:t xml:space="preserve">third-party verification is one method a carrier may use to verify and record a consumer’s authorization to change his or her preferred </w:t>
      </w:r>
      <w:r>
        <w:t>long distance</w:t>
      </w:r>
      <w:r>
        <w:t xml:space="preserve"> carrier.  </w:t>
      </w:r>
      <w:r w:rsidRPr="00082FFF">
        <w:rPr>
          <w:i/>
        </w:rPr>
        <w:t>Id.</w:t>
      </w:r>
      <w:r>
        <w:t xml:space="preserve"> § 64.1120(c)(3).     </w:t>
      </w:r>
    </w:p>
  </w:footnote>
  <w:footnote w:id="15">
    <w:p w:rsidR="00D77AFD" w:rsidRPr="009B6F2B" w:rsidP="00D77AFD" w14:paraId="5E74CA10" w14:textId="77777777">
      <w:pPr>
        <w:pStyle w:val="FootnoteText"/>
      </w:pPr>
      <w:r>
        <w:rPr>
          <w:rStyle w:val="FootnoteReference"/>
        </w:rPr>
        <w:footnoteRef/>
      </w:r>
      <w:r>
        <w:t xml:space="preserve"> </w:t>
      </w:r>
      <w:r w:rsidRPr="00F7398D">
        <w:rPr>
          <w:i/>
        </w:rPr>
        <w:t xml:space="preserve">See </w:t>
      </w:r>
      <w:r>
        <w:rPr>
          <w:i/>
        </w:rPr>
        <w:t xml:space="preserve">Division Order, </w:t>
      </w:r>
      <w:r>
        <w:t xml:space="preserve">34 FCC </w:t>
      </w:r>
      <w:r>
        <w:t>Rcd</w:t>
      </w:r>
      <w:r>
        <w:t xml:space="preserve"> at 3233, para. 4.</w:t>
      </w:r>
    </w:p>
  </w:footnote>
  <w:footnote w:id="16">
    <w:p w:rsidR="00D77AFD" w:rsidRPr="00781638" w:rsidP="00D77AFD" w14:paraId="41789DD5" w14:textId="77777777">
      <w:pPr>
        <w:pStyle w:val="FootnoteText"/>
      </w:pPr>
      <w:r>
        <w:rPr>
          <w:rStyle w:val="FootnoteReference"/>
        </w:rPr>
        <w:footnoteRef/>
      </w:r>
      <w:r>
        <w:t xml:space="preserve"> </w:t>
      </w:r>
      <w:r>
        <w:rPr>
          <w:i/>
        </w:rPr>
        <w:t xml:space="preserve">See id. </w:t>
      </w:r>
      <w:r>
        <w:t xml:space="preserve"> </w:t>
      </w:r>
    </w:p>
  </w:footnote>
  <w:footnote w:id="17">
    <w:p w:rsidR="00D77AFD" w:rsidP="00D77AFD" w14:paraId="4B4BBBEF" w14:textId="77777777">
      <w:pPr>
        <w:pStyle w:val="FootnoteText"/>
      </w:pPr>
      <w:r>
        <w:rPr>
          <w:rStyle w:val="FootnoteReference"/>
        </w:rPr>
        <w:footnoteRef/>
      </w:r>
      <w:r>
        <w:t xml:space="preserve"> </w:t>
      </w:r>
      <w:r w:rsidRPr="001A3CF7">
        <w:rPr>
          <w:i/>
        </w:rPr>
        <w:t>See</w:t>
      </w:r>
      <w:r>
        <w:t xml:space="preserve"> 47 CFR § 64.1120(c)(3)(iii); </w:t>
      </w:r>
      <w:r w:rsidRPr="00304170">
        <w:rPr>
          <w:i/>
          <w:iCs/>
        </w:rPr>
        <w:t>see also</w:t>
      </w:r>
      <w:r>
        <w:rPr>
          <w:i/>
          <w:iCs/>
        </w:rPr>
        <w:t xml:space="preserve"> </w:t>
      </w:r>
      <w:r>
        <w:rPr>
          <w:i/>
          <w:iCs/>
        </w:rPr>
        <w:t>Long Distance</w:t>
      </w:r>
      <w:r>
        <w:rPr>
          <w:i/>
          <w:iCs/>
        </w:rPr>
        <w:t xml:space="preserve"> Consolidated Billing Co., </w:t>
      </w:r>
      <w:r w:rsidRPr="00995F03">
        <w:rPr>
          <w:i/>
        </w:rPr>
        <w:t>Complaint</w:t>
      </w:r>
      <w:r>
        <w:rPr>
          <w:i/>
        </w:rPr>
        <w:t>s</w:t>
      </w:r>
      <w:r w:rsidRPr="00995F03">
        <w:rPr>
          <w:i/>
        </w:rPr>
        <w:t xml:space="preserve"> Regarding Unauthorized Change of Subscriber’s Telecommunications Carrier</w:t>
      </w:r>
      <w:r>
        <w:t xml:space="preserve">, Order on Reconsideration, DA 20-1468 (Dec. 9, 2020). </w:t>
      </w:r>
      <w:r>
        <w:rPr>
          <w:i/>
          <w:iCs/>
        </w:rPr>
        <w:t xml:space="preserve"> </w:t>
      </w:r>
    </w:p>
  </w:footnote>
  <w:footnote w:id="18">
    <w:p w:rsidR="00D77AFD" w:rsidP="00D77AFD" w14:paraId="3375AB92" w14:textId="77777777">
      <w:pPr>
        <w:pStyle w:val="FootnoteText"/>
      </w:pPr>
      <w:r>
        <w:rPr>
          <w:rStyle w:val="FootnoteReference"/>
        </w:rPr>
        <w:footnoteRef/>
      </w:r>
      <w:r>
        <w:t xml:space="preserve"> </w:t>
      </w:r>
      <w:r w:rsidRPr="00CC5022">
        <w:rPr>
          <w:i/>
        </w:rPr>
        <w:t>Id</w:t>
      </w:r>
      <w:r>
        <w:t>. § 64.1120(c)(3)(iii) (emphasis added).</w:t>
      </w:r>
    </w:p>
  </w:footnote>
  <w:footnote w:id="19">
    <w:p w:rsidR="00D77AFD" w:rsidP="00D77AFD" w14:paraId="4443E185" w14:textId="77777777">
      <w:pPr>
        <w:pStyle w:val="FootnoteText"/>
      </w:pPr>
      <w:r>
        <w:rPr>
          <w:rStyle w:val="FootnoteReference"/>
        </w:rPr>
        <w:footnoteRef/>
      </w:r>
      <w:r>
        <w:t xml:space="preserve"> </w:t>
      </w:r>
      <w:r>
        <w:rPr>
          <w:i/>
        </w:rPr>
        <w:t xml:space="preserve">Fourth Report and </w:t>
      </w:r>
      <w:r w:rsidRPr="00820FF0">
        <w:rPr>
          <w:i/>
          <w:iCs/>
        </w:rPr>
        <w:t>Order</w:t>
      </w:r>
      <w:r>
        <w:t xml:space="preserve">, 23 FCC </w:t>
      </w:r>
      <w:r>
        <w:t>Rcd</w:t>
      </w:r>
      <w:r>
        <w:t xml:space="preserve"> </w:t>
      </w:r>
      <w:r w:rsidRPr="00397624">
        <w:t>at</w:t>
      </w:r>
      <w:r>
        <w:t xml:space="preserve"> 502, para. 20 (emphasis added).</w:t>
      </w:r>
    </w:p>
  </w:footnote>
  <w:footnote w:id="20">
    <w:p w:rsidR="00D77AFD" w:rsidP="00D77AFD" w14:paraId="7B2F9137" w14:textId="77777777">
      <w:pPr>
        <w:pStyle w:val="FootnoteText"/>
      </w:pPr>
      <w:r>
        <w:rPr>
          <w:rStyle w:val="FootnoteReference"/>
        </w:rPr>
        <w:footnoteRef/>
      </w:r>
      <w:r>
        <w:t xml:space="preserve"> 47 CFR § 64.1120(c)(3)(iii).</w:t>
      </w:r>
    </w:p>
  </w:footnote>
  <w:footnote w:id="21">
    <w:p w:rsidR="00D77AFD" w:rsidP="00D77AFD" w14:paraId="6AE2EC61" w14:textId="77777777">
      <w:pPr>
        <w:pStyle w:val="FootnoteText"/>
      </w:pPr>
      <w:r>
        <w:rPr>
          <w:rStyle w:val="FootnoteReference"/>
        </w:rPr>
        <w:footnoteRef/>
      </w:r>
      <w:r>
        <w:t xml:space="preserve"> 47 CFR § 64.1120(b) (2018).  The Commission has since eliminated the requirement to obtain separate authorizations.  </w:t>
      </w:r>
      <w:r w:rsidRPr="00155B33">
        <w:rPr>
          <w:i/>
        </w:rPr>
        <w:t>See Protecting Consumers from Unauthorized Carrier Charges and Related Unauthorized Charges</w:t>
      </w:r>
      <w:r>
        <w:t xml:space="preserve">, Report and Order, 33 FCC </w:t>
      </w:r>
      <w:r>
        <w:t>Rcd</w:t>
      </w:r>
      <w:r>
        <w:t xml:space="preserve"> 5773, 5782-83, paras. 27-28 (2018).</w:t>
      </w:r>
    </w:p>
  </w:footnote>
  <w:footnote w:id="22">
    <w:p w:rsidR="00D77AFD" w:rsidP="00D77AFD" w14:paraId="1E9339C1" w14:textId="77777777">
      <w:pPr>
        <w:pStyle w:val="FootnoteText"/>
      </w:pPr>
      <w:r>
        <w:rPr>
          <w:rStyle w:val="FootnoteReference"/>
        </w:rPr>
        <w:footnoteRef/>
      </w:r>
      <w:r>
        <w:rPr>
          <w:i/>
        </w:rPr>
        <w:t xml:space="preserve"> See</w:t>
      </w:r>
      <w:r>
        <w:t xml:space="preserve"> third-party verifications and third-party verification transcripts provided with LDCB’s complaint responses.  </w:t>
      </w:r>
    </w:p>
  </w:footnote>
  <w:footnote w:id="23">
    <w:p w:rsidR="00D77AFD" w:rsidP="00D77AFD" w14:paraId="111B65FA" w14:textId="77777777">
      <w:pPr>
        <w:pStyle w:val="FootnoteText"/>
      </w:pPr>
      <w:r>
        <w:rPr>
          <w:rStyle w:val="FootnoteReference"/>
        </w:rPr>
        <w:footnoteRef/>
      </w:r>
      <w:r>
        <w:t xml:space="preserve"> In 2012, for example, the Consumer and Governmental Affairs Bureau (Bureau) denied a carrier’s petition for reconsideration of a Division slamming order, finding that</w:t>
      </w:r>
      <w:r w:rsidRPr="00236BEF">
        <w:t xml:space="preserve"> “the verifier’s question, ‘Do you have authority to make changes to your long distance service?’ did not confirm that the person was authorizing a change that would result in receiving service </w:t>
      </w:r>
      <w:r w:rsidRPr="00236BEF">
        <w:rPr>
          <w:i/>
        </w:rPr>
        <w:t>from a different carrier</w:t>
      </w:r>
      <w:r>
        <w:t xml:space="preserve">.”  </w:t>
      </w:r>
      <w:r w:rsidRPr="00154521">
        <w:rPr>
          <w:i/>
          <w:iCs/>
        </w:rPr>
        <w:t>See</w:t>
      </w:r>
      <w:r>
        <w:t xml:space="preserve"> </w:t>
      </w:r>
      <w:r w:rsidRPr="00236BEF">
        <w:rPr>
          <w:i/>
        </w:rPr>
        <w:t>Consumer Telcom, Inc.</w:t>
      </w:r>
      <w:r w:rsidRPr="00236BEF">
        <w:t xml:space="preserve">, Order on Reconsideration, 27 FCC </w:t>
      </w:r>
      <w:r w:rsidRPr="00236BEF">
        <w:t>Rcd</w:t>
      </w:r>
      <w:r w:rsidRPr="00236BEF">
        <w:t xml:space="preserve"> 5340, 5345, para. 17 (CGB 2012)</w:t>
      </w:r>
      <w:r>
        <w:t xml:space="preserve"> (</w:t>
      </w:r>
      <w:r w:rsidRPr="000853B7">
        <w:rPr>
          <w:i/>
          <w:iCs/>
        </w:rPr>
        <w:t>C</w:t>
      </w:r>
      <w:r>
        <w:rPr>
          <w:i/>
          <w:iCs/>
        </w:rPr>
        <w:t>TI</w:t>
      </w:r>
      <w:r w:rsidRPr="000853B7">
        <w:rPr>
          <w:i/>
          <w:iCs/>
        </w:rPr>
        <w:t xml:space="preserve"> Reconsideration Order</w:t>
      </w:r>
      <w:r>
        <w:t xml:space="preserve">).  And in several later orders, the Commission found carriers apparently violated the slamming rules when their third-party verifications confirmed a change in </w:t>
      </w:r>
      <w:r w:rsidRPr="00441693">
        <w:rPr>
          <w:i/>
          <w:iCs/>
        </w:rPr>
        <w:t>service</w:t>
      </w:r>
      <w:r>
        <w:t xml:space="preserve"> rather than a change in </w:t>
      </w:r>
      <w:r w:rsidRPr="00441693">
        <w:rPr>
          <w:i/>
          <w:iCs/>
        </w:rPr>
        <w:t>carrier</w:t>
      </w:r>
      <w:r>
        <w:t xml:space="preserve">.  These apparent findings were affirmed in subsequent forfeiture orders.  </w:t>
      </w:r>
      <w:r w:rsidRPr="00154521">
        <w:rPr>
          <w:i/>
          <w:iCs/>
        </w:rPr>
        <w:t>See</w:t>
      </w:r>
      <w:r>
        <w:t xml:space="preserve"> </w:t>
      </w:r>
      <w:r w:rsidRPr="004F72B2">
        <w:rPr>
          <w:i/>
          <w:iCs/>
        </w:rPr>
        <w:t>Consumer Telcom, Inc.</w:t>
      </w:r>
      <w:r>
        <w:t xml:space="preserve">, Notice of Apparent Liability for Forfeiture, 28 FCC </w:t>
      </w:r>
      <w:r>
        <w:t>Rcd</w:t>
      </w:r>
      <w:r>
        <w:t xml:space="preserve"> 17196 (2013), Forfeiture Order, 31 FCC </w:t>
      </w:r>
      <w:r>
        <w:t>Rcd</w:t>
      </w:r>
      <w:r>
        <w:t xml:space="preserve"> 10435, 10439-40, para. 10 (2016); </w:t>
      </w:r>
      <w:r w:rsidRPr="00236BEF">
        <w:rPr>
          <w:i/>
        </w:rPr>
        <w:t>Central Telecom Long Distance, Inc.</w:t>
      </w:r>
      <w:r w:rsidRPr="00236BEF">
        <w:t xml:space="preserve">, </w:t>
      </w:r>
      <w:r>
        <w:t xml:space="preserve">Notice of Apparent Liability for Forfeiture, 29 FCC </w:t>
      </w:r>
      <w:r>
        <w:t>Rcd</w:t>
      </w:r>
      <w:r>
        <w:t xml:space="preserve"> 5517 (2014), </w:t>
      </w:r>
      <w:r w:rsidRPr="00236BEF">
        <w:t xml:space="preserve">Forfeiture Order, 31 FCC </w:t>
      </w:r>
      <w:r w:rsidRPr="00236BEF">
        <w:t>Rcd</w:t>
      </w:r>
      <w:r w:rsidRPr="00236BEF">
        <w:t xml:space="preserve"> 10392, 10396-97, para. 10 (2016)</w:t>
      </w:r>
      <w:r>
        <w:t xml:space="preserve"> (</w:t>
      </w:r>
      <w:r w:rsidRPr="000853B7">
        <w:rPr>
          <w:i/>
          <w:iCs/>
        </w:rPr>
        <w:t>Central Forfeiture Order</w:t>
      </w:r>
      <w:r>
        <w:t xml:space="preserve">); </w:t>
      </w:r>
      <w:r w:rsidRPr="004F72B2">
        <w:rPr>
          <w:i/>
          <w:iCs/>
        </w:rPr>
        <w:t>U.S. Telecom</w:t>
      </w:r>
      <w:r>
        <w:rPr>
          <w:i/>
          <w:iCs/>
        </w:rPr>
        <w:t xml:space="preserve"> Long Distance, </w:t>
      </w:r>
      <w:r w:rsidRPr="004F72B2">
        <w:rPr>
          <w:i/>
          <w:iCs/>
        </w:rPr>
        <w:t>Inc.</w:t>
      </w:r>
      <w:r>
        <w:t xml:space="preserve">, Notice of Apparent Liability for Forfeiture, 29 FCC </w:t>
      </w:r>
      <w:r>
        <w:t>Rcd</w:t>
      </w:r>
      <w:r>
        <w:t xml:space="preserve"> 823 (2014), Forfeiture Order, 31 FCC </w:t>
      </w:r>
      <w:r>
        <w:t>Rcd</w:t>
      </w:r>
      <w:r>
        <w:t xml:space="preserve"> 10413, 10417-18, para. 10 (2016); </w:t>
      </w:r>
      <w:r w:rsidRPr="00236BEF">
        <w:rPr>
          <w:i/>
        </w:rPr>
        <w:t>Advantage Telecommunications Corp.</w:t>
      </w:r>
      <w:r w:rsidRPr="00236BEF">
        <w:t xml:space="preserve">, </w:t>
      </w:r>
      <w:r>
        <w:t xml:space="preserve">Notice of Apparent Liability for Forfeiture, 28 FCC </w:t>
      </w:r>
      <w:r>
        <w:t>Rcd</w:t>
      </w:r>
      <w:r>
        <w:t xml:space="preserve"> 6843 (2013); </w:t>
      </w:r>
      <w:r w:rsidRPr="00236BEF">
        <w:t xml:space="preserve">Forfeiture Order, 32 FCC </w:t>
      </w:r>
      <w:r w:rsidRPr="00236BEF">
        <w:t>Rcd</w:t>
      </w:r>
      <w:r w:rsidRPr="00236BEF">
        <w:t xml:space="preserve"> 3723, 3730-31, paras. 20-21 (2017)</w:t>
      </w:r>
      <w:r>
        <w:t xml:space="preserve"> (</w:t>
      </w:r>
      <w:r w:rsidRPr="00A438C2">
        <w:rPr>
          <w:i/>
          <w:iCs/>
        </w:rPr>
        <w:t>Advantage Forfeiture Order</w:t>
      </w:r>
      <w:r>
        <w:t>).</w:t>
      </w:r>
    </w:p>
  </w:footnote>
  <w:footnote w:id="24">
    <w:p w:rsidR="00D77AFD" w:rsidP="00D77AFD" w14:paraId="6323D886" w14:textId="77777777">
      <w:pPr>
        <w:pStyle w:val="FootnoteText"/>
      </w:pPr>
      <w:r>
        <w:rPr>
          <w:rStyle w:val="FootnoteReference"/>
        </w:rPr>
        <w:footnoteRef/>
      </w:r>
      <w:r>
        <w:t xml:space="preserve"> </w:t>
      </w:r>
      <w:r w:rsidRPr="00A13A0B">
        <w:rPr>
          <w:i/>
        </w:rPr>
        <w:t>See, e.g.</w:t>
      </w:r>
      <w:r w:rsidRPr="00A13A0B">
        <w:t>,</w:t>
      </w:r>
      <w:r w:rsidRPr="00A13A0B">
        <w:rPr>
          <w:i/>
        </w:rPr>
        <w:t xml:space="preserve"> </w:t>
      </w:r>
      <w:r w:rsidRPr="00236BEF">
        <w:rPr>
          <w:i/>
        </w:rPr>
        <w:t xml:space="preserve">Advantage </w:t>
      </w:r>
      <w:r>
        <w:rPr>
          <w:i/>
        </w:rPr>
        <w:t>Forfeiture Order</w:t>
      </w:r>
      <w:r w:rsidRPr="00236BEF">
        <w:t xml:space="preserve">, 32 FCC </w:t>
      </w:r>
      <w:r w:rsidRPr="00236BEF">
        <w:t>Rcd</w:t>
      </w:r>
      <w:r w:rsidRPr="00236BEF">
        <w:t xml:space="preserve"> </w:t>
      </w:r>
      <w:r>
        <w:t xml:space="preserve">at </w:t>
      </w:r>
      <w:r w:rsidRPr="00236BEF">
        <w:t>3730-31, paras. 20-21</w:t>
      </w:r>
      <w:r>
        <w:t xml:space="preserve">; </w:t>
      </w:r>
      <w:r w:rsidRPr="00236BEF">
        <w:rPr>
          <w:i/>
        </w:rPr>
        <w:t>Central</w:t>
      </w:r>
      <w:r>
        <w:rPr>
          <w:i/>
        </w:rPr>
        <w:t xml:space="preserve"> Forfeiture Order</w:t>
      </w:r>
      <w:r w:rsidRPr="00236BEF">
        <w:t xml:space="preserve">, 31 FCC </w:t>
      </w:r>
      <w:r w:rsidRPr="00236BEF">
        <w:t>Rcd</w:t>
      </w:r>
      <w:r w:rsidRPr="00236BEF">
        <w:t xml:space="preserve"> </w:t>
      </w:r>
      <w:r>
        <w:t xml:space="preserve">at </w:t>
      </w:r>
      <w:r w:rsidRPr="00236BEF">
        <w:t xml:space="preserve">10396-97, para. 10; </w:t>
      </w:r>
      <w:r w:rsidRPr="00236BEF">
        <w:rPr>
          <w:i/>
        </w:rPr>
        <w:t>see also, e.g</w:t>
      </w:r>
      <w:r w:rsidRPr="00236BEF">
        <w:t xml:space="preserve">., </w:t>
      </w:r>
      <w:r w:rsidRPr="00236BEF">
        <w:rPr>
          <w:i/>
        </w:rPr>
        <w:t>C</w:t>
      </w:r>
      <w:r>
        <w:rPr>
          <w:i/>
        </w:rPr>
        <w:t>TI Reconsideration Order</w:t>
      </w:r>
      <w:r w:rsidRPr="00236BEF">
        <w:t xml:space="preserve">, 27 FCC </w:t>
      </w:r>
      <w:r w:rsidRPr="00236BEF">
        <w:t>Rcd</w:t>
      </w:r>
      <w:r w:rsidRPr="00236BEF">
        <w:t xml:space="preserve"> </w:t>
      </w:r>
      <w:r>
        <w:t xml:space="preserve">at </w:t>
      </w:r>
      <w:r w:rsidRPr="00236BEF">
        <w:t>5345, para. 17</w:t>
      </w:r>
      <w:r>
        <w:t xml:space="preserve">; </w:t>
      </w:r>
      <w:r w:rsidRPr="00236BEF">
        <w:rPr>
          <w:i/>
        </w:rPr>
        <w:t>U.S. Telecom Long Distance, Inc</w:t>
      </w:r>
      <w:r w:rsidRPr="00236BEF">
        <w:t xml:space="preserve">., </w:t>
      </w:r>
      <w:r w:rsidRPr="00236BEF">
        <w:rPr>
          <w:i/>
        </w:rPr>
        <w:t>Complaint Regarding Unauthorized Change of Subscriber’s Telecommunications Carrier</w:t>
      </w:r>
      <w:r w:rsidRPr="00236BEF">
        <w:t xml:space="preserve">, Order, 25 FCC </w:t>
      </w:r>
      <w:r w:rsidRPr="00236BEF">
        <w:t>Rcd</w:t>
      </w:r>
      <w:r w:rsidRPr="00236BEF">
        <w:t xml:space="preserve"> 3135 (CGB 2010). </w:t>
      </w:r>
    </w:p>
  </w:footnote>
  <w:footnote w:id="25">
    <w:p w:rsidR="00D77AFD" w:rsidP="00D77AFD" w14:paraId="71366910" w14:textId="77777777">
      <w:pPr>
        <w:pStyle w:val="FootnoteText"/>
      </w:pPr>
      <w:r>
        <w:rPr>
          <w:rStyle w:val="FootnoteReference"/>
        </w:rPr>
        <w:footnoteRef/>
      </w:r>
      <w:r>
        <w:t xml:space="preserve"> </w:t>
      </w:r>
      <w:r w:rsidRPr="00704F7E">
        <w:rPr>
          <w:i/>
          <w:iCs/>
        </w:rPr>
        <w:t>See</w:t>
      </w:r>
      <w:r>
        <w:t xml:space="preserve"> </w:t>
      </w:r>
      <w:r w:rsidRPr="004F72B2">
        <w:rPr>
          <w:i/>
          <w:iCs/>
        </w:rPr>
        <w:t>Long Distance Consolidated Billing Co</w:t>
      </w:r>
      <w:r>
        <w:rPr>
          <w:i/>
          <w:iCs/>
        </w:rPr>
        <w:t>.</w:t>
      </w:r>
      <w:r>
        <w:t xml:space="preserve">, Notice of Apparent Liability for Forfeiture, 30 FCC </w:t>
      </w:r>
      <w:r>
        <w:t>Rcd</w:t>
      </w:r>
      <w:r>
        <w:t xml:space="preserve"> 8664 (2015) (</w:t>
      </w:r>
      <w:r>
        <w:rPr>
          <w:i/>
          <w:iCs/>
        </w:rPr>
        <w:t>LDCB NAL</w:t>
      </w:r>
      <w:r>
        <w:t xml:space="preserve">), Forfeiture Order, 34 FCC </w:t>
      </w:r>
      <w:r>
        <w:t>Rcd</w:t>
      </w:r>
      <w:r>
        <w:t xml:space="preserve"> 1871, 1880-81, paras. 22-23 (2019) (</w:t>
      </w:r>
      <w:r>
        <w:rPr>
          <w:i/>
          <w:iCs/>
        </w:rPr>
        <w:t>LDCB Forfeiture Order</w:t>
      </w:r>
      <w:r>
        <w:t>).</w:t>
      </w:r>
    </w:p>
  </w:footnote>
  <w:footnote w:id="26">
    <w:p w:rsidR="00D77AFD" w:rsidP="00D77AFD" w14:paraId="4F698997" w14:textId="77777777">
      <w:pPr>
        <w:pStyle w:val="FootnoteText"/>
      </w:pPr>
      <w:r>
        <w:rPr>
          <w:rStyle w:val="FootnoteReference"/>
        </w:rPr>
        <w:footnoteRef/>
      </w:r>
      <w:r>
        <w:t xml:space="preserve"> </w:t>
      </w:r>
      <w:r w:rsidRPr="009F648D">
        <w:rPr>
          <w:i/>
        </w:rPr>
        <w:t>See</w:t>
      </w:r>
      <w:r>
        <w:t xml:space="preserve"> Petition at 4. </w:t>
      </w:r>
    </w:p>
  </w:footnote>
  <w:footnote w:id="27">
    <w:p w:rsidR="00D77AFD" w:rsidP="00D77AFD" w14:paraId="1ED04C96" w14:textId="77777777">
      <w:pPr>
        <w:pStyle w:val="FootnoteText"/>
      </w:pPr>
      <w:r>
        <w:rPr>
          <w:rStyle w:val="FootnoteReference"/>
        </w:rPr>
        <w:footnoteRef/>
      </w:r>
      <w:r>
        <w:t xml:space="preserve"> </w:t>
      </w:r>
      <w:r w:rsidRPr="00D76098">
        <w:rPr>
          <w:i/>
        </w:rPr>
        <w:t>Id.</w:t>
      </w:r>
      <w:r>
        <w:t xml:space="preserve"> at 7. </w:t>
      </w:r>
    </w:p>
  </w:footnote>
  <w:footnote w:id="28">
    <w:p w:rsidR="00D77AFD" w:rsidP="00D77AFD" w14:paraId="3816CB18" w14:textId="77777777">
      <w:pPr>
        <w:pStyle w:val="FootnoteText"/>
      </w:pPr>
      <w:r>
        <w:rPr>
          <w:rStyle w:val="FootnoteReference"/>
        </w:rPr>
        <w:footnoteRef/>
      </w:r>
      <w:r>
        <w:t xml:space="preserve"> </w:t>
      </w:r>
      <w:r w:rsidRPr="00585B5B">
        <w:rPr>
          <w:i/>
          <w:iCs/>
        </w:rPr>
        <w:t xml:space="preserve">Id. </w:t>
      </w:r>
      <w:r>
        <w:t>at 6-7.</w:t>
      </w:r>
    </w:p>
  </w:footnote>
  <w:footnote w:id="29">
    <w:p w:rsidR="00D77AFD" w:rsidP="00D77AFD" w14:paraId="5D7A1ED3" w14:textId="77777777">
      <w:pPr>
        <w:pStyle w:val="FootnoteText"/>
      </w:pPr>
      <w:r>
        <w:rPr>
          <w:rStyle w:val="FootnoteReference"/>
        </w:rPr>
        <w:footnoteRef/>
      </w:r>
      <w:r>
        <w:t xml:space="preserve"> </w:t>
      </w:r>
      <w:r w:rsidRPr="00585B5B">
        <w:rPr>
          <w:i/>
          <w:iCs/>
        </w:rPr>
        <w:t>Id.</w:t>
      </w:r>
    </w:p>
  </w:footnote>
  <w:footnote w:id="30">
    <w:p w:rsidR="00D77AFD" w:rsidP="00D77AFD" w14:paraId="30FD6CF4" w14:textId="77777777">
      <w:pPr>
        <w:pStyle w:val="FootnoteText"/>
      </w:pPr>
      <w:r>
        <w:rPr>
          <w:rStyle w:val="FootnoteReference"/>
        </w:rPr>
        <w:footnoteRef/>
      </w:r>
      <w:r>
        <w:t xml:space="preserve"> </w:t>
      </w:r>
      <w:r w:rsidRPr="00DC59E2">
        <w:rPr>
          <w:i/>
        </w:rPr>
        <w:t>Fourth Report and Order</w:t>
      </w:r>
      <w:r>
        <w:t xml:space="preserve">, 23 FCC </w:t>
      </w:r>
      <w:r>
        <w:t>Rcd</w:t>
      </w:r>
      <w:r>
        <w:t xml:space="preserve"> at 501, para. 19.</w:t>
      </w:r>
    </w:p>
  </w:footnote>
  <w:footnote w:id="31">
    <w:p w:rsidR="00D77AFD" w:rsidRPr="00547CC2" w:rsidP="00D77AFD" w14:paraId="0549A07D" w14:textId="77777777">
      <w:pPr>
        <w:pStyle w:val="FootnoteText"/>
      </w:pPr>
      <w:r>
        <w:rPr>
          <w:rStyle w:val="FootnoteReference"/>
        </w:rPr>
        <w:footnoteRef/>
      </w:r>
      <w:r>
        <w:t xml:space="preserve"> </w:t>
      </w:r>
      <w:r w:rsidRPr="006B6DAF">
        <w:rPr>
          <w:i/>
        </w:rPr>
        <w:t>See</w:t>
      </w:r>
      <w:r w:rsidRPr="006B6DAF">
        <w:t xml:space="preserve"> 47 CFR 64.1150(d) (requiring proof of verification to contain “clear and convincing evidence of a valid authorized carrier change”).</w:t>
      </w:r>
    </w:p>
  </w:footnote>
  <w:footnote w:id="32">
    <w:p w:rsidR="00D77AFD" w:rsidRPr="00697612" w:rsidP="00D77AFD" w14:paraId="749E98B3" w14:textId="77777777">
      <w:pPr>
        <w:pStyle w:val="FootnoteText"/>
      </w:pPr>
      <w:r>
        <w:rPr>
          <w:rStyle w:val="FootnoteReference"/>
        </w:rPr>
        <w:footnoteRef/>
      </w:r>
      <w:r>
        <w:t xml:space="preserve"> </w:t>
      </w:r>
      <w:r w:rsidRPr="002910FD">
        <w:rPr>
          <w:i/>
        </w:rPr>
        <w:t>See, e.g.</w:t>
      </w:r>
      <w:r w:rsidRPr="00793EDA">
        <w:t xml:space="preserve">, </w:t>
      </w:r>
      <w:r w:rsidRPr="007D7604">
        <w:rPr>
          <w:i/>
        </w:rPr>
        <w:t>Advantage</w:t>
      </w:r>
      <w:r>
        <w:rPr>
          <w:i/>
        </w:rPr>
        <w:t xml:space="preserve"> </w:t>
      </w:r>
      <w:r w:rsidRPr="00D824C3">
        <w:rPr>
          <w:i/>
        </w:rPr>
        <w:t>Forfeiture Order</w:t>
      </w:r>
      <w:r>
        <w:t xml:space="preserve">, 32 FCC </w:t>
      </w:r>
      <w:r>
        <w:t>Rcd</w:t>
      </w:r>
      <w:r>
        <w:t xml:space="preserve"> at 3730, para. 21; </w:t>
      </w:r>
      <w:r>
        <w:rPr>
          <w:i/>
        </w:rPr>
        <w:t>see also, e.g.</w:t>
      </w:r>
      <w:r>
        <w:t xml:space="preserve">, </w:t>
      </w:r>
      <w:r w:rsidRPr="003D73A5">
        <w:rPr>
          <w:i/>
        </w:rPr>
        <w:t>Preferred</w:t>
      </w:r>
      <w:r>
        <w:rPr>
          <w:i/>
        </w:rPr>
        <w:t xml:space="preserve"> Long Distance, Inc.,</w:t>
      </w:r>
      <w:r w:rsidRPr="003D73A5">
        <w:rPr>
          <w:i/>
        </w:rPr>
        <w:t xml:space="preserve"> </w:t>
      </w:r>
      <w:r w:rsidRPr="003C6C21">
        <w:t>Forfeiture Order</w:t>
      </w:r>
      <w:r>
        <w:t xml:space="preserve">, 30 FCC </w:t>
      </w:r>
      <w:r>
        <w:t>Rcd</w:t>
      </w:r>
      <w:r>
        <w:t xml:space="preserve"> 13711, 13714, para. 8 (2015).</w:t>
      </w:r>
    </w:p>
  </w:footnote>
  <w:footnote w:id="33">
    <w:p w:rsidR="00D77AFD" w:rsidP="00D77AFD" w14:paraId="0354FB33" w14:textId="77777777">
      <w:pPr>
        <w:pStyle w:val="FootnoteText"/>
      </w:pPr>
      <w:r>
        <w:rPr>
          <w:rStyle w:val="FootnoteReference"/>
        </w:rPr>
        <w:footnoteRef/>
      </w:r>
      <w:r>
        <w:t xml:space="preserve"> Petition at 3-4.</w:t>
      </w:r>
    </w:p>
  </w:footnote>
  <w:footnote w:id="34">
    <w:p w:rsidR="00D77AFD" w:rsidP="00D77AFD" w14:paraId="6E3583DB" w14:textId="77777777">
      <w:pPr>
        <w:pStyle w:val="FootnoteText"/>
      </w:pPr>
      <w:r>
        <w:rPr>
          <w:rStyle w:val="FootnoteReference"/>
        </w:rPr>
        <w:footnoteRef/>
      </w:r>
      <w:r>
        <w:t xml:space="preserve"> </w:t>
      </w:r>
      <w:r w:rsidRPr="00D03C2C">
        <w:rPr>
          <w:i/>
        </w:rPr>
        <w:t>See</w:t>
      </w:r>
      <w:r>
        <w:rPr>
          <w:i/>
        </w:rPr>
        <w:t xml:space="preserve"> </w:t>
      </w:r>
      <w:r>
        <w:t xml:space="preserve">Petition at 8-9; </w:t>
      </w:r>
      <w:r w:rsidRPr="00886A3A">
        <w:rPr>
          <w:i/>
          <w:iCs/>
        </w:rPr>
        <w:t>see also</w:t>
      </w:r>
      <w:r>
        <w:t xml:space="preserve"> </w:t>
      </w:r>
      <w:r w:rsidRPr="003D1649">
        <w:rPr>
          <w:i/>
        </w:rPr>
        <w:t>Long Distance Consolidated Billing Co., Complaints Regarding Unauthorized Change of Subscriber’s Telecommunications Carrier</w:t>
      </w:r>
      <w:r>
        <w:t xml:space="preserve">, Order, 25 FCC </w:t>
      </w:r>
      <w:r>
        <w:t>Rcd</w:t>
      </w:r>
      <w:r>
        <w:t xml:space="preserve"> 1139 (CGB 2010); </w:t>
      </w:r>
      <w:r w:rsidRPr="003D1649">
        <w:rPr>
          <w:i/>
        </w:rPr>
        <w:t>Long Distance Consolidated Billing Co., Complaint Regarding Unauthorized Change of Subscriber’s Telecommunications Carrier</w:t>
      </w:r>
      <w:r>
        <w:t xml:space="preserve">, Order, 24 FCC </w:t>
      </w:r>
      <w:r>
        <w:t>Rcd</w:t>
      </w:r>
      <w:r>
        <w:t xml:space="preserve"> 8870 (CGB 2009). </w:t>
      </w:r>
    </w:p>
  </w:footnote>
  <w:footnote w:id="35">
    <w:p w:rsidR="00D77AFD" w:rsidP="00D77AFD" w14:paraId="16104879" w14:textId="77777777">
      <w:pPr>
        <w:pStyle w:val="FootnoteText"/>
      </w:pPr>
      <w:r>
        <w:rPr>
          <w:rStyle w:val="FootnoteReference"/>
        </w:rPr>
        <w:footnoteRef/>
      </w:r>
      <w:r>
        <w:t xml:space="preserve"> </w:t>
      </w:r>
      <w:r>
        <w:rPr>
          <w:i/>
        </w:rPr>
        <w:t xml:space="preserve">See </w:t>
      </w:r>
      <w:r w:rsidRPr="00256845">
        <w:t>Petition</w:t>
      </w:r>
      <w:r>
        <w:t xml:space="preserve"> at 9. </w:t>
      </w:r>
      <w:r>
        <w:rPr>
          <w:szCs w:val="22"/>
        </w:rPr>
        <w:t xml:space="preserve">  </w:t>
      </w:r>
    </w:p>
  </w:footnote>
  <w:footnote w:id="36">
    <w:p w:rsidR="00D77AFD" w:rsidP="00D77AFD" w14:paraId="09B90155" w14:textId="77777777">
      <w:pPr>
        <w:pStyle w:val="FootnoteText"/>
      </w:pPr>
      <w:r>
        <w:rPr>
          <w:rStyle w:val="FootnoteReference"/>
        </w:rPr>
        <w:footnoteRef/>
      </w:r>
      <w:r>
        <w:t xml:space="preserve"> </w:t>
      </w:r>
      <w:r w:rsidRPr="00D4539F">
        <w:rPr>
          <w:i/>
        </w:rPr>
        <w:t>See</w:t>
      </w:r>
      <w:r>
        <w:rPr>
          <w:i/>
        </w:rPr>
        <w:t xml:space="preserve"> </w:t>
      </w:r>
      <w:r w:rsidRPr="00236BEF">
        <w:rPr>
          <w:i/>
        </w:rPr>
        <w:t>C</w:t>
      </w:r>
      <w:r>
        <w:rPr>
          <w:i/>
        </w:rPr>
        <w:t>TI Reconsideration Order</w:t>
      </w:r>
      <w:r w:rsidRPr="00236BEF">
        <w:t xml:space="preserve">, 27 FCC </w:t>
      </w:r>
      <w:r w:rsidRPr="00236BEF">
        <w:t>Rcd</w:t>
      </w:r>
      <w:r w:rsidRPr="00236BEF">
        <w:t xml:space="preserve"> </w:t>
      </w:r>
      <w:r>
        <w:t xml:space="preserve">at </w:t>
      </w:r>
      <w:r w:rsidRPr="00236BEF">
        <w:t>5345, para. 17</w:t>
      </w:r>
      <w:r>
        <w:t xml:space="preserve">; </w:t>
      </w:r>
      <w:r w:rsidRPr="004642C8">
        <w:rPr>
          <w:i/>
          <w:iCs/>
        </w:rPr>
        <w:t>see also</w:t>
      </w:r>
      <w:r>
        <w:t xml:space="preserve"> Commission orders identified in note 21, </w:t>
      </w:r>
      <w:r w:rsidRPr="004642C8">
        <w:rPr>
          <w:i/>
          <w:iCs/>
        </w:rPr>
        <w:t>supra</w:t>
      </w:r>
      <w:r>
        <w:t>.</w:t>
      </w:r>
    </w:p>
  </w:footnote>
  <w:footnote w:id="37">
    <w:p w:rsidR="00D77AFD" w:rsidRPr="00771138" w:rsidP="00D77AFD" w14:paraId="1974D646" w14:textId="77777777">
      <w:pPr>
        <w:pStyle w:val="FootnoteText"/>
      </w:pPr>
      <w:r>
        <w:rPr>
          <w:rStyle w:val="FootnoteReference"/>
        </w:rPr>
        <w:footnoteRef/>
      </w:r>
      <w:r>
        <w:t xml:space="preserve"> </w:t>
      </w:r>
      <w:r>
        <w:rPr>
          <w:i/>
          <w:iCs/>
        </w:rPr>
        <w:t>See LDCB NAL</w:t>
      </w:r>
      <w:r>
        <w:t xml:space="preserve">, 30 FCC </w:t>
      </w:r>
      <w:r>
        <w:t>Rcd</w:t>
      </w:r>
      <w:r>
        <w:t xml:space="preserve"> at 8664-65, paras. 2-3 (2015).  The Commission subsequently affirmed these apparent findings in a forfeiture order.  </w:t>
      </w:r>
      <w:r w:rsidRPr="003661EA">
        <w:rPr>
          <w:i/>
        </w:rPr>
        <w:t>LDCB Forfeiture Order</w:t>
      </w:r>
      <w:r w:rsidRPr="00771138">
        <w:t xml:space="preserve">, 34 FCC </w:t>
      </w:r>
      <w:r w:rsidRPr="00771138">
        <w:t>Rcd</w:t>
      </w:r>
      <w:r w:rsidRPr="00771138">
        <w:t xml:space="preserve"> </w:t>
      </w:r>
      <w:r>
        <w:t xml:space="preserve">at </w:t>
      </w:r>
      <w:r w:rsidRPr="00771138">
        <w:t>1880-81, paras. 22-23</w:t>
      </w:r>
      <w:r>
        <w:t>.</w:t>
      </w:r>
      <w:r w:rsidRPr="0077113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AF928A" w14:textId="6D1FFB9F">
    <w:pPr>
      <w:pStyle w:val="Header"/>
      <w:rPr>
        <w:b w:val="0"/>
      </w:rPr>
    </w:pPr>
    <w:r>
      <w:tab/>
      <w:t>Federal Communications Commission</w:t>
    </w:r>
    <w:r>
      <w:tab/>
    </w:r>
    <w:r w:rsidR="000D7885">
      <w:t>DA 20-</w:t>
    </w:r>
    <w:r w:rsidR="00615C2D">
      <w:t>1524</w:t>
    </w:r>
  </w:p>
  <w:p w:rsidR="00D25FB5" w14:paraId="0695919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2FF6FC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FA7508" w14:textId="278AA6F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7885">
      <w:rPr>
        <w:spacing w:val="-2"/>
      </w:rPr>
      <w:t>DA 20-</w:t>
    </w:r>
    <w:r>
      <w:rPr>
        <w:spacing w:val="-2"/>
      </w:rPr>
      <w:t>1524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A9E4F48"/>
    <w:multiLevelType w:val="hybridMultilevel"/>
    <w:tmpl w:val="7EF052C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FD"/>
    <w:rsid w:val="0000580C"/>
    <w:rsid w:val="00036039"/>
    <w:rsid w:val="00037F90"/>
    <w:rsid w:val="00063E91"/>
    <w:rsid w:val="00082FFF"/>
    <w:rsid w:val="000853B7"/>
    <w:rsid w:val="000875BF"/>
    <w:rsid w:val="00096D8C"/>
    <w:rsid w:val="000C0B65"/>
    <w:rsid w:val="000D7885"/>
    <w:rsid w:val="000E05FE"/>
    <w:rsid w:val="000E3D42"/>
    <w:rsid w:val="00122BD5"/>
    <w:rsid w:val="00133F79"/>
    <w:rsid w:val="00134662"/>
    <w:rsid w:val="00142D97"/>
    <w:rsid w:val="0014591C"/>
    <w:rsid w:val="00154521"/>
    <w:rsid w:val="00155B33"/>
    <w:rsid w:val="00194A66"/>
    <w:rsid w:val="001A3CF7"/>
    <w:rsid w:val="001C6571"/>
    <w:rsid w:val="001D3CA6"/>
    <w:rsid w:val="001D6BCF"/>
    <w:rsid w:val="001E01CA"/>
    <w:rsid w:val="0023268C"/>
    <w:rsid w:val="00236BEF"/>
    <w:rsid w:val="00256845"/>
    <w:rsid w:val="00275CF5"/>
    <w:rsid w:val="0028301F"/>
    <w:rsid w:val="00285017"/>
    <w:rsid w:val="002910FD"/>
    <w:rsid w:val="002976E0"/>
    <w:rsid w:val="002A2D2E"/>
    <w:rsid w:val="002C00E8"/>
    <w:rsid w:val="00304170"/>
    <w:rsid w:val="00343749"/>
    <w:rsid w:val="003660ED"/>
    <w:rsid w:val="003661EA"/>
    <w:rsid w:val="00383252"/>
    <w:rsid w:val="00397624"/>
    <w:rsid w:val="003B0550"/>
    <w:rsid w:val="003B694F"/>
    <w:rsid w:val="003C6C21"/>
    <w:rsid w:val="003D1649"/>
    <w:rsid w:val="003D73A5"/>
    <w:rsid w:val="003F171C"/>
    <w:rsid w:val="00412FC5"/>
    <w:rsid w:val="00422276"/>
    <w:rsid w:val="004242F1"/>
    <w:rsid w:val="00441693"/>
    <w:rsid w:val="00445A00"/>
    <w:rsid w:val="00451B0F"/>
    <w:rsid w:val="004642C8"/>
    <w:rsid w:val="00494BB4"/>
    <w:rsid w:val="004B40D7"/>
    <w:rsid w:val="004C2EE3"/>
    <w:rsid w:val="004E4A22"/>
    <w:rsid w:val="004F72B2"/>
    <w:rsid w:val="00511968"/>
    <w:rsid w:val="00547CC2"/>
    <w:rsid w:val="0055614C"/>
    <w:rsid w:val="00566D06"/>
    <w:rsid w:val="00585B5B"/>
    <w:rsid w:val="005E14C2"/>
    <w:rsid w:val="005E1920"/>
    <w:rsid w:val="00607BA5"/>
    <w:rsid w:val="0061180A"/>
    <w:rsid w:val="00615C2D"/>
    <w:rsid w:val="00626EB6"/>
    <w:rsid w:val="00627414"/>
    <w:rsid w:val="00652ABC"/>
    <w:rsid w:val="006531FD"/>
    <w:rsid w:val="00655D03"/>
    <w:rsid w:val="00683388"/>
    <w:rsid w:val="00683F84"/>
    <w:rsid w:val="00685828"/>
    <w:rsid w:val="006873BC"/>
    <w:rsid w:val="00697612"/>
    <w:rsid w:val="006A6A81"/>
    <w:rsid w:val="006B6DAF"/>
    <w:rsid w:val="006F7393"/>
    <w:rsid w:val="0070224F"/>
    <w:rsid w:val="00704BD8"/>
    <w:rsid w:val="00704F7E"/>
    <w:rsid w:val="007115F7"/>
    <w:rsid w:val="00771138"/>
    <w:rsid w:val="00781638"/>
    <w:rsid w:val="00784206"/>
    <w:rsid w:val="00785689"/>
    <w:rsid w:val="00793EDA"/>
    <w:rsid w:val="0079754B"/>
    <w:rsid w:val="007A1E6D"/>
    <w:rsid w:val="007B0EB2"/>
    <w:rsid w:val="007B59E5"/>
    <w:rsid w:val="007D7604"/>
    <w:rsid w:val="007E5FD4"/>
    <w:rsid w:val="0080092E"/>
    <w:rsid w:val="00810B6F"/>
    <w:rsid w:val="00820FF0"/>
    <w:rsid w:val="00822CE0"/>
    <w:rsid w:val="00841AB1"/>
    <w:rsid w:val="00886A3A"/>
    <w:rsid w:val="008C13F9"/>
    <w:rsid w:val="008C68F1"/>
    <w:rsid w:val="008C76AF"/>
    <w:rsid w:val="008D476B"/>
    <w:rsid w:val="00921803"/>
    <w:rsid w:val="00926503"/>
    <w:rsid w:val="00947D26"/>
    <w:rsid w:val="009726D8"/>
    <w:rsid w:val="00980476"/>
    <w:rsid w:val="00993D17"/>
    <w:rsid w:val="00995F03"/>
    <w:rsid w:val="009B1AFF"/>
    <w:rsid w:val="009B6F2B"/>
    <w:rsid w:val="009D7308"/>
    <w:rsid w:val="009F648D"/>
    <w:rsid w:val="009F76DB"/>
    <w:rsid w:val="00A13A0B"/>
    <w:rsid w:val="00A32C3B"/>
    <w:rsid w:val="00A438C2"/>
    <w:rsid w:val="00A45F4F"/>
    <w:rsid w:val="00A600A9"/>
    <w:rsid w:val="00AA55B7"/>
    <w:rsid w:val="00AA5B9E"/>
    <w:rsid w:val="00AB0BBA"/>
    <w:rsid w:val="00AB2407"/>
    <w:rsid w:val="00AB53DF"/>
    <w:rsid w:val="00AD2179"/>
    <w:rsid w:val="00B07E5C"/>
    <w:rsid w:val="00B811F7"/>
    <w:rsid w:val="00BA5DC6"/>
    <w:rsid w:val="00BA6196"/>
    <w:rsid w:val="00BC6D8C"/>
    <w:rsid w:val="00BF25FF"/>
    <w:rsid w:val="00C34006"/>
    <w:rsid w:val="00C34963"/>
    <w:rsid w:val="00C36B4C"/>
    <w:rsid w:val="00C41115"/>
    <w:rsid w:val="00C426B1"/>
    <w:rsid w:val="00C66160"/>
    <w:rsid w:val="00C721AC"/>
    <w:rsid w:val="00C90D6A"/>
    <w:rsid w:val="00CA247E"/>
    <w:rsid w:val="00CA49D3"/>
    <w:rsid w:val="00CA6D21"/>
    <w:rsid w:val="00CB2CDD"/>
    <w:rsid w:val="00CC3CCC"/>
    <w:rsid w:val="00CC5022"/>
    <w:rsid w:val="00CC62FD"/>
    <w:rsid w:val="00CC72B6"/>
    <w:rsid w:val="00D0218D"/>
    <w:rsid w:val="00D03AAC"/>
    <w:rsid w:val="00D03C2C"/>
    <w:rsid w:val="00D10985"/>
    <w:rsid w:val="00D25FB5"/>
    <w:rsid w:val="00D2614F"/>
    <w:rsid w:val="00D44223"/>
    <w:rsid w:val="00D4539F"/>
    <w:rsid w:val="00D76098"/>
    <w:rsid w:val="00D77AFD"/>
    <w:rsid w:val="00D824C3"/>
    <w:rsid w:val="00DA2529"/>
    <w:rsid w:val="00DB130A"/>
    <w:rsid w:val="00DB2EBB"/>
    <w:rsid w:val="00DC10A1"/>
    <w:rsid w:val="00DC59E2"/>
    <w:rsid w:val="00DC655F"/>
    <w:rsid w:val="00DD0B59"/>
    <w:rsid w:val="00DD7EBD"/>
    <w:rsid w:val="00DF62B6"/>
    <w:rsid w:val="00E07225"/>
    <w:rsid w:val="00E5409F"/>
    <w:rsid w:val="00EE6488"/>
    <w:rsid w:val="00F021FA"/>
    <w:rsid w:val="00F62E97"/>
    <w:rsid w:val="00F64209"/>
    <w:rsid w:val="00F7398D"/>
    <w:rsid w:val="00F86EDB"/>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7A8DB9E-E3C0-419E-9D81-C1BD61D1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Footnote Text Char Char2 Char Char,Footnote Text Char1,Footnote Text Char1 Char Char,Footnote Text Char2 Char,Footnote Text Char2 Char1 Char Char Char Char,Footnote Text Char4 Char Char Char Char,fn Ch"/>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D77AFD"/>
    <w:pPr>
      <w:jc w:val="center"/>
    </w:pPr>
    <w:rPr>
      <w:b/>
    </w:rPr>
  </w:style>
  <w:style w:type="character" w:customStyle="1" w:styleId="TitleChar">
    <w:name w:val="Title Char"/>
    <w:basedOn w:val="DefaultParagraphFont"/>
    <w:link w:val="Title"/>
    <w:rsid w:val="00D77AFD"/>
    <w:rPr>
      <w:b/>
      <w:snapToGrid w:val="0"/>
      <w:kern w:val="28"/>
      <w:sz w:val="22"/>
    </w:rPr>
  </w:style>
  <w:style w:type="paragraph" w:styleId="Subtitle">
    <w:name w:val="Subtitle"/>
    <w:basedOn w:val="Normal"/>
    <w:link w:val="SubtitleChar"/>
    <w:qFormat/>
    <w:rsid w:val="00D77AFD"/>
    <w:pPr>
      <w:ind w:firstLine="720"/>
      <w:jc w:val="center"/>
    </w:pPr>
    <w:rPr>
      <w:b/>
    </w:rPr>
  </w:style>
  <w:style w:type="character" w:customStyle="1" w:styleId="SubtitleChar">
    <w:name w:val="Subtitle Char"/>
    <w:basedOn w:val="DefaultParagraphFont"/>
    <w:link w:val="Subtitle"/>
    <w:rsid w:val="00D77AFD"/>
    <w:rPr>
      <w:b/>
      <w:snapToGrid w:val="0"/>
      <w:kern w:val="28"/>
      <w:sz w:val="22"/>
    </w:rPr>
  </w:style>
  <w:style w:type="character" w:customStyle="1" w:styleId="FootnoteTextChar2">
    <w:name w:val="Footnote Text Char2"/>
    <w:aliases w:val="Footnote Text Char Char,Footnote Text Char Char2 Char Char Char,Footnote Text Char1 Char Char Char,Footnote Text Char2 Char Char,Footnote Text Char2 Char1 Char Char Char Char Char,Footnote Text Char4 Char Char Char Char Char"/>
    <w:link w:val="FootnoteText"/>
    <w:locked/>
    <w:rsid w:val="00D7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