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73E3" w:rsidRPr="00BE70CC" w:rsidP="002659F3" w14:paraId="0BE69F4C" w14:textId="77777777">
      <w:pPr>
        <w:widowControl/>
        <w:jc w:val="center"/>
        <w:rPr>
          <w:b/>
        </w:rPr>
      </w:pPr>
      <w:r w:rsidRPr="00BE70CC">
        <w:rPr>
          <w:b/>
          <w:kern w:val="0"/>
          <w:szCs w:val="22"/>
        </w:rPr>
        <w:t>Before</w:t>
      </w:r>
      <w:r w:rsidRPr="00BE70CC">
        <w:rPr>
          <w:b/>
        </w:rPr>
        <w:t xml:space="preserve"> the</w:t>
      </w:r>
    </w:p>
    <w:p w:rsidR="00E273E3" w:rsidRPr="00BE70CC" w:rsidP="002659F3" w14:paraId="2979E9F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2659F3" w14:paraId="4511B43F" w14:textId="0FA312DB">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DC</w:t>
      </w:r>
      <w:r w:rsidRPr="00BE70CC">
        <w:rPr>
          <w:rFonts w:ascii="Times New Roman" w:hAnsi="Times New Roman"/>
        </w:rPr>
        <w:t xml:space="preserve"> 20554</w:t>
      </w:r>
    </w:p>
    <w:p w:rsidR="00E273E3" w:rsidRPr="00BE70CC" w:rsidP="002659F3" w14:paraId="533CB6F8" w14:textId="77777777">
      <w:pPr>
        <w:widowControl/>
      </w:pPr>
    </w:p>
    <w:tbl>
      <w:tblPr>
        <w:tblW w:w="0" w:type="auto"/>
        <w:tblLayout w:type="fixed"/>
        <w:tblLook w:val="0000"/>
      </w:tblPr>
      <w:tblGrid>
        <w:gridCol w:w="4698"/>
        <w:gridCol w:w="630"/>
        <w:gridCol w:w="4248"/>
      </w:tblGrid>
      <w:tr w14:paraId="4902640F" w14:textId="77777777">
        <w:tblPrEx>
          <w:tblW w:w="0" w:type="auto"/>
          <w:tblLayout w:type="fixed"/>
          <w:tblLook w:val="0000"/>
        </w:tblPrEx>
        <w:tc>
          <w:tcPr>
            <w:tcW w:w="4698" w:type="dxa"/>
          </w:tcPr>
          <w:p w:rsidR="00E273E3" w:rsidRPr="00BE70CC" w:rsidP="002659F3" w14:paraId="5B441904" w14:textId="77777777">
            <w:pPr>
              <w:widowControl/>
              <w:suppressAutoHyphens/>
              <w:rPr>
                <w:spacing w:val="-2"/>
              </w:rPr>
            </w:pPr>
            <w:r w:rsidRPr="00BE70CC">
              <w:rPr>
                <w:spacing w:val="-2"/>
              </w:rPr>
              <w:t>In the Matter of</w:t>
            </w:r>
          </w:p>
          <w:p w:rsidR="00E273E3" w:rsidRPr="00BE70CC" w:rsidP="002659F3" w14:paraId="5E808EE2" w14:textId="77777777">
            <w:pPr>
              <w:widowControl/>
              <w:suppressAutoHyphens/>
              <w:rPr>
                <w:spacing w:val="-2"/>
              </w:rPr>
            </w:pPr>
          </w:p>
          <w:p w:rsidR="00E273E3" w:rsidP="002659F3" w14:paraId="04F66B8B" w14:textId="29D9FD9E">
            <w:pPr>
              <w:widowControl/>
              <w:suppressAutoHyphens/>
              <w:rPr>
                <w:spacing w:val="-2"/>
              </w:rPr>
            </w:pPr>
            <w:r>
              <w:rPr>
                <w:spacing w:val="-2"/>
              </w:rPr>
              <w:t>W.W. Grainger</w:t>
            </w:r>
            <w:r w:rsidR="00F43C3A">
              <w:rPr>
                <w:spacing w:val="-2"/>
              </w:rPr>
              <w:t xml:space="preserve">, Inc. </w:t>
            </w:r>
          </w:p>
          <w:p w:rsidR="00A50C00" w:rsidP="002659F3" w14:paraId="7C885523" w14:textId="2040B252">
            <w:pPr>
              <w:widowControl/>
              <w:suppressAutoHyphens/>
              <w:rPr>
                <w:spacing w:val="-2"/>
              </w:rPr>
            </w:pPr>
            <w:r>
              <w:rPr>
                <w:spacing w:val="-2"/>
              </w:rPr>
              <w:t xml:space="preserve">d/b/a </w:t>
            </w:r>
            <w:r w:rsidR="009875C6">
              <w:rPr>
                <w:spacing w:val="-2"/>
              </w:rPr>
              <w:t>Grainger</w:t>
            </w:r>
            <w:r w:rsidR="00BB0983">
              <w:rPr>
                <w:spacing w:val="-2"/>
              </w:rPr>
              <w:t xml:space="preserve">   </w:t>
            </w:r>
          </w:p>
          <w:p w:rsidR="00A50C00" w:rsidP="002659F3" w14:paraId="15370EE9" w14:textId="77777777">
            <w:pPr>
              <w:widowControl/>
              <w:suppressAutoHyphens/>
              <w:rPr>
                <w:spacing w:val="-2"/>
              </w:rPr>
            </w:pPr>
          </w:p>
          <w:p w:rsidR="00A50C00" w:rsidP="002659F3" w14:paraId="7C43C966" w14:textId="77777777">
            <w:pPr>
              <w:widowControl/>
              <w:suppressAutoHyphens/>
              <w:rPr>
                <w:spacing w:val="-2"/>
              </w:rPr>
            </w:pPr>
          </w:p>
          <w:p w:rsidR="00A50C00" w:rsidP="002659F3" w14:paraId="4F923634" w14:textId="77777777">
            <w:pPr>
              <w:widowControl/>
              <w:suppressAutoHyphens/>
              <w:rPr>
                <w:spacing w:val="-2"/>
              </w:rPr>
            </w:pPr>
          </w:p>
          <w:p w:rsidR="00A50C00" w:rsidRPr="00BE70CC" w:rsidP="002659F3" w14:paraId="37365550" w14:textId="77777777">
            <w:pPr>
              <w:widowControl/>
              <w:suppressAutoHyphens/>
              <w:rPr>
                <w:spacing w:val="-2"/>
              </w:rPr>
            </w:pPr>
          </w:p>
        </w:tc>
        <w:tc>
          <w:tcPr>
            <w:tcW w:w="630" w:type="dxa"/>
          </w:tcPr>
          <w:p w:rsidR="00E273E3" w:rsidRPr="00BE70CC" w:rsidP="002659F3" w14:paraId="3A73B189" w14:textId="77777777">
            <w:pPr>
              <w:widowControl/>
              <w:suppressAutoHyphens/>
              <w:rPr>
                <w:spacing w:val="-2"/>
              </w:rPr>
            </w:pPr>
            <w:r w:rsidRPr="00BE70CC">
              <w:rPr>
                <w:spacing w:val="-2"/>
              </w:rPr>
              <w:t>)</w:t>
            </w:r>
          </w:p>
          <w:p w:rsidR="00E273E3" w:rsidRPr="00BE70CC" w:rsidP="002659F3" w14:paraId="036E9596" w14:textId="77777777">
            <w:pPr>
              <w:widowControl/>
              <w:suppressAutoHyphens/>
              <w:rPr>
                <w:spacing w:val="-2"/>
              </w:rPr>
            </w:pPr>
            <w:r w:rsidRPr="00BE70CC">
              <w:rPr>
                <w:spacing w:val="-2"/>
              </w:rPr>
              <w:t>)</w:t>
            </w:r>
          </w:p>
          <w:p w:rsidR="00E273E3" w:rsidRPr="00BE70CC" w:rsidP="002659F3" w14:paraId="446D538A" w14:textId="77777777">
            <w:pPr>
              <w:widowControl/>
              <w:suppressAutoHyphens/>
              <w:rPr>
                <w:spacing w:val="-2"/>
              </w:rPr>
            </w:pPr>
            <w:r w:rsidRPr="00BE70CC">
              <w:rPr>
                <w:spacing w:val="-2"/>
              </w:rPr>
              <w:t>)</w:t>
            </w:r>
          </w:p>
          <w:p w:rsidR="00E273E3" w:rsidRPr="00BE70CC" w:rsidP="002659F3" w14:paraId="312AA9E1" w14:textId="77777777">
            <w:pPr>
              <w:widowControl/>
              <w:suppressAutoHyphens/>
              <w:rPr>
                <w:spacing w:val="-2"/>
              </w:rPr>
            </w:pPr>
            <w:r w:rsidRPr="00BE70CC">
              <w:rPr>
                <w:spacing w:val="-2"/>
              </w:rPr>
              <w:t>)</w:t>
            </w:r>
          </w:p>
          <w:p w:rsidR="00E273E3" w:rsidRPr="00BE70CC" w:rsidP="002659F3" w14:paraId="4CC3E0EC" w14:textId="77777777">
            <w:pPr>
              <w:widowControl/>
              <w:suppressAutoHyphens/>
              <w:rPr>
                <w:spacing w:val="-2"/>
              </w:rPr>
            </w:pPr>
          </w:p>
        </w:tc>
        <w:tc>
          <w:tcPr>
            <w:tcW w:w="4248" w:type="dxa"/>
          </w:tcPr>
          <w:p w:rsidR="00E273E3" w:rsidRPr="00BE70CC" w:rsidP="002659F3" w14:paraId="1198A2D1" w14:textId="77777777">
            <w:pPr>
              <w:widowControl/>
              <w:suppressAutoHyphens/>
              <w:rPr>
                <w:spacing w:val="-2"/>
              </w:rPr>
            </w:pPr>
          </w:p>
          <w:p w:rsidR="00E273E3" w:rsidRPr="00BE70CC" w:rsidP="002659F3" w14:paraId="27AAE0AD" w14:textId="77777777">
            <w:pPr>
              <w:widowControl/>
              <w:suppressAutoHyphens/>
              <w:rPr>
                <w:spacing w:val="-2"/>
              </w:rPr>
            </w:pPr>
          </w:p>
          <w:p w:rsidR="00E273E3" w:rsidRPr="00BE70CC" w:rsidP="00EE05DB" w14:paraId="617A21E4" w14:textId="66E0D00E">
            <w:pPr>
              <w:widowControl/>
              <w:suppressAutoHyphens/>
              <w:ind w:left="432"/>
              <w:rPr>
                <w:spacing w:val="-2"/>
              </w:rPr>
            </w:pPr>
            <w:r w:rsidRPr="00BE70CC">
              <w:rPr>
                <w:spacing w:val="-2"/>
              </w:rPr>
              <w:t>File No.:  EB-</w:t>
            </w:r>
            <w:r w:rsidR="00A50C00">
              <w:rPr>
                <w:spacing w:val="-2"/>
              </w:rPr>
              <w:t>SED-</w:t>
            </w:r>
            <w:bookmarkStart w:id="0" w:name="_Hlk54262207"/>
            <w:r w:rsidR="009875C6">
              <w:rPr>
                <w:spacing w:val="-2"/>
              </w:rPr>
              <w:t>19</w:t>
            </w:r>
            <w:r w:rsidR="00A50C00">
              <w:rPr>
                <w:spacing w:val="-2"/>
              </w:rPr>
              <w:t>-0002</w:t>
            </w:r>
            <w:r w:rsidR="00BC0A15">
              <w:rPr>
                <w:spacing w:val="-2"/>
              </w:rPr>
              <w:t>9062</w:t>
            </w:r>
            <w:bookmarkEnd w:id="0"/>
          </w:p>
          <w:p w:rsidR="00E273E3" w:rsidRPr="00BE70CC" w:rsidP="007B2014" w14:paraId="257307E3" w14:textId="77777777">
            <w:pPr>
              <w:widowControl/>
              <w:suppressAutoHyphens/>
              <w:ind w:left="432"/>
              <w:rPr>
                <w:spacing w:val="-2"/>
              </w:rPr>
            </w:pPr>
          </w:p>
        </w:tc>
      </w:tr>
    </w:tbl>
    <w:p w:rsidR="00E273E3" w:rsidRPr="00BE70CC" w:rsidP="002659F3" w14:paraId="7BC5700F" w14:textId="77777777">
      <w:pPr>
        <w:pStyle w:val="StyleBoldCentered"/>
        <w:widowControl/>
        <w:spacing w:after="220"/>
      </w:pPr>
      <w:r w:rsidRPr="00BE70CC">
        <w:t xml:space="preserve">CITATION AND </w:t>
      </w:r>
      <w:r w:rsidRPr="00BE70CC">
        <w:t>ORDER</w:t>
      </w:r>
    </w:p>
    <w:p w:rsidR="005321F0" w:rsidRPr="00BE70CC" w:rsidP="005321F0" w14:paraId="6068DCC5" w14:textId="77777777">
      <w:pPr>
        <w:spacing w:after="240"/>
        <w:jc w:val="center"/>
        <w:rPr>
          <w:b/>
          <w:szCs w:val="22"/>
        </w:rPr>
      </w:pPr>
      <w:r>
        <w:rPr>
          <w:b/>
          <w:szCs w:val="22"/>
        </w:rPr>
        <w:t>ILLEGAL MARKETING OF UNAUTHORIZED RADIO FREQUENCY DEVICES</w:t>
      </w:r>
    </w:p>
    <w:p w:rsidR="00E273E3" w:rsidRPr="00BE70CC" w:rsidP="00226191" w14:paraId="31EA4C02" w14:textId="4F282CEF">
      <w:pPr>
        <w:widowControl/>
        <w:tabs>
          <w:tab w:val="right" w:pos="9360"/>
        </w:tabs>
        <w:suppressAutoHyphens/>
        <w:rPr>
          <w:spacing w:val="-2"/>
        </w:rPr>
      </w:pPr>
      <w:r w:rsidRPr="00BE70CC">
        <w:rPr>
          <w:b/>
          <w:spacing w:val="-2"/>
        </w:rPr>
        <w:t xml:space="preserve">Adopted:  </w:t>
      </w:r>
      <w:r w:rsidR="000863F5">
        <w:rPr>
          <w:b/>
          <w:spacing w:val="-2"/>
        </w:rPr>
        <w:t>December 2</w:t>
      </w:r>
      <w:r w:rsidR="00F51CF8">
        <w:rPr>
          <w:b/>
          <w:spacing w:val="-2"/>
        </w:rPr>
        <w:t>9</w:t>
      </w:r>
      <w:r w:rsidR="000863F5">
        <w:rPr>
          <w:b/>
          <w:spacing w:val="-2"/>
        </w:rPr>
        <w:t>, 2020</w:t>
      </w:r>
      <w:r w:rsidRPr="00BE70CC" w:rsidR="006D2212">
        <w:rPr>
          <w:b/>
          <w:spacing w:val="-2"/>
        </w:rPr>
        <w:tab/>
        <w:t xml:space="preserve">Released:  </w:t>
      </w:r>
      <w:r w:rsidR="000863F5">
        <w:rPr>
          <w:b/>
          <w:spacing w:val="-2"/>
        </w:rPr>
        <w:t>December 2</w:t>
      </w:r>
      <w:r w:rsidR="00F51CF8">
        <w:rPr>
          <w:b/>
          <w:spacing w:val="-2"/>
        </w:rPr>
        <w:t>9</w:t>
      </w:r>
      <w:r w:rsidR="000863F5">
        <w:rPr>
          <w:b/>
          <w:spacing w:val="-2"/>
        </w:rPr>
        <w:t>, 2020</w:t>
      </w:r>
    </w:p>
    <w:p w:rsidR="00E273E3" w:rsidRPr="00BE70CC" w:rsidP="00EE05DB" w14:paraId="0472A56C" w14:textId="77777777">
      <w:pPr>
        <w:widowControl/>
        <w:jc w:val="center"/>
      </w:pPr>
    </w:p>
    <w:p w:rsidR="00E273E3" w:rsidRPr="00BE70CC" w:rsidP="002659F3" w14:paraId="3D40D8A8" w14:textId="77777777">
      <w:pPr>
        <w:widowControl/>
        <w:rPr>
          <w:spacing w:val="-2"/>
        </w:rPr>
      </w:pPr>
      <w:r w:rsidRPr="00BE70CC">
        <w:t xml:space="preserve">By the </w:t>
      </w:r>
      <w:r w:rsidR="008C22CD">
        <w:t>C</w:t>
      </w:r>
      <w:r w:rsidRPr="006D73F2" w:rsidR="00EE36BE">
        <w:rPr>
          <w:spacing w:val="-2"/>
          <w:szCs w:val="22"/>
        </w:rPr>
        <w:t xml:space="preserve">hief, </w:t>
      </w:r>
      <w:r w:rsidR="008C22CD">
        <w:rPr>
          <w:spacing w:val="-2"/>
          <w:szCs w:val="22"/>
        </w:rPr>
        <w:t xml:space="preserve">Spectrum </w:t>
      </w:r>
      <w:r w:rsidRPr="006D73F2" w:rsidR="00EE36BE">
        <w:rPr>
          <w:spacing w:val="-2"/>
          <w:szCs w:val="22"/>
        </w:rPr>
        <w:t xml:space="preserve">Enforcement </w:t>
      </w:r>
      <w:r w:rsidR="008C22CD">
        <w:rPr>
          <w:spacing w:val="-2"/>
          <w:szCs w:val="22"/>
        </w:rPr>
        <w:t>Division</w:t>
      </w:r>
      <w:r w:rsidRPr="006D73F2" w:rsidR="00EE36BE">
        <w:rPr>
          <w:spacing w:val="-2"/>
          <w:szCs w:val="22"/>
        </w:rPr>
        <w:t>:</w:t>
      </w:r>
    </w:p>
    <w:p w:rsidR="00E273E3" w:rsidRPr="00BE70CC" w:rsidP="002659F3" w14:paraId="7BC47640" w14:textId="77777777">
      <w:pPr>
        <w:widowControl/>
        <w:rPr>
          <w:spacing w:val="-2"/>
        </w:rPr>
      </w:pPr>
    </w:p>
    <w:p w:rsidR="00E273E3" w:rsidRPr="00BE70CC" w:rsidP="00226191" w14:paraId="3AF9718F" w14:textId="77777777">
      <w:pPr>
        <w:pStyle w:val="Heading1"/>
      </w:pPr>
      <w:bookmarkStart w:id="1" w:name="_Toc379288998"/>
      <w:bookmarkStart w:id="2" w:name="_Toc379365499"/>
      <w:r w:rsidRPr="00BE70CC">
        <w:t>NOTICE OF CITATION</w:t>
      </w:r>
      <w:bookmarkEnd w:id="1"/>
      <w:bookmarkEnd w:id="2"/>
    </w:p>
    <w:p w:rsidR="007B7456" w:rsidP="00D73846" w14:paraId="0E863B9E" w14:textId="120ABB44">
      <w:pPr>
        <w:pStyle w:val="ParaNum"/>
      </w:pPr>
      <w:r>
        <w:t>T</w:t>
      </w:r>
      <w:r w:rsidRPr="00BE70CC" w:rsidR="00500FF2">
        <w:t xml:space="preserve">his </w:t>
      </w:r>
      <w:r w:rsidRPr="00FD683D" w:rsidR="00500FF2">
        <w:rPr>
          <w:b/>
        </w:rPr>
        <w:t>CITATION AND ORDER</w:t>
      </w:r>
      <w:r w:rsidRPr="00FD683D" w:rsidR="00716E89">
        <w:rPr>
          <w:b/>
        </w:rPr>
        <w:t xml:space="preserve"> </w:t>
      </w:r>
      <w:r w:rsidRPr="00BE70CC" w:rsidR="00716E89">
        <w:t>(Citation)</w:t>
      </w:r>
      <w:r>
        <w:t>, notifies</w:t>
      </w:r>
      <w:r w:rsidRPr="00BE70CC" w:rsidR="00500FF2">
        <w:t xml:space="preserve"> </w:t>
      </w:r>
      <w:r w:rsidR="00BC0A15">
        <w:t>W.W. Grainger</w:t>
      </w:r>
      <w:r w:rsidR="007B2014">
        <w:t xml:space="preserve">, Inc. </w:t>
      </w:r>
      <w:r w:rsidR="00FA3150">
        <w:t xml:space="preserve">d/b/a </w:t>
      </w:r>
      <w:r w:rsidR="00BC0A15">
        <w:t xml:space="preserve">Grainger </w:t>
      </w:r>
      <w:r w:rsidR="00FA3150">
        <w:t>(“</w:t>
      </w:r>
      <w:r w:rsidR="00BC0A15">
        <w:t>Grainger</w:t>
      </w:r>
      <w:r w:rsidR="00CD5E89">
        <w:t>”</w:t>
      </w:r>
      <w:r w:rsidR="00140D78">
        <w:t xml:space="preserve"> or </w:t>
      </w:r>
      <w:r w:rsidR="00CD5E89">
        <w:t>“</w:t>
      </w:r>
      <w:r w:rsidR="00140D78">
        <w:t>Company</w:t>
      </w:r>
      <w:r w:rsidR="00FA3150">
        <w:t xml:space="preserve">”) </w:t>
      </w:r>
      <w:r w:rsidRPr="00BE70CC" w:rsidR="00500FF2">
        <w:t>that it</w:t>
      </w:r>
      <w:r w:rsidR="00CD5E89">
        <w:t xml:space="preserve"> unlawfully</w:t>
      </w:r>
      <w:r w:rsidRPr="00BE70CC" w:rsidR="00500FF2">
        <w:t xml:space="preserve"> </w:t>
      </w:r>
      <w:r w:rsidR="00D20072">
        <w:t xml:space="preserve">marketed </w:t>
      </w:r>
      <w:r w:rsidR="002F142A">
        <w:t>a</w:t>
      </w:r>
      <w:r w:rsidR="0072148D">
        <w:t xml:space="preserve"> </w:t>
      </w:r>
      <w:r w:rsidR="00D20072">
        <w:t xml:space="preserve">radio frequency </w:t>
      </w:r>
      <w:r w:rsidR="0072148D">
        <w:t xml:space="preserve">device </w:t>
      </w:r>
      <w:r w:rsidR="00B84BF8">
        <w:t xml:space="preserve">that </w:t>
      </w:r>
      <w:r w:rsidR="00F12E01">
        <w:t>was</w:t>
      </w:r>
      <w:r w:rsidR="008E58DE">
        <w:t xml:space="preserve"> capable of </w:t>
      </w:r>
      <w:r w:rsidR="00B84BF8">
        <w:t>operat</w:t>
      </w:r>
      <w:r w:rsidR="008E58DE">
        <w:t>ing</w:t>
      </w:r>
      <w:r w:rsidR="00B84BF8">
        <w:t xml:space="preserve"> outside the scope of </w:t>
      </w:r>
      <w:r w:rsidR="008E58DE">
        <w:t>its</w:t>
      </w:r>
      <w:r w:rsidR="00B84BF8">
        <w:t xml:space="preserve"> equipment authorization</w:t>
      </w:r>
      <w:r w:rsidR="00FD683D">
        <w:t>.</w:t>
      </w:r>
      <w:r w:rsidR="00210CFA">
        <w:t xml:space="preserve">  </w:t>
      </w:r>
      <w:r w:rsidR="00583565">
        <w:t xml:space="preserve">Specifically, </w:t>
      </w:r>
      <w:r w:rsidR="0008476A">
        <w:t>Grainger</w:t>
      </w:r>
      <w:r w:rsidR="0072148D">
        <w:t xml:space="preserve"> marketed</w:t>
      </w:r>
      <w:r w:rsidR="007A0AB7">
        <w:t xml:space="preserve"> </w:t>
      </w:r>
      <w:r w:rsidR="001117C0">
        <w:t>a device,</w:t>
      </w:r>
      <w:r w:rsidR="0072148D">
        <w:t xml:space="preserve"> </w:t>
      </w:r>
      <w:r w:rsidR="003B67AF">
        <w:t>model</w:t>
      </w:r>
      <w:r w:rsidR="0008476A">
        <w:t xml:space="preserve"> AP224</w:t>
      </w:r>
      <w:r w:rsidR="001117C0">
        <w:t>, that operated on restricted frequencies</w:t>
      </w:r>
      <w:r>
        <w:rPr>
          <w:rStyle w:val="FootnoteReference"/>
        </w:rPr>
        <w:footnoteReference w:id="3"/>
      </w:r>
      <w:r w:rsidR="00BB3A65">
        <w:t xml:space="preserve"> </w:t>
      </w:r>
      <w:r w:rsidR="00F334F3">
        <w:t xml:space="preserve">in </w:t>
      </w:r>
      <w:r w:rsidR="0072148D">
        <w:t xml:space="preserve">violation of </w:t>
      </w:r>
      <w:r w:rsidR="00A25819">
        <w:t>section</w:t>
      </w:r>
      <w:r w:rsidR="00FD683D">
        <w:t xml:space="preserve"> 302(b) of the Communications Act, as amended (Act), and</w:t>
      </w:r>
      <w:r w:rsidR="0006585B">
        <w:t xml:space="preserve"> </w:t>
      </w:r>
      <w:r w:rsidRPr="0074777A" w:rsidR="0006585B">
        <w:t>sections 2.803(b)</w:t>
      </w:r>
      <w:r w:rsidRPr="0074777A" w:rsidR="00177E4B">
        <w:t xml:space="preserve"> and </w:t>
      </w:r>
      <w:r w:rsidRPr="0074777A" w:rsidR="003D638D">
        <w:t xml:space="preserve">15.205(a) </w:t>
      </w:r>
      <w:r w:rsidR="0006585B">
        <w:t>of the Commission’s rules</w:t>
      </w:r>
      <w:r w:rsidR="00CB1425">
        <w:t>.</w:t>
      </w:r>
      <w:r>
        <w:rPr>
          <w:rStyle w:val="FootnoteReference"/>
        </w:rPr>
        <w:footnoteReference w:id="4"/>
      </w:r>
      <w:r>
        <w:t xml:space="preserve">  </w:t>
      </w:r>
      <w:r w:rsidRPr="005B1AA0">
        <w:rPr>
          <w:szCs w:val="22"/>
        </w:rPr>
        <w:t>We</w:t>
      </w:r>
      <w:r>
        <w:t xml:space="preserve"> therefore direct </w:t>
      </w:r>
      <w:r w:rsidR="00055DD2">
        <w:t xml:space="preserve">Grainger </w:t>
      </w:r>
      <w:r w:rsidR="00DB5196">
        <w:t>to take immediate steps to compl</w:t>
      </w:r>
      <w:r w:rsidR="00CD5E89">
        <w:t>y</w:t>
      </w:r>
      <w:r w:rsidR="00DB5196">
        <w:t xml:space="preserve"> with the Commission’s</w:t>
      </w:r>
      <w:r w:rsidR="00DB091B">
        <w:t xml:space="preserve"> equipment authorization and marketing</w:t>
      </w:r>
      <w:r w:rsidR="00DB5196">
        <w:t xml:space="preserve"> rules and </w:t>
      </w:r>
      <w:r w:rsidR="00FA60B4">
        <w:t xml:space="preserve">to </w:t>
      </w:r>
      <w:r w:rsidR="00DB5196">
        <w:t xml:space="preserve">cease marketing </w:t>
      </w:r>
      <w:r w:rsidR="00CD5E89">
        <w:t xml:space="preserve">any </w:t>
      </w:r>
      <w:r w:rsidR="00DB5196">
        <w:t xml:space="preserve">unauthorized </w:t>
      </w:r>
      <w:r w:rsidR="00E5508C">
        <w:t xml:space="preserve">radio frequency </w:t>
      </w:r>
      <w:r w:rsidR="00DB5196">
        <w:t>devices in the United States.</w:t>
      </w:r>
      <w:r w:rsidR="00A855A8">
        <w:t xml:space="preserve">  If the Company fails to compl</w:t>
      </w:r>
      <w:r w:rsidR="0072148D">
        <w:t>y</w:t>
      </w:r>
      <w:r w:rsidR="00A855A8">
        <w:t xml:space="preserve"> with these laws, it may be liable for significant fines up to $</w:t>
      </w:r>
      <w:r w:rsidR="0072148D">
        <w:t>20</w:t>
      </w:r>
      <w:r w:rsidR="00957EAF">
        <w:t>,</w:t>
      </w:r>
      <w:r w:rsidR="00E71B56">
        <w:t>489</w:t>
      </w:r>
      <w:r w:rsidR="0072148D">
        <w:t xml:space="preserve"> per day </w:t>
      </w:r>
      <w:r w:rsidR="00B60707">
        <w:t>for each unauthorized model marketed, as well as</w:t>
      </w:r>
      <w:r w:rsidR="0072148D">
        <w:t xml:space="preserve"> other sanctions.</w:t>
      </w:r>
      <w:r>
        <w:rPr>
          <w:rStyle w:val="FootnoteReference"/>
        </w:rPr>
        <w:footnoteReference w:id="5"/>
      </w:r>
      <w:r w:rsidR="00DB5196">
        <w:t xml:space="preserve"> </w:t>
      </w:r>
      <w:r>
        <w:t xml:space="preserve">  </w:t>
      </w:r>
      <w:r w:rsidR="0071648A">
        <w:t xml:space="preserve"> </w:t>
      </w:r>
    </w:p>
    <w:p w:rsidR="008B27C1" w:rsidRPr="005B1AA0" w:rsidP="00D73846" w14:paraId="4EA9C682" w14:textId="1CA6164C">
      <w:pPr>
        <w:pStyle w:val="ParaNum"/>
      </w:pPr>
      <w:r w:rsidRPr="007823C8">
        <w:rPr>
          <w:b/>
          <w:i/>
        </w:rPr>
        <w:t xml:space="preserve">Notice of Duty to Comply with </w:t>
      </w:r>
      <w:r w:rsidRPr="007823C8" w:rsidR="00F6754D">
        <w:rPr>
          <w:b/>
          <w:i/>
        </w:rPr>
        <w:t>the Law</w:t>
      </w:r>
      <w:r w:rsidRPr="00BE70CC">
        <w:t xml:space="preserve">:  </w:t>
      </w:r>
      <w:r w:rsidRPr="00BE70CC" w:rsidR="00716E89">
        <w:t xml:space="preserve">We issue this Citation pursuant to </w:t>
      </w:r>
      <w:r w:rsidR="00A25819">
        <w:t>section</w:t>
      </w:r>
      <w:r w:rsidRPr="00BE70CC" w:rsidR="00716E89">
        <w:t xml:space="preserve"> 503(b)(5) of the Act, which </w:t>
      </w:r>
      <w:r w:rsidRPr="00BE70CC" w:rsidR="00727F4F">
        <w:t xml:space="preserve">states that the Commission may not impose </w:t>
      </w:r>
      <w:r w:rsidRPr="00BE70CC" w:rsidR="00716E89">
        <w:t>monetary forfeitures against non-</w:t>
      </w:r>
      <w:r w:rsidRPr="00BE70CC" w:rsidR="00716E89">
        <w:t>regulatees</w:t>
      </w:r>
      <w:r w:rsidRPr="00BE70CC" w:rsidR="00716E89">
        <w:t xml:space="preserve"> who violate Commission rules or the Act</w:t>
      </w:r>
      <w:r w:rsidRPr="00BE70CC" w:rsidR="00727F4F">
        <w:t xml:space="preserve"> </w:t>
      </w:r>
      <w:r w:rsidRPr="00BE70CC" w:rsidR="00C42D39">
        <w:t>unless and until</w:t>
      </w:r>
      <w:r w:rsidRPr="00BE70CC" w:rsidR="00BF39AF">
        <w:t xml:space="preserve">: </w:t>
      </w:r>
      <w:r w:rsidRPr="00BE70CC" w:rsidR="00716E89">
        <w:t>(a)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6"/>
      </w:r>
      <w:r w:rsidRPr="00BE70CC" w:rsidR="00716E89">
        <w:t xml:space="preserve">  </w:t>
      </w:r>
      <w:r w:rsidRPr="00BE70CC" w:rsidR="006E6234">
        <w:t xml:space="preserve">Accordingly, </w:t>
      </w:r>
      <w:r w:rsidR="00CA44F7">
        <w:t>Grainger</w:t>
      </w:r>
      <w:r w:rsidR="007C596A">
        <w:t xml:space="preserve"> </w:t>
      </w:r>
      <w:r w:rsidRPr="007823C8" w:rsidR="00BF790E">
        <w:rPr>
          <w:kern w:val="2"/>
        </w:rPr>
        <w:t xml:space="preserve">is hereby on notice that it must comply with </w:t>
      </w:r>
      <w:r w:rsidR="00A25819">
        <w:rPr>
          <w:kern w:val="2"/>
        </w:rPr>
        <w:t>section</w:t>
      </w:r>
      <w:r w:rsidRPr="007823C8" w:rsidR="007C596A">
        <w:rPr>
          <w:kern w:val="2"/>
        </w:rPr>
        <w:t xml:space="preserve"> 302</w:t>
      </w:r>
      <w:r w:rsidRPr="007823C8" w:rsidR="008B20CB">
        <w:rPr>
          <w:kern w:val="2"/>
        </w:rPr>
        <w:t>(b)</w:t>
      </w:r>
      <w:r w:rsidRPr="007823C8" w:rsidR="007C596A">
        <w:rPr>
          <w:kern w:val="2"/>
        </w:rPr>
        <w:t xml:space="preserve"> of the Act and </w:t>
      </w:r>
      <w:r w:rsidRPr="007823C8" w:rsidR="008F1D72">
        <w:rPr>
          <w:kern w:val="2"/>
        </w:rPr>
        <w:t>sections</w:t>
      </w:r>
      <w:r w:rsidRPr="007823C8" w:rsidR="00CB1425">
        <w:rPr>
          <w:kern w:val="2"/>
        </w:rPr>
        <w:t xml:space="preserve"> </w:t>
      </w:r>
      <w:r w:rsidR="008F1D72">
        <w:t>2.803(b</w:t>
      </w:r>
      <w:r w:rsidRPr="001E7F66" w:rsidR="008F1D72">
        <w:t>)</w:t>
      </w:r>
      <w:r w:rsidRPr="001E7F66" w:rsidR="00A42F5E">
        <w:t xml:space="preserve"> and 15.205</w:t>
      </w:r>
      <w:r w:rsidRPr="001E7F66" w:rsidR="008F1D72">
        <w:t>(a)</w:t>
      </w:r>
      <w:r w:rsidR="00A42F5E">
        <w:t xml:space="preserve"> </w:t>
      </w:r>
      <w:r w:rsidRPr="007823C8" w:rsidR="00CB1425">
        <w:rPr>
          <w:color w:val="000000"/>
          <w:kern w:val="2"/>
        </w:rPr>
        <w:t>o</w:t>
      </w:r>
      <w:r w:rsidRPr="007823C8" w:rsidR="0027183B">
        <w:rPr>
          <w:color w:val="000000"/>
          <w:kern w:val="2"/>
        </w:rPr>
        <w:t>f the</w:t>
      </w:r>
      <w:r w:rsidRPr="007823C8" w:rsidR="007C596A">
        <w:rPr>
          <w:color w:val="000000"/>
          <w:kern w:val="2"/>
        </w:rPr>
        <w:t xml:space="preserve"> </w:t>
      </w:r>
      <w:r w:rsidRPr="007823C8" w:rsidR="00C42D39">
        <w:rPr>
          <w:color w:val="000000"/>
          <w:kern w:val="2"/>
        </w:rPr>
        <w:t>Commission’s rules</w:t>
      </w:r>
      <w:r w:rsidRPr="007823C8" w:rsidR="00BF790E">
        <w:rPr>
          <w:color w:val="000000"/>
          <w:kern w:val="2"/>
        </w:rPr>
        <w:t>.</w:t>
      </w:r>
      <w:r>
        <w:rPr>
          <w:rStyle w:val="FootnoteReference"/>
          <w:kern w:val="2"/>
        </w:rPr>
        <w:footnoteReference w:id="7"/>
      </w:r>
      <w:r w:rsidRPr="007823C8" w:rsidR="00BF790E">
        <w:rPr>
          <w:color w:val="000000"/>
          <w:kern w:val="2"/>
        </w:rPr>
        <w:t xml:space="preserve">  I</w:t>
      </w:r>
      <w:r w:rsidRPr="00BE70CC" w:rsidR="00BF790E">
        <w:t xml:space="preserve">f </w:t>
      </w:r>
      <w:r w:rsidR="00CA44F7">
        <w:t>Grainger</w:t>
      </w:r>
      <w:r w:rsidR="00140D78">
        <w:t xml:space="preserve"> </w:t>
      </w:r>
      <w:r w:rsidRPr="007823C8" w:rsidR="00BF790E">
        <w:rPr>
          <w:kern w:val="2"/>
        </w:rPr>
        <w:t xml:space="preserve">subsequently engages in any conduct of the type </w:t>
      </w:r>
      <w:r w:rsidRPr="007823C8" w:rsidR="00C42D39">
        <w:rPr>
          <w:kern w:val="2"/>
        </w:rPr>
        <w:t>this Citation describes</w:t>
      </w:r>
      <w:r w:rsidRPr="007823C8" w:rsidR="00BF790E">
        <w:rPr>
          <w:kern w:val="2"/>
        </w:rPr>
        <w:t xml:space="preserve"> —</w:t>
      </w:r>
      <w:r w:rsidRPr="007823C8" w:rsidR="00C42D39">
        <w:rPr>
          <w:kern w:val="2"/>
        </w:rPr>
        <w:t xml:space="preserve"> </w:t>
      </w:r>
      <w:r w:rsidRPr="007823C8" w:rsidR="00BF790E">
        <w:rPr>
          <w:kern w:val="2"/>
        </w:rPr>
        <w:t xml:space="preserve">specifically any violation of </w:t>
      </w:r>
      <w:r w:rsidR="00A25819">
        <w:rPr>
          <w:kern w:val="2"/>
        </w:rPr>
        <w:t>section</w:t>
      </w:r>
      <w:r w:rsidRPr="007823C8" w:rsidR="009221B3">
        <w:rPr>
          <w:kern w:val="2"/>
        </w:rPr>
        <w:t xml:space="preserve"> 3</w:t>
      </w:r>
      <w:r w:rsidRPr="007823C8" w:rsidR="007C596A">
        <w:rPr>
          <w:kern w:val="2"/>
        </w:rPr>
        <w:t xml:space="preserve">02(b) of the Act and </w:t>
      </w:r>
      <w:r w:rsidRPr="007823C8" w:rsidR="008F1D72">
        <w:rPr>
          <w:kern w:val="2"/>
        </w:rPr>
        <w:t>sections</w:t>
      </w:r>
      <w:r w:rsidRPr="007823C8" w:rsidR="00CB1425">
        <w:rPr>
          <w:kern w:val="2"/>
        </w:rPr>
        <w:t xml:space="preserve"> </w:t>
      </w:r>
      <w:r w:rsidR="008F1D72">
        <w:t>2.803(b)</w:t>
      </w:r>
      <w:r w:rsidR="008C47A6">
        <w:t xml:space="preserve"> and</w:t>
      </w:r>
      <w:r w:rsidR="008F1D72">
        <w:t xml:space="preserve"> </w:t>
      </w:r>
      <w:r w:rsidR="008D4F79">
        <w:t xml:space="preserve">15.205(a) </w:t>
      </w:r>
      <w:r w:rsidRPr="007823C8" w:rsidR="00CB1425">
        <w:rPr>
          <w:color w:val="000000"/>
          <w:kern w:val="2"/>
        </w:rPr>
        <w:t>of the Commission’s rules</w:t>
      </w:r>
      <w:r w:rsidRPr="007823C8" w:rsidR="00CB1425">
        <w:rPr>
          <w:kern w:val="2"/>
        </w:rPr>
        <w:t xml:space="preserve"> </w:t>
      </w:r>
      <w:r w:rsidRPr="00BE70CC" w:rsidR="00BF790E">
        <w:t>—</w:t>
      </w:r>
      <w:r w:rsidRPr="00BE70CC" w:rsidR="00C42D39">
        <w:t xml:space="preserve"> </w:t>
      </w:r>
      <w:r w:rsidR="00AD22BF">
        <w:t>Grainger</w:t>
      </w:r>
      <w:r w:rsidR="00140D78">
        <w:rPr>
          <w:kern w:val="2"/>
        </w:rPr>
        <w:t xml:space="preserve"> </w:t>
      </w:r>
      <w:r w:rsidRPr="007823C8" w:rsidR="00BF790E">
        <w:rPr>
          <w:kern w:val="2"/>
        </w:rPr>
        <w:t xml:space="preserve">may be subject to civil penalties, including but not limited to, substantial </w:t>
      </w:r>
      <w:r w:rsidRPr="007823C8" w:rsidR="00BF790E">
        <w:rPr>
          <w:kern w:val="2"/>
        </w:rPr>
        <w:t>monetary forfeitures</w:t>
      </w:r>
      <w:r w:rsidRPr="007823C8" w:rsidR="007C596A">
        <w:rPr>
          <w:kern w:val="2"/>
        </w:rPr>
        <w:t xml:space="preserve">. </w:t>
      </w:r>
      <w:r w:rsidR="00042936">
        <w:rPr>
          <w:kern w:val="2"/>
        </w:rPr>
        <w:t xml:space="preserve"> </w:t>
      </w:r>
      <w:r w:rsidRPr="007823C8" w:rsidR="00BF790E">
        <w:rPr>
          <w:kern w:val="2"/>
        </w:rPr>
        <w:t>In assessing such forfeitures, the Commission may consider both the conduct that led to this Citation and the conduct following it.</w:t>
      </w:r>
      <w:r>
        <w:rPr>
          <w:kern w:val="2"/>
          <w:vertAlign w:val="superscript"/>
        </w:rPr>
        <w:footnoteReference w:id="8"/>
      </w:r>
      <w:r w:rsidRPr="007823C8" w:rsidR="00F6754D">
        <w:rPr>
          <w:i/>
        </w:rPr>
        <w:t xml:space="preserve">  </w:t>
      </w:r>
      <w:r w:rsidR="00AD22BF">
        <w:rPr>
          <w:iCs/>
        </w:rPr>
        <w:t>Grainger</w:t>
      </w:r>
      <w:r w:rsidR="00B158B0">
        <w:rPr>
          <w:iCs/>
        </w:rPr>
        <w:t xml:space="preserve"> </w:t>
      </w:r>
      <w:r w:rsidRPr="00C2636D" w:rsidR="00396B4F">
        <w:rPr>
          <w:iCs/>
        </w:rPr>
        <w:t xml:space="preserve">should take immediate </w:t>
      </w:r>
      <w:r w:rsidRPr="00C2636D" w:rsidR="00042A0B">
        <w:rPr>
          <w:iCs/>
        </w:rPr>
        <w:t xml:space="preserve">steps </w:t>
      </w:r>
      <w:r w:rsidRPr="00C2636D" w:rsidR="00396B4F">
        <w:rPr>
          <w:iCs/>
        </w:rPr>
        <w:t xml:space="preserve">to ensure that all </w:t>
      </w:r>
      <w:r w:rsidRPr="00C2636D" w:rsidR="00670576">
        <w:rPr>
          <w:iCs/>
        </w:rPr>
        <w:t>radio</w:t>
      </w:r>
      <w:r w:rsidRPr="00C2636D" w:rsidR="00C25354">
        <w:rPr>
          <w:iCs/>
        </w:rPr>
        <w:t xml:space="preserve"> </w:t>
      </w:r>
      <w:r w:rsidRPr="00C2636D" w:rsidR="00670576">
        <w:rPr>
          <w:iCs/>
        </w:rPr>
        <w:t xml:space="preserve">frequency </w:t>
      </w:r>
      <w:r w:rsidRPr="00C2636D" w:rsidR="00396B4F">
        <w:rPr>
          <w:iCs/>
        </w:rPr>
        <w:t>equipment in its inventory</w:t>
      </w:r>
      <w:r w:rsidRPr="00C2636D" w:rsidR="00D4443E">
        <w:rPr>
          <w:iCs/>
        </w:rPr>
        <w:t xml:space="preserve"> that is marketed to U.S. consumers</w:t>
      </w:r>
      <w:r w:rsidRPr="00C2636D" w:rsidR="00396B4F">
        <w:rPr>
          <w:iCs/>
        </w:rPr>
        <w:t xml:space="preserve"> </w:t>
      </w:r>
      <w:r w:rsidRPr="00C2636D" w:rsidR="00042A0B">
        <w:rPr>
          <w:iCs/>
        </w:rPr>
        <w:t>is authorized</w:t>
      </w:r>
      <w:r w:rsidRPr="00C2636D" w:rsidR="00D4443E">
        <w:rPr>
          <w:iCs/>
        </w:rPr>
        <w:t xml:space="preserve"> </w:t>
      </w:r>
      <w:r w:rsidRPr="00C2636D" w:rsidR="00670576">
        <w:rPr>
          <w:iCs/>
        </w:rPr>
        <w:t>for sale in the United States</w:t>
      </w:r>
      <w:r w:rsidRPr="00C2636D" w:rsidR="00042936">
        <w:rPr>
          <w:iCs/>
        </w:rPr>
        <w:t xml:space="preserve"> and compli</w:t>
      </w:r>
      <w:r w:rsidRPr="00C2636D" w:rsidR="00B60707">
        <w:rPr>
          <w:iCs/>
        </w:rPr>
        <w:t>ant</w:t>
      </w:r>
      <w:r w:rsidRPr="00C2636D" w:rsidR="00042936">
        <w:rPr>
          <w:iCs/>
        </w:rPr>
        <w:t xml:space="preserve"> with </w:t>
      </w:r>
      <w:r w:rsidRPr="00C2636D" w:rsidR="00B60707">
        <w:rPr>
          <w:iCs/>
        </w:rPr>
        <w:t>all</w:t>
      </w:r>
      <w:r w:rsidRPr="00C2636D" w:rsidR="00042936">
        <w:rPr>
          <w:iCs/>
        </w:rPr>
        <w:t xml:space="preserve"> applicable rules</w:t>
      </w:r>
      <w:r w:rsidRPr="00C2636D" w:rsidR="00670576">
        <w:rPr>
          <w:iCs/>
        </w:rPr>
        <w:t>.</w:t>
      </w:r>
    </w:p>
    <w:p w:rsidR="00E273E3" w:rsidRPr="00BE70CC" w:rsidP="005B1AA0" w14:paraId="62314636" w14:textId="77777777">
      <w:pPr>
        <w:pStyle w:val="Heading1"/>
      </w:pPr>
      <w:bookmarkStart w:id="3" w:name="_Toc379288999"/>
      <w:bookmarkStart w:id="4" w:name="_Toc379365500"/>
      <w:r>
        <w:t>Background</w:t>
      </w:r>
      <w:bookmarkEnd w:id="3"/>
      <w:bookmarkEnd w:id="4"/>
    </w:p>
    <w:p w:rsidR="003666A7" w:rsidP="003666A7" w14:paraId="3C467CB2" w14:textId="4628D624">
      <w:pPr>
        <w:pStyle w:val="ParaNum"/>
        <w:tabs>
          <w:tab w:val="left" w:pos="1440"/>
        </w:tabs>
      </w:pPr>
      <w:r>
        <w:t>To best accommodate the diversity of radio communication needs, the Commission partitions radio frequency spectrum, and creates different radio services, each with different operating parameters.  The Commission also implements a certification process designed to ensure that radio</w:t>
      </w:r>
      <w:r w:rsidR="00690EDB">
        <w:t xml:space="preserve"> </w:t>
      </w:r>
      <w:r>
        <w:t>frequency devices</w:t>
      </w:r>
      <w:r w:rsidR="00E01499">
        <w:t xml:space="preserve"> that intentionally emit radio waves</w:t>
      </w:r>
      <w:r>
        <w:t xml:space="preserve"> meet</w:t>
      </w:r>
      <w:r w:rsidR="00B96494">
        <w:t xml:space="preserve"> </w:t>
      </w:r>
      <w:r>
        <w:t xml:space="preserve">various </w:t>
      </w:r>
      <w:r w:rsidR="00AB49A2">
        <w:t xml:space="preserve">operating </w:t>
      </w:r>
      <w:r>
        <w:t xml:space="preserve">requirements, including power levels, </w:t>
      </w:r>
      <w:r w:rsidR="002218A8">
        <w:t xml:space="preserve">frequency </w:t>
      </w:r>
      <w:r w:rsidR="00956738">
        <w:t>band limits</w:t>
      </w:r>
      <w:r w:rsidR="002218A8">
        <w:t xml:space="preserve">, </w:t>
      </w:r>
      <w:r>
        <w:t>and channel bandwidth.</w:t>
      </w:r>
      <w:r w:rsidR="00EB6BFB">
        <w:t xml:space="preserve">  </w:t>
      </w:r>
      <w:r w:rsidR="00A4014C">
        <w:t>Unlicensed r</w:t>
      </w:r>
      <w:r w:rsidR="00BB3A65">
        <w:t xml:space="preserve">adio </w:t>
      </w:r>
      <w:r w:rsidR="00A4014C">
        <w:t>f</w:t>
      </w:r>
      <w:r w:rsidR="00BB3A65">
        <w:t>requenc</w:t>
      </w:r>
      <w:r w:rsidR="00C25354">
        <w:t>y</w:t>
      </w:r>
      <w:r w:rsidR="00BB3A65">
        <w:t xml:space="preserve"> devices must operate within the technical parameters established in the Commission’s rules because they can easily ca</w:t>
      </w:r>
      <w:r w:rsidR="00DE27E7">
        <w:t>u</w:t>
      </w:r>
      <w:r w:rsidR="00BB3A65">
        <w:t>se interference to federal government and licensed communications systems.</w:t>
      </w:r>
      <w:r w:rsidR="00A4014C">
        <w:t xml:space="preserve">  For example, </w:t>
      </w:r>
      <w:r w:rsidR="00A4014C">
        <w:rPr>
          <w:szCs w:val="22"/>
        </w:rPr>
        <w:t>unlicensed radio frequency devices are restricted from operating in specific frequency bands because they could cause harmful interference to authorized services—including public safety services—in those bands.</w:t>
      </w:r>
    </w:p>
    <w:p w:rsidR="00527518" w:rsidP="005F4BFF" w14:paraId="714D74CE" w14:textId="0066FA29">
      <w:pPr>
        <w:pStyle w:val="ParaNum"/>
        <w:tabs>
          <w:tab w:val="left" w:pos="1440"/>
        </w:tabs>
      </w:pPr>
      <w:r w:rsidRPr="00E047A9">
        <w:t>Grainger</w:t>
      </w:r>
      <w:r w:rsidRPr="00E047A9" w:rsidR="00B158B0">
        <w:t xml:space="preserve"> </w:t>
      </w:r>
      <w:r w:rsidRPr="00E047A9" w:rsidR="00A57EE8">
        <w:t xml:space="preserve">is </w:t>
      </w:r>
      <w:r w:rsidRPr="00E047A9" w:rsidR="00DE27E7">
        <w:t xml:space="preserve">a </w:t>
      </w:r>
      <w:r w:rsidRPr="00E047A9" w:rsidR="00A57EE8">
        <w:t xml:space="preserve">corporation based in </w:t>
      </w:r>
      <w:r w:rsidRPr="00E047A9">
        <w:t xml:space="preserve">Illinois </w:t>
      </w:r>
      <w:r w:rsidRPr="00E047A9" w:rsidR="00A57EE8">
        <w:t xml:space="preserve">that </w:t>
      </w:r>
      <w:r w:rsidRPr="00E047A9" w:rsidR="0033167F">
        <w:t>markets maintenance, repair</w:t>
      </w:r>
      <w:r w:rsidR="00F047C8">
        <w:t>,</w:t>
      </w:r>
      <w:r w:rsidRPr="00E047A9" w:rsidR="0033167F">
        <w:t xml:space="preserve"> and operating</w:t>
      </w:r>
      <w:r w:rsidRPr="00E047A9" w:rsidR="00E047A9">
        <w:t xml:space="preserve"> (MRO)</w:t>
      </w:r>
      <w:r w:rsidRPr="00E047A9" w:rsidR="0033167F">
        <w:t xml:space="preserve"> </w:t>
      </w:r>
      <w:r w:rsidRPr="00E047A9" w:rsidR="005B753D">
        <w:t>supplies</w:t>
      </w:r>
      <w:r w:rsidRPr="00E047A9" w:rsidR="00E047A9">
        <w:t>,</w:t>
      </w:r>
      <w:r w:rsidRPr="00E047A9" w:rsidR="005B753D">
        <w:t xml:space="preserve"> and other </w:t>
      </w:r>
      <w:r w:rsidRPr="00E047A9" w:rsidR="00E047A9">
        <w:t>related product</w:t>
      </w:r>
      <w:r w:rsidR="002769BF">
        <w:t>s</w:t>
      </w:r>
      <w:r w:rsidRPr="00E047A9" w:rsidR="00E047A9">
        <w:t xml:space="preserve"> and </w:t>
      </w:r>
      <w:r w:rsidRPr="00E047A9" w:rsidR="005B753D">
        <w:t>services as a business-to-business distributor.</w:t>
      </w:r>
      <w:r w:rsidR="00456394">
        <w:t xml:space="preserve"> </w:t>
      </w:r>
      <w:r w:rsidR="00F46BFC">
        <w:t xml:space="preserve"> </w:t>
      </w:r>
      <w:r w:rsidR="00581E3D">
        <w:rPr>
          <w:rFonts w:eastAsia="Calibri"/>
          <w:color w:val="201F1E"/>
          <w:bdr w:val="none" w:sz="0" w:space="0" w:color="auto" w:frame="1"/>
        </w:rPr>
        <w:t>T</w:t>
      </w:r>
      <w:r w:rsidR="002769BF">
        <w:t xml:space="preserve">he Spectrum Enforcement Division (Division) </w:t>
      </w:r>
      <w:r w:rsidRPr="005F4BFF" w:rsidR="003666A7">
        <w:rPr>
          <w:rFonts w:eastAsia="Calibri"/>
          <w:color w:val="201F1E"/>
          <w:bdr w:val="none" w:sz="0" w:space="0" w:color="auto" w:frame="1"/>
        </w:rPr>
        <w:t xml:space="preserve">received a complaint alleging that certain wireless devices were capable of transmitting in the Satellite Digital Audio Radio Service (SDARS) band, and in some cases, causing interference with services in that band.  One such device mentioned in the complaint was the AP224 </w:t>
      </w:r>
      <w:r w:rsidRPr="005F4BFF" w:rsidR="00991509">
        <w:rPr>
          <w:rFonts w:eastAsia="Calibri"/>
          <w:color w:val="201F1E"/>
          <w:bdr w:val="none" w:sz="0" w:space="0" w:color="auto" w:frame="1"/>
        </w:rPr>
        <w:t xml:space="preserve">wireless </w:t>
      </w:r>
      <w:r w:rsidR="00C3302C">
        <w:rPr>
          <w:rFonts w:eastAsia="Calibri"/>
          <w:color w:val="201F1E"/>
          <w:bdr w:val="none" w:sz="0" w:space="0" w:color="auto" w:frame="1"/>
        </w:rPr>
        <w:t>access point</w:t>
      </w:r>
      <w:r w:rsidRPr="005F4BFF" w:rsidR="003666A7">
        <w:rPr>
          <w:rFonts w:eastAsia="Calibri"/>
          <w:color w:val="201F1E"/>
          <w:bdr w:val="none" w:sz="0" w:space="0" w:color="auto" w:frame="1"/>
        </w:rPr>
        <w:t xml:space="preserve"> </w:t>
      </w:r>
      <w:r w:rsidRPr="005F4BFF" w:rsidR="00991509">
        <w:rPr>
          <w:rFonts w:eastAsia="Calibri"/>
          <w:color w:val="201F1E"/>
          <w:bdr w:val="none" w:sz="0" w:space="0" w:color="auto" w:frame="1"/>
        </w:rPr>
        <w:t>marketed</w:t>
      </w:r>
      <w:r w:rsidRPr="005F4BFF" w:rsidR="003666A7">
        <w:rPr>
          <w:rFonts w:eastAsia="Calibri"/>
          <w:color w:val="201F1E"/>
          <w:bdr w:val="none" w:sz="0" w:space="0" w:color="auto" w:frame="1"/>
        </w:rPr>
        <w:t xml:space="preserve"> by </w:t>
      </w:r>
      <w:r w:rsidRPr="005F4BFF" w:rsidR="00991509">
        <w:rPr>
          <w:rFonts w:eastAsia="Calibri"/>
          <w:color w:val="201F1E"/>
          <w:bdr w:val="none" w:sz="0" w:space="0" w:color="auto" w:frame="1"/>
        </w:rPr>
        <w:t>Grainger</w:t>
      </w:r>
      <w:r w:rsidRPr="005F4BFF" w:rsidR="005E4805">
        <w:rPr>
          <w:rFonts w:eastAsia="Calibri"/>
          <w:color w:val="201F1E"/>
          <w:bdr w:val="none" w:sz="0" w:space="0" w:color="auto" w:frame="1"/>
        </w:rPr>
        <w:t>.</w:t>
      </w:r>
    </w:p>
    <w:p w:rsidR="003744FB" w:rsidP="00630B7C" w14:paraId="5B10FB72" w14:textId="0705BB80">
      <w:pPr>
        <w:pStyle w:val="ParaNum"/>
        <w:tabs>
          <w:tab w:val="left" w:pos="1530"/>
        </w:tabs>
      </w:pPr>
      <w:r>
        <w:t>In response to th</w:t>
      </w:r>
      <w:r w:rsidR="00CD04E1">
        <w:t>is</w:t>
      </w:r>
      <w:r>
        <w:t xml:space="preserve"> complaint, t</w:t>
      </w:r>
      <w:r w:rsidR="000B2355">
        <w:t xml:space="preserve">he Division </w:t>
      </w:r>
      <w:r w:rsidR="006401C5">
        <w:t>issued a</w:t>
      </w:r>
      <w:r w:rsidR="005A6BA7">
        <w:t>n initial</w:t>
      </w:r>
      <w:r w:rsidR="006401C5">
        <w:t xml:space="preserve"> </w:t>
      </w:r>
      <w:r w:rsidR="000B2355">
        <w:t>letter of inquiry</w:t>
      </w:r>
      <w:r w:rsidR="00C662A0">
        <w:t xml:space="preserve"> (LOI)</w:t>
      </w:r>
      <w:r w:rsidR="000B2355">
        <w:t xml:space="preserve"> to </w:t>
      </w:r>
      <w:r w:rsidR="005646C7">
        <w:t>Grai</w:t>
      </w:r>
      <w:r w:rsidR="00E01D17">
        <w:t xml:space="preserve">nger </w:t>
      </w:r>
      <w:r w:rsidR="000B2355">
        <w:t xml:space="preserve">on August </w:t>
      </w:r>
      <w:r w:rsidR="00E01D17">
        <w:t>9</w:t>
      </w:r>
      <w:r w:rsidR="000B2355">
        <w:t>, 201</w:t>
      </w:r>
      <w:r w:rsidR="00E01D17">
        <w:t>9</w:t>
      </w:r>
      <w:r w:rsidR="006401C5">
        <w:t>.</w:t>
      </w:r>
      <w:r>
        <w:rPr>
          <w:rStyle w:val="FootnoteReference"/>
        </w:rPr>
        <w:footnoteReference w:id="9"/>
      </w:r>
      <w:r w:rsidR="006401C5">
        <w:t xml:space="preserve">  The </w:t>
      </w:r>
      <w:r w:rsidR="00545839">
        <w:t>LOI</w:t>
      </w:r>
      <w:r w:rsidR="006401C5">
        <w:t xml:space="preserve"> </w:t>
      </w:r>
      <w:r w:rsidR="00545839">
        <w:t xml:space="preserve">directed the </w:t>
      </w:r>
      <w:r w:rsidR="002769BF">
        <w:t>C</w:t>
      </w:r>
      <w:r w:rsidR="00545839">
        <w:t>ompany to state</w:t>
      </w:r>
      <w:r w:rsidR="006401C5">
        <w:t xml:space="preserve"> whether </w:t>
      </w:r>
      <w:r w:rsidR="00581E3D">
        <w:t xml:space="preserve">the AP224 wireless </w:t>
      </w:r>
      <w:r w:rsidR="00C3302C">
        <w:t>access point</w:t>
      </w:r>
      <w:r w:rsidR="006401C5">
        <w:t xml:space="preserve"> had been properly tested and certified under the Commission’s rules and whether </w:t>
      </w:r>
      <w:r w:rsidR="0058304E">
        <w:t xml:space="preserve">it </w:t>
      </w:r>
      <w:r w:rsidR="006401C5">
        <w:t>operated within the technical parameters</w:t>
      </w:r>
      <w:r w:rsidR="0062311F">
        <w:t xml:space="preserve"> of </w:t>
      </w:r>
      <w:r w:rsidR="0058304E">
        <w:t xml:space="preserve">its </w:t>
      </w:r>
      <w:r w:rsidR="0062311F">
        <w:t>respective certification</w:t>
      </w:r>
      <w:r w:rsidR="006401C5">
        <w:t xml:space="preserve">.  The </w:t>
      </w:r>
      <w:r w:rsidR="00545839">
        <w:t>LOI</w:t>
      </w:r>
      <w:r w:rsidR="006401C5">
        <w:t xml:space="preserve"> also </w:t>
      </w:r>
      <w:r w:rsidR="00545839">
        <w:t>inquired</w:t>
      </w:r>
      <w:r w:rsidR="006401C5">
        <w:t xml:space="preserve"> whether the model included the proper labels and user information disclosures.  </w:t>
      </w:r>
      <w:r w:rsidR="007D5298">
        <w:t xml:space="preserve">Grainger </w:t>
      </w:r>
      <w:r w:rsidR="00095287">
        <w:t>provided incomplete statements</w:t>
      </w:r>
      <w:r w:rsidR="006401C5">
        <w:t xml:space="preserve"> </w:t>
      </w:r>
      <w:r w:rsidR="00095287">
        <w:t>in its LOI response</w:t>
      </w:r>
      <w:r w:rsidR="00EF7230">
        <w:t>.</w:t>
      </w:r>
      <w:r>
        <w:rPr>
          <w:rStyle w:val="FootnoteReference"/>
        </w:rPr>
        <w:footnoteReference w:id="10"/>
      </w:r>
      <w:r w:rsidR="00EF7230">
        <w:t xml:space="preserve">  </w:t>
      </w:r>
      <w:r w:rsidR="000E4C50">
        <w:t>Ultimately,</w:t>
      </w:r>
      <w:r w:rsidR="00073483">
        <w:t xml:space="preserve"> the Division found</w:t>
      </w:r>
      <w:r w:rsidR="009F702D">
        <w:t xml:space="preserve"> </w:t>
      </w:r>
      <w:r w:rsidR="00073483">
        <w:t>i</w:t>
      </w:r>
      <w:r w:rsidR="009F702D">
        <w:t>t necessary</w:t>
      </w:r>
      <w:r w:rsidR="00073483">
        <w:t xml:space="preserve"> to </w:t>
      </w:r>
      <w:r w:rsidR="009F702D">
        <w:t>issue a series of further inquiries</w:t>
      </w:r>
      <w:r w:rsidR="000E4C50">
        <w:t xml:space="preserve"> in order to obtain information needed to resolve the investigation</w:t>
      </w:r>
      <w:r w:rsidR="006650E5">
        <w:t>.</w:t>
      </w:r>
      <w:r>
        <w:rPr>
          <w:rStyle w:val="FootnoteReference"/>
        </w:rPr>
        <w:footnoteReference w:id="11"/>
      </w:r>
      <w:r w:rsidR="009F702D">
        <w:t xml:space="preserve"> </w:t>
      </w:r>
      <w:r w:rsidR="006650E5">
        <w:t xml:space="preserve"> W</w:t>
      </w:r>
      <w:r w:rsidR="00073483">
        <w:t xml:space="preserve">hile </w:t>
      </w:r>
      <w:r w:rsidR="00525BD1">
        <w:t>Grainger</w:t>
      </w:r>
      <w:r w:rsidR="00073483">
        <w:t xml:space="preserve"> </w:t>
      </w:r>
      <w:r w:rsidR="00EA0714">
        <w:t>pr</w:t>
      </w:r>
      <w:r w:rsidR="006650E5">
        <w:t>ovide</w:t>
      </w:r>
      <w:r w:rsidR="009C5D6A">
        <w:t>d</w:t>
      </w:r>
      <w:r w:rsidR="00073483">
        <w:t xml:space="preserve"> information</w:t>
      </w:r>
      <w:r w:rsidR="00030862">
        <w:t xml:space="preserve"> </w:t>
      </w:r>
      <w:r w:rsidR="00DE05E1">
        <w:t xml:space="preserve">about the compliance of </w:t>
      </w:r>
      <w:r w:rsidR="00DA3F60">
        <w:t>the AP224</w:t>
      </w:r>
      <w:r w:rsidR="00DE05E1">
        <w:t xml:space="preserve"> </w:t>
      </w:r>
      <w:r w:rsidR="00030862">
        <w:t xml:space="preserve">in </w:t>
      </w:r>
      <w:r w:rsidR="0040293C">
        <w:t>its</w:t>
      </w:r>
      <w:r w:rsidR="004A3F69">
        <w:t xml:space="preserve"> initial </w:t>
      </w:r>
      <w:r w:rsidR="00030862">
        <w:t>response</w:t>
      </w:r>
      <w:r w:rsidR="00F12E01">
        <w:t>,</w:t>
      </w:r>
      <w:r w:rsidR="00566F06">
        <w:t xml:space="preserve"> it provided incomplete information </w:t>
      </w:r>
      <w:r w:rsidR="00C7140A">
        <w:t>on models</w:t>
      </w:r>
      <w:r w:rsidR="00566F06">
        <w:t xml:space="preserve"> capable of operating within the frequency r</w:t>
      </w:r>
      <w:r w:rsidR="00C7140A">
        <w:t>an</w:t>
      </w:r>
      <w:r w:rsidR="00566F06">
        <w:t>ge of 2.3-2.7 GHz.</w:t>
      </w:r>
      <w:r>
        <w:rPr>
          <w:rStyle w:val="FootnoteReference"/>
        </w:rPr>
        <w:footnoteReference w:id="12"/>
      </w:r>
      <w:r w:rsidR="004C6C77">
        <w:t xml:space="preserve"> </w:t>
      </w:r>
      <w:r w:rsidR="00983DC8">
        <w:t xml:space="preserve"> </w:t>
      </w:r>
      <w:r w:rsidR="00C7140A">
        <w:t>Grainger</w:t>
      </w:r>
      <w:r w:rsidR="004C6C77">
        <w:t xml:space="preserve"> </w:t>
      </w:r>
      <w:r w:rsidR="00DE05E1">
        <w:t xml:space="preserve">ultimately </w:t>
      </w:r>
      <w:r w:rsidR="004C6C77">
        <w:t xml:space="preserve">corrected the </w:t>
      </w:r>
      <w:r w:rsidR="00DD268E">
        <w:t xml:space="preserve">incomplete </w:t>
      </w:r>
      <w:r w:rsidR="004C6C77">
        <w:t xml:space="preserve">information </w:t>
      </w:r>
      <w:r w:rsidR="004A3F69">
        <w:t xml:space="preserve">in </w:t>
      </w:r>
      <w:r w:rsidR="00F12E01">
        <w:t>subsequent</w:t>
      </w:r>
      <w:r w:rsidR="00C7140A">
        <w:t xml:space="preserve"> </w:t>
      </w:r>
      <w:r w:rsidR="004C6C77">
        <w:t>response</w:t>
      </w:r>
      <w:r w:rsidR="00C7140A">
        <w:t>s</w:t>
      </w:r>
      <w:r w:rsidR="00F047C8">
        <w:t>.</w:t>
      </w:r>
      <w:r>
        <w:rPr>
          <w:rStyle w:val="FootnoteReference"/>
        </w:rPr>
        <w:footnoteReference w:id="13"/>
      </w:r>
      <w:r w:rsidR="004A3F69">
        <w:t xml:space="preserve"> </w:t>
      </w:r>
    </w:p>
    <w:p w:rsidR="00276EF2" w:rsidRPr="0023434B" w:rsidP="00D73846" w14:paraId="358B3C13" w14:textId="54C2C4AD">
      <w:pPr>
        <w:pStyle w:val="ParaNum"/>
      </w:pPr>
      <w:r w:rsidRPr="0023434B">
        <w:t>Grainger</w:t>
      </w:r>
      <w:r w:rsidRPr="0023434B" w:rsidR="00140D78">
        <w:t xml:space="preserve"> </w:t>
      </w:r>
      <w:r w:rsidRPr="0023434B" w:rsidR="00817490">
        <w:t xml:space="preserve">acknowledged that it </w:t>
      </w:r>
      <w:r w:rsidRPr="0023434B" w:rsidR="0063597E">
        <w:t>marketed</w:t>
      </w:r>
      <w:r w:rsidRPr="0023434B" w:rsidR="00E90009">
        <w:t xml:space="preserve"> </w:t>
      </w:r>
      <w:r w:rsidR="00F12E01">
        <w:t>the</w:t>
      </w:r>
      <w:r w:rsidRPr="0023434B" w:rsidR="00F12E01">
        <w:t xml:space="preserve"> </w:t>
      </w:r>
      <w:r w:rsidRPr="0023434B" w:rsidR="00E90009">
        <w:t>AP224</w:t>
      </w:r>
      <w:r w:rsidRPr="0023434B" w:rsidR="00F110FD">
        <w:t xml:space="preserve"> </w:t>
      </w:r>
      <w:r w:rsidRPr="0023434B" w:rsidR="00045876">
        <w:t>identified in the LOI</w:t>
      </w:r>
      <w:r w:rsidRPr="0023434B" w:rsidR="00817490">
        <w:t>.</w:t>
      </w:r>
      <w:r>
        <w:rPr>
          <w:rStyle w:val="FootnoteReference"/>
        </w:rPr>
        <w:footnoteReference w:id="14"/>
      </w:r>
      <w:r w:rsidRPr="0023434B" w:rsidR="00817490">
        <w:t xml:space="preserve"> </w:t>
      </w:r>
      <w:r w:rsidRPr="0023434B" w:rsidR="00B4751E">
        <w:t xml:space="preserve"> </w:t>
      </w:r>
      <w:r w:rsidRPr="0023434B" w:rsidR="00FB09BF">
        <w:t xml:space="preserve">Specifically, it began marketing the </w:t>
      </w:r>
      <w:bookmarkStart w:id="5" w:name="_Hlk48323951"/>
      <w:r w:rsidRPr="0023434B" w:rsidR="00403608">
        <w:t>AP22</w:t>
      </w:r>
      <w:r w:rsidR="00304C95">
        <w:t>4</w:t>
      </w:r>
      <w:r w:rsidRPr="0023434B" w:rsidR="00403608">
        <w:t xml:space="preserve"> </w:t>
      </w:r>
      <w:bookmarkEnd w:id="5"/>
      <w:r w:rsidRPr="0023434B" w:rsidR="00316C79">
        <w:t xml:space="preserve">wireless </w:t>
      </w:r>
      <w:r w:rsidR="00C3302C">
        <w:t>access point</w:t>
      </w:r>
      <w:r w:rsidRPr="0023434B" w:rsidR="00316C79">
        <w:t xml:space="preserve"> </w:t>
      </w:r>
      <w:r w:rsidR="00983DC8">
        <w:t>o</w:t>
      </w:r>
      <w:r w:rsidRPr="0023434B" w:rsidR="00FB09BF">
        <w:t xml:space="preserve">n </w:t>
      </w:r>
      <w:r w:rsidRPr="005F4BFF" w:rsidR="00874F98">
        <w:t>October 11</w:t>
      </w:r>
      <w:r w:rsidRPr="005F4BFF" w:rsidR="00F92574">
        <w:t>,</w:t>
      </w:r>
      <w:r w:rsidRPr="005F4BFF" w:rsidR="00874F98">
        <w:t xml:space="preserve"> 2017</w:t>
      </w:r>
      <w:r w:rsidRPr="0023434B" w:rsidR="00FB09BF">
        <w:t>.</w:t>
      </w:r>
      <w:r>
        <w:rPr>
          <w:rStyle w:val="FootnoteReference"/>
        </w:rPr>
        <w:footnoteReference w:id="15"/>
      </w:r>
      <w:r w:rsidRPr="0023434B" w:rsidR="00FB09BF">
        <w:t xml:space="preserve">  </w:t>
      </w:r>
      <w:r w:rsidRPr="0023434B" w:rsidR="00E54C3D">
        <w:t>Grainger</w:t>
      </w:r>
      <w:r w:rsidRPr="0023434B">
        <w:t xml:space="preserve"> </w:t>
      </w:r>
      <w:r w:rsidR="008C47A6">
        <w:t xml:space="preserve">also </w:t>
      </w:r>
      <w:r w:rsidRPr="0023434B">
        <w:t xml:space="preserve">acknowledged </w:t>
      </w:r>
      <w:r w:rsidRPr="0023434B" w:rsidR="00DF0747">
        <w:t xml:space="preserve">no sales of </w:t>
      </w:r>
      <w:r w:rsidRPr="0023434B" w:rsidR="00E54C3D">
        <w:t>the</w:t>
      </w:r>
      <w:r w:rsidRPr="0023434B">
        <w:t xml:space="preserve"> model</w:t>
      </w:r>
      <w:r w:rsidRPr="0023434B" w:rsidR="0025493E">
        <w:t xml:space="preserve"> </w:t>
      </w:r>
      <w:r w:rsidR="00793723">
        <w:t>and</w:t>
      </w:r>
      <w:r w:rsidRPr="0023434B" w:rsidR="0025493E">
        <w:t xml:space="preserve"> ceased </w:t>
      </w:r>
      <w:r w:rsidR="00793723">
        <w:t xml:space="preserve">marketing </w:t>
      </w:r>
      <w:r w:rsidR="00E824EC">
        <w:t xml:space="preserve">the </w:t>
      </w:r>
      <w:r w:rsidR="00793723">
        <w:t>AP224</w:t>
      </w:r>
      <w:r w:rsidRPr="0023434B" w:rsidR="0025493E">
        <w:t xml:space="preserve"> </w:t>
      </w:r>
      <w:r w:rsidR="009B73E6">
        <w:t>on August 19, 2019 (</w:t>
      </w:r>
      <w:r w:rsidRPr="0023434B" w:rsidR="0025493E">
        <w:t xml:space="preserve">after </w:t>
      </w:r>
      <w:r w:rsidRPr="0023434B" w:rsidR="002D1CF5">
        <w:t>receipt</w:t>
      </w:r>
      <w:r w:rsidRPr="0023434B" w:rsidR="00AA0894">
        <w:t xml:space="preserve"> </w:t>
      </w:r>
      <w:r w:rsidRPr="0023434B" w:rsidR="004177EE">
        <w:t>of the LOI</w:t>
      </w:r>
      <w:r w:rsidR="009B73E6">
        <w:t>)</w:t>
      </w:r>
      <w:r w:rsidRPr="0023434B">
        <w:t>.</w:t>
      </w:r>
      <w:r>
        <w:rPr>
          <w:rStyle w:val="FootnoteReference"/>
        </w:rPr>
        <w:footnoteReference w:id="16"/>
      </w:r>
      <w:r w:rsidRPr="0023434B">
        <w:t xml:space="preserve"> </w:t>
      </w:r>
      <w:r w:rsidR="00FF0C9D">
        <w:t xml:space="preserve">The </w:t>
      </w:r>
      <w:r w:rsidRPr="0023434B" w:rsidR="00FF0C9D">
        <w:t>Company supplied a valid FCC Identifier (FCC ID)</w:t>
      </w:r>
      <w:r w:rsidR="00FF0C9D">
        <w:t xml:space="preserve"> and accompanying equipment authorization documentation for the AP224, indicating that it had been </w:t>
      </w:r>
      <w:r w:rsidRPr="0023434B" w:rsidR="00FF0C9D">
        <w:t xml:space="preserve">certified as </w:t>
      </w:r>
      <w:r w:rsidR="00FF0C9D">
        <w:t xml:space="preserve">a </w:t>
      </w:r>
      <w:r w:rsidRPr="0023434B" w:rsidR="00FF0C9D">
        <w:t>Part 15 Subpart C intentional radiator.</w:t>
      </w:r>
      <w:r>
        <w:rPr>
          <w:rStyle w:val="FootnoteReference"/>
        </w:rPr>
        <w:footnoteReference w:id="17"/>
      </w:r>
      <w:r w:rsidRPr="0023434B" w:rsidR="00FF0C9D">
        <w:t xml:space="preserve"> </w:t>
      </w:r>
      <w:r w:rsidRPr="0023434B">
        <w:t xml:space="preserve"> </w:t>
      </w:r>
    </w:p>
    <w:p w:rsidR="00EE6E00" w:rsidRPr="00BE70CC" w:rsidP="00D73846" w14:paraId="2DBF4B92" w14:textId="20963195">
      <w:pPr>
        <w:pStyle w:val="ParaNum"/>
      </w:pPr>
      <w:r>
        <w:t xml:space="preserve">After receipt of the initial </w:t>
      </w:r>
      <w:r w:rsidR="004218A6">
        <w:t>LOI</w:t>
      </w:r>
      <w:r>
        <w:t xml:space="preserve">, </w:t>
      </w:r>
      <w:r w:rsidR="005607E6">
        <w:t>Grainger</w:t>
      </w:r>
      <w:r w:rsidR="00140D78">
        <w:t xml:space="preserve"> </w:t>
      </w:r>
      <w:r>
        <w:t xml:space="preserve">began </w:t>
      </w:r>
      <w:r w:rsidR="008C5472">
        <w:t>taking</w:t>
      </w:r>
      <w:r>
        <w:t xml:space="preserve"> steps to come into compliance with the Commission’s rules.  </w:t>
      </w:r>
      <w:r w:rsidR="00690EDB">
        <w:t>The Company ceased</w:t>
      </w:r>
      <w:r>
        <w:t xml:space="preserve"> marketing </w:t>
      </w:r>
      <w:r w:rsidR="005607E6">
        <w:t>the AP224</w:t>
      </w:r>
      <w:r w:rsidR="00E66B1C">
        <w:t xml:space="preserve"> </w:t>
      </w:r>
      <w:r w:rsidR="00CD06F4">
        <w:t>o</w:t>
      </w:r>
      <w:r w:rsidR="00B66C21">
        <w:t xml:space="preserve">n </w:t>
      </w:r>
      <w:r w:rsidRPr="00551B31" w:rsidR="005607E6">
        <w:t xml:space="preserve">August </w:t>
      </w:r>
      <w:r w:rsidR="00A149DB">
        <w:t>1</w:t>
      </w:r>
      <w:r w:rsidR="00B579C3">
        <w:t>9</w:t>
      </w:r>
      <w:r w:rsidR="00A149DB">
        <w:t xml:space="preserve">, </w:t>
      </w:r>
      <w:r w:rsidRPr="00551B31" w:rsidR="00B66C21">
        <w:t>201</w:t>
      </w:r>
      <w:r w:rsidRPr="00551B31" w:rsidR="005607E6">
        <w:t>9</w:t>
      </w:r>
      <w:r w:rsidR="00C3302C">
        <w:t>,</w:t>
      </w:r>
      <w:r w:rsidR="00470C6F">
        <w:t xml:space="preserve"> and reviewed </w:t>
      </w:r>
      <w:r w:rsidR="00CD06F4">
        <w:t xml:space="preserve">existing inventory operating within the frequency range of 2.3-2.7 GHz </w:t>
      </w:r>
      <w:r w:rsidR="00F047C8">
        <w:t>for compliance with the Commission’s rules</w:t>
      </w:r>
      <w:r w:rsidR="005B2F2E">
        <w:t>.</w:t>
      </w:r>
      <w:r>
        <w:rPr>
          <w:rStyle w:val="FootnoteReference"/>
        </w:rPr>
        <w:footnoteReference w:id="18"/>
      </w:r>
      <w:r w:rsidR="00B66C21">
        <w:t xml:space="preserve"> </w:t>
      </w:r>
      <w:r w:rsidR="00882BB6">
        <w:t xml:space="preserve"> </w:t>
      </w:r>
    </w:p>
    <w:p w:rsidR="0096675D" w:rsidRPr="00BE70CC" w:rsidP="00780209" w14:paraId="1EC2FDA0" w14:textId="77777777">
      <w:pPr>
        <w:pStyle w:val="Heading1"/>
      </w:pPr>
      <w:r w:rsidRPr="00BE70CC">
        <w:t xml:space="preserve">aPPLICABLE LAW </w:t>
      </w:r>
      <w:r w:rsidRPr="00BE70CC" w:rsidR="00654D13">
        <w:t>and violations</w:t>
      </w:r>
      <w:r w:rsidR="009A4206">
        <w:t xml:space="preserve">  </w:t>
      </w:r>
      <w:r w:rsidR="008A6BBC">
        <w:t xml:space="preserve">  </w:t>
      </w:r>
    </w:p>
    <w:p w:rsidR="00921E4E" w:rsidRPr="008D7584" w:rsidP="00D73846" w14:paraId="3988B7F2" w14:textId="77777777">
      <w:pPr>
        <w:pStyle w:val="ParaNum"/>
        <w:rPr>
          <w:szCs w:val="22"/>
        </w:rPr>
      </w:pPr>
      <w:r w:rsidRPr="008D7584">
        <w:rPr>
          <w:kern w:val="2"/>
          <w:szCs w:val="22"/>
        </w:rPr>
        <w:t xml:space="preserve">The Communications Act and the Commission’s rules require that most radio frequency devices be properly </w:t>
      </w:r>
      <w:r w:rsidRPr="008D7584">
        <w:rPr>
          <w:kern w:val="2"/>
        </w:rPr>
        <w:t>authorized</w:t>
      </w:r>
      <w:r w:rsidRPr="008D7584">
        <w:rPr>
          <w:kern w:val="2"/>
          <w:szCs w:val="22"/>
        </w:rPr>
        <w:t xml:space="preserve">, identified, and labeled before they can be marketed in the United States.  </w:t>
      </w:r>
      <w:r w:rsidRPr="008D7584" w:rsidR="001C53E6">
        <w:rPr>
          <w:kern w:val="2"/>
          <w:szCs w:val="22"/>
        </w:rPr>
        <w:t>Section</w:t>
      </w:r>
      <w:r w:rsidRPr="008D7584" w:rsidR="001C53E6">
        <w:rPr>
          <w:szCs w:val="22"/>
        </w:rPr>
        <w:t xml:space="preserve"> 302(b) of the Act states that “[n]o</w:t>
      </w:r>
      <w:r w:rsidRPr="008D7584" w:rsidR="001C53E6">
        <w:rPr>
          <w:b/>
          <w:szCs w:val="22"/>
        </w:rPr>
        <w:t xml:space="preserve"> </w:t>
      </w:r>
      <w:r w:rsidRPr="008D7584" w:rsidR="001C53E6">
        <w:rPr>
          <w:szCs w:val="22"/>
        </w:rPr>
        <w:t>person shall manufacture, import, sell, offer for sale, or ship devices or home electronic equipment and systems, or use devices, which fail to comply with regulations promulgated pursuant to this section.”</w:t>
      </w:r>
      <w:r>
        <w:rPr>
          <w:rStyle w:val="FootnoteReference"/>
          <w:sz w:val="22"/>
          <w:szCs w:val="22"/>
        </w:rPr>
        <w:footnoteReference w:id="19"/>
      </w:r>
      <w:r w:rsidRPr="008D7584" w:rsidR="001C53E6">
        <w:rPr>
          <w:szCs w:val="22"/>
        </w:rPr>
        <w:t xml:space="preserve">  </w:t>
      </w:r>
      <w:r w:rsidRPr="008D7584" w:rsidR="00535E66">
        <w:rPr>
          <w:szCs w:val="22"/>
        </w:rPr>
        <w:t>Section 2.803(</w:t>
      </w:r>
      <w:r w:rsidRPr="008D7584" w:rsidR="00E34B4C">
        <w:rPr>
          <w:szCs w:val="22"/>
        </w:rPr>
        <w:t>b</w:t>
      </w:r>
      <w:r w:rsidRPr="008D7584" w:rsidR="00535E66">
        <w:rPr>
          <w:szCs w:val="22"/>
        </w:rPr>
        <w:t xml:space="preserve">) of the </w:t>
      </w:r>
      <w:r w:rsidRPr="008D7584" w:rsidR="00F028DE">
        <w:rPr>
          <w:szCs w:val="22"/>
        </w:rPr>
        <w:t>Commission’s r</w:t>
      </w:r>
      <w:r w:rsidRPr="008D7584" w:rsidR="00535E66">
        <w:rPr>
          <w:szCs w:val="22"/>
        </w:rPr>
        <w:t>ules provides that</w:t>
      </w:r>
      <w:r w:rsidRPr="008D7584">
        <w:rPr>
          <w:szCs w:val="22"/>
        </w:rPr>
        <w:t xml:space="preserve">: </w:t>
      </w:r>
    </w:p>
    <w:p w:rsidR="00FA0181" w:rsidRPr="00FA0181" w:rsidP="00FA0181" w14:paraId="34FEB6CC" w14:textId="7E973179">
      <w:pPr>
        <w:pStyle w:val="ParaNum"/>
        <w:numPr>
          <w:ilvl w:val="0"/>
          <w:numId w:val="0"/>
        </w:numPr>
        <w:tabs>
          <w:tab w:val="num" w:pos="1440"/>
        </w:tabs>
        <w:ind w:left="720"/>
        <w:rPr>
          <w:szCs w:val="22"/>
        </w:rPr>
      </w:pPr>
      <w:r w:rsidRPr="008D7584">
        <w:t>No</w:t>
      </w:r>
      <w:r w:rsidRPr="008D7584" w:rsidR="00535E66">
        <w:t xml:space="preserve"> person </w:t>
      </w:r>
      <w:r w:rsidRPr="008D7584">
        <w:t>may market a radio frequency device unless . . . [f]or devices subject to authorization under certification, the de</w:t>
      </w:r>
      <w:r w:rsidRPr="008D7584" w:rsidR="00535E66">
        <w:t xml:space="preserve">vice has been authorized in accordance with the rules in </w:t>
      </w:r>
      <w:r w:rsidRPr="008D7584">
        <w:t xml:space="preserve">subpart J of </w:t>
      </w:r>
      <w:r w:rsidRPr="008D7584" w:rsidR="00535E66">
        <w:t xml:space="preserve">this </w:t>
      </w:r>
      <w:r w:rsidRPr="00FA0181" w:rsidR="00535E66">
        <w:t>chapter and is properly identified and labeled as required by §</w:t>
      </w:r>
      <w:r w:rsidRPr="00FA0181" w:rsidR="00050F45">
        <w:t xml:space="preserve"> </w:t>
      </w:r>
      <w:r w:rsidRPr="00FA0181" w:rsidR="00535E66">
        <w:t>2.925 and other relevant sections in this chapter</w:t>
      </w:r>
      <w:r w:rsidRPr="00FA0181">
        <w:t>.</w:t>
      </w:r>
      <w:r>
        <w:rPr>
          <w:rStyle w:val="FootnoteReference"/>
        </w:rPr>
        <w:footnoteReference w:id="20"/>
      </w:r>
      <w:r w:rsidRPr="00FA0181">
        <w:t xml:space="preserve">  </w:t>
      </w:r>
    </w:p>
    <w:p w:rsidR="005E2B29" w:rsidRPr="00630B7C" w:rsidP="00630B7C" w14:paraId="4432E6E2" w14:textId="68B913FC">
      <w:pPr>
        <w:pStyle w:val="ParaNum"/>
        <w:rPr>
          <w:szCs w:val="22"/>
        </w:rPr>
      </w:pPr>
      <w:r w:rsidRPr="6960B7FC">
        <w:t>Unlicensed RF equipment capable of operating within the restricted bands listed under section 15.205(a) of the Commission’s rules (other than spurious emissions)</w:t>
      </w:r>
      <w:r>
        <w:rPr>
          <w:rStyle w:val="FootnoteReference"/>
        </w:rPr>
        <w:footnoteReference w:id="21"/>
      </w:r>
      <w:r w:rsidRPr="00283002">
        <w:rPr>
          <w:szCs w:val="22"/>
        </w:rPr>
        <w:t xml:space="preserve"> </w:t>
      </w:r>
      <w:r w:rsidRPr="6960B7FC">
        <w:t>cannot be legally operated, marketed, or sold in the United States</w:t>
      </w:r>
      <w:r>
        <w:t>.</w:t>
      </w:r>
      <w:r>
        <w:rPr>
          <w:rStyle w:val="FootnoteReference"/>
        </w:rPr>
        <w:footnoteReference w:id="22"/>
      </w:r>
      <w:r w:rsidRPr="00630B7C">
        <w:rPr>
          <w:szCs w:val="22"/>
        </w:rPr>
        <w:t xml:space="preserve"> </w:t>
      </w:r>
      <w:r w:rsidRPr="00630B7C">
        <w:rPr>
          <w:szCs w:val="22"/>
        </w:rPr>
        <w:t xml:space="preserve"> Operation of </w:t>
      </w:r>
      <w:r w:rsidRPr="00630B7C" w:rsidR="00983DC8">
        <w:rPr>
          <w:szCs w:val="22"/>
        </w:rPr>
        <w:t>such</w:t>
      </w:r>
      <w:r w:rsidRPr="00630B7C">
        <w:rPr>
          <w:szCs w:val="22"/>
        </w:rPr>
        <w:t xml:space="preserve"> devices is </w:t>
      </w:r>
      <w:r w:rsidRPr="00630B7C" w:rsidR="00FA08E3">
        <w:rPr>
          <w:szCs w:val="22"/>
        </w:rPr>
        <w:t>prohibited</w:t>
      </w:r>
      <w:r w:rsidRPr="00630B7C">
        <w:rPr>
          <w:szCs w:val="22"/>
        </w:rPr>
        <w:t xml:space="preserve"> </w:t>
      </w:r>
      <w:r w:rsidRPr="00630B7C">
        <w:rPr>
          <w:szCs w:val="22"/>
        </w:rPr>
        <w:t xml:space="preserve">because they </w:t>
      </w:r>
      <w:r>
        <w:t>have the potential to interfere with the operation of authorized radio services,</w:t>
      </w:r>
      <w:r>
        <w:rPr>
          <w:rStyle w:val="FootnoteReference"/>
        </w:rPr>
        <w:footnoteReference w:id="23"/>
      </w:r>
      <w:r>
        <w:t xml:space="preserve"> including safety-of-life services.</w:t>
      </w:r>
      <w:r>
        <w:rPr>
          <w:rStyle w:val="FootnoteReference"/>
        </w:rPr>
        <w:footnoteReference w:id="24"/>
      </w:r>
      <w:r>
        <w:t xml:space="preserve">  </w:t>
      </w:r>
      <w:r w:rsidRPr="00630B7C" w:rsidR="00535E66">
        <w:rPr>
          <w:szCs w:val="22"/>
        </w:rPr>
        <w:t xml:space="preserve"> </w:t>
      </w:r>
    </w:p>
    <w:p w:rsidR="00771BD7" w:rsidRPr="00AB70F5" w:rsidP="00630B7C" w14:paraId="4015E6D7" w14:textId="36B5271D">
      <w:pPr>
        <w:pStyle w:val="ParaNum"/>
        <w:widowControl/>
        <w:rPr>
          <w:szCs w:val="22"/>
        </w:rPr>
      </w:pPr>
      <w:r>
        <w:rPr>
          <w:szCs w:val="22"/>
        </w:rPr>
        <w:t>I</w:t>
      </w:r>
      <w:r w:rsidRPr="00AB70F5" w:rsidR="00210BD9">
        <w:rPr>
          <w:szCs w:val="22"/>
        </w:rPr>
        <w:t xml:space="preserve">ntentional radiators, such as the model at issue here, must be approved </w:t>
      </w:r>
      <w:r w:rsidRPr="00A20FED" w:rsidR="005B2D70">
        <w:rPr>
          <w:szCs w:val="22"/>
        </w:rPr>
        <w:t xml:space="preserve">through the equipment certification procedures </w:t>
      </w:r>
      <w:r w:rsidRPr="009547E7" w:rsidR="00210BD9">
        <w:rPr>
          <w:szCs w:val="22"/>
        </w:rPr>
        <w:t>prior to marketing</w:t>
      </w:r>
      <w:r w:rsidRPr="00A20FED" w:rsidR="00AB70F5">
        <w:rPr>
          <w:szCs w:val="22"/>
        </w:rPr>
        <w:t>.</w:t>
      </w:r>
      <w:r>
        <w:rPr>
          <w:rStyle w:val="FootnoteReference"/>
          <w:szCs w:val="22"/>
        </w:rPr>
        <w:footnoteReference w:id="25"/>
      </w:r>
      <w:r w:rsidRPr="00AB70F5" w:rsidR="00210BD9">
        <w:rPr>
          <w:szCs w:val="22"/>
        </w:rPr>
        <w:t xml:space="preserve">  </w:t>
      </w:r>
      <w:r w:rsidR="005E2B29">
        <w:rPr>
          <w:szCs w:val="22"/>
        </w:rPr>
        <w:t>Section 1</w:t>
      </w:r>
      <w:r w:rsidR="00AA21A0">
        <w:rPr>
          <w:szCs w:val="22"/>
        </w:rPr>
        <w:t>5</w:t>
      </w:r>
      <w:r w:rsidR="005E2B29">
        <w:rPr>
          <w:szCs w:val="22"/>
        </w:rPr>
        <w:t>.201 of the Commission’s rule</w:t>
      </w:r>
      <w:r w:rsidR="00983DC8">
        <w:rPr>
          <w:szCs w:val="22"/>
        </w:rPr>
        <w:t>s</w:t>
      </w:r>
      <w:r w:rsidR="005E2B29">
        <w:rPr>
          <w:szCs w:val="22"/>
        </w:rPr>
        <w:t xml:space="preserve"> provides th</w:t>
      </w:r>
      <w:r w:rsidR="00983DC8">
        <w:rPr>
          <w:szCs w:val="22"/>
        </w:rPr>
        <w:t>e</w:t>
      </w:r>
      <w:r w:rsidR="00AA21A0">
        <w:rPr>
          <w:szCs w:val="22"/>
        </w:rPr>
        <w:t xml:space="preserve"> equipment authorization requirements for intentional radiators.</w:t>
      </w:r>
      <w:r w:rsidR="005E2B29">
        <w:rPr>
          <w:szCs w:val="22"/>
        </w:rPr>
        <w:t xml:space="preserve">  </w:t>
      </w:r>
      <w:r w:rsidR="005E2B29">
        <w:rPr>
          <w:kern w:val="2"/>
          <w:szCs w:val="22"/>
        </w:rPr>
        <w:t>A</w:t>
      </w:r>
      <w:r w:rsidRPr="00AB70F5" w:rsidR="00B80E32">
        <w:rPr>
          <w:color w:val="000000"/>
          <w:szCs w:val="22"/>
        </w:rPr>
        <w:t>s</w:t>
      </w:r>
      <w:r w:rsidR="00983DC8">
        <w:rPr>
          <w:color w:val="000000"/>
          <w:szCs w:val="22"/>
        </w:rPr>
        <w:t xml:space="preserve"> </w:t>
      </w:r>
      <w:r w:rsidRPr="00AB70F5" w:rsidR="00B80E32">
        <w:rPr>
          <w:color w:val="000000"/>
          <w:szCs w:val="22"/>
        </w:rPr>
        <w:t xml:space="preserve">a </w:t>
      </w:r>
      <w:r w:rsidRPr="00AB70F5" w:rsidR="00D6545C">
        <w:rPr>
          <w:color w:val="000000"/>
          <w:szCs w:val="22"/>
        </w:rPr>
        <w:t>Digital Transmission System (DTS)</w:t>
      </w:r>
      <w:r w:rsidRPr="00AB70F5" w:rsidR="00970770">
        <w:rPr>
          <w:color w:val="000000"/>
          <w:szCs w:val="22"/>
        </w:rPr>
        <w:t xml:space="preserve">, </w:t>
      </w:r>
      <w:r w:rsidR="00983DC8">
        <w:rPr>
          <w:color w:val="000000"/>
          <w:szCs w:val="22"/>
        </w:rPr>
        <w:t xml:space="preserve">the </w:t>
      </w:r>
      <w:r w:rsidRPr="00AB70F5" w:rsidR="00970770">
        <w:rPr>
          <w:color w:val="000000"/>
          <w:szCs w:val="22"/>
        </w:rPr>
        <w:t xml:space="preserve">AP224 </w:t>
      </w:r>
      <w:r w:rsidRPr="00AB70F5" w:rsidR="00B9237A">
        <w:rPr>
          <w:color w:val="000000"/>
          <w:szCs w:val="22"/>
        </w:rPr>
        <w:t xml:space="preserve">must comply with </w:t>
      </w:r>
      <w:r w:rsidRPr="005D0345" w:rsidR="00EB0D39">
        <w:rPr>
          <w:color w:val="000000"/>
          <w:szCs w:val="22"/>
        </w:rPr>
        <w:t>Part 15 of the</w:t>
      </w:r>
      <w:r w:rsidR="00AB70F5">
        <w:rPr>
          <w:color w:val="000000"/>
          <w:szCs w:val="22"/>
        </w:rPr>
        <w:t xml:space="preserve"> Commission’s r</w:t>
      </w:r>
      <w:r w:rsidRPr="00AB70F5" w:rsidR="00EB0D39">
        <w:rPr>
          <w:color w:val="000000"/>
          <w:szCs w:val="22"/>
        </w:rPr>
        <w:t>ules.</w:t>
      </w:r>
      <w:r>
        <w:rPr>
          <w:rStyle w:val="FootnoteReference"/>
          <w:szCs w:val="22"/>
        </w:rPr>
        <w:footnoteReference w:id="26"/>
      </w:r>
      <w:r w:rsidRPr="00AB70F5" w:rsidR="00AD2627">
        <w:rPr>
          <w:color w:val="000000"/>
          <w:szCs w:val="22"/>
        </w:rPr>
        <w:t xml:space="preserve">  Operation is subject to </w:t>
      </w:r>
      <w:r w:rsidRPr="00AB70F5" w:rsidR="00532377">
        <w:rPr>
          <w:color w:val="000000"/>
          <w:szCs w:val="22"/>
        </w:rPr>
        <w:t>two conditions.</w:t>
      </w:r>
      <w:r w:rsidRPr="00AB70F5" w:rsidR="00B26098">
        <w:rPr>
          <w:rStyle w:val="FootnoteReference"/>
          <w:szCs w:val="22"/>
        </w:rPr>
        <w:t xml:space="preserve"> </w:t>
      </w:r>
      <w:r>
        <w:rPr>
          <w:rStyle w:val="FootnoteReference"/>
          <w:szCs w:val="22"/>
        </w:rPr>
        <w:footnoteReference w:id="27"/>
      </w:r>
      <w:r w:rsidRPr="00AB70F5" w:rsidR="00532377">
        <w:rPr>
          <w:color w:val="000000"/>
          <w:szCs w:val="22"/>
        </w:rPr>
        <w:t xml:space="preserve">  First,</w:t>
      </w:r>
      <w:r w:rsidRPr="00AB70F5" w:rsidR="00AD2627">
        <w:rPr>
          <w:color w:val="000000"/>
          <w:szCs w:val="22"/>
        </w:rPr>
        <w:t xml:space="preserve"> the device </w:t>
      </w:r>
      <w:r w:rsidRPr="00AB70F5" w:rsidR="00532377">
        <w:rPr>
          <w:color w:val="000000"/>
          <w:szCs w:val="22"/>
        </w:rPr>
        <w:t>may</w:t>
      </w:r>
      <w:r w:rsidRPr="00AB70F5" w:rsidR="00AD2627">
        <w:rPr>
          <w:color w:val="000000"/>
          <w:szCs w:val="22"/>
        </w:rPr>
        <w:t xml:space="preserve"> not cause harmful interference</w:t>
      </w:r>
      <w:r w:rsidRPr="00A20FED" w:rsidR="00532377">
        <w:rPr>
          <w:color w:val="000000"/>
          <w:szCs w:val="22"/>
        </w:rPr>
        <w:t xml:space="preserve">.  Second, the </w:t>
      </w:r>
      <w:r w:rsidRPr="00656653" w:rsidR="00532377">
        <w:t>device must accept any interference received, including interference that may cause undesired operation</w:t>
      </w:r>
      <w:r w:rsidRPr="00AB70F5" w:rsidR="00AD2627">
        <w:rPr>
          <w:color w:val="000000"/>
          <w:szCs w:val="22"/>
        </w:rPr>
        <w:t>.</w:t>
      </w:r>
      <w:r w:rsidRPr="00AB70F5" w:rsidR="00D6545C">
        <w:rPr>
          <w:color w:val="000000"/>
          <w:szCs w:val="22"/>
        </w:rPr>
        <w:t xml:space="preserve"> </w:t>
      </w:r>
    </w:p>
    <w:p w:rsidR="001F7BF4" w:rsidRPr="002D5369" w:rsidP="00D73846" w14:paraId="234597A1" w14:textId="70DA0280">
      <w:pPr>
        <w:pStyle w:val="ParaNum"/>
        <w:rPr>
          <w:szCs w:val="22"/>
        </w:rPr>
      </w:pPr>
      <w:r w:rsidRPr="00C5598E">
        <w:rPr>
          <w:szCs w:val="22"/>
        </w:rPr>
        <w:t xml:space="preserve">After examining the </w:t>
      </w:r>
      <w:r w:rsidRPr="00C5598E" w:rsidR="001A5A2F">
        <w:rPr>
          <w:szCs w:val="22"/>
        </w:rPr>
        <w:t xml:space="preserve">information and </w:t>
      </w:r>
      <w:r w:rsidRPr="00C5598E">
        <w:rPr>
          <w:szCs w:val="22"/>
        </w:rPr>
        <w:t>document</w:t>
      </w:r>
      <w:r w:rsidRPr="00C5598E" w:rsidR="001A5A2F">
        <w:rPr>
          <w:szCs w:val="22"/>
        </w:rPr>
        <w:t>s</w:t>
      </w:r>
      <w:r w:rsidRPr="00C5598E">
        <w:rPr>
          <w:szCs w:val="22"/>
        </w:rPr>
        <w:t xml:space="preserve"> </w:t>
      </w:r>
      <w:r w:rsidRPr="00C5598E" w:rsidR="00B26098">
        <w:rPr>
          <w:szCs w:val="22"/>
        </w:rPr>
        <w:t>Grainger</w:t>
      </w:r>
      <w:r w:rsidRPr="00C5598E">
        <w:rPr>
          <w:szCs w:val="22"/>
        </w:rPr>
        <w:t xml:space="preserve"> provided in response to the letters of inquiry, the Division determined that the Company marketed </w:t>
      </w:r>
      <w:r w:rsidR="00E824EC">
        <w:rPr>
          <w:szCs w:val="22"/>
        </w:rPr>
        <w:t xml:space="preserve">the </w:t>
      </w:r>
      <w:r w:rsidRPr="00C5598E" w:rsidR="00B26098">
        <w:t>AP224</w:t>
      </w:r>
      <w:r w:rsidRPr="00C5598E" w:rsidR="006B7BD3">
        <w:t xml:space="preserve"> in violation of </w:t>
      </w:r>
      <w:r w:rsidRPr="00C5598E" w:rsidR="00A25819">
        <w:t>section</w:t>
      </w:r>
      <w:r w:rsidRPr="00C5598E" w:rsidR="006B7BD3">
        <w:t xml:space="preserve"> 302(b) of the Act and </w:t>
      </w:r>
      <w:r w:rsidRPr="00C5598E" w:rsidR="00A25819">
        <w:t>section</w:t>
      </w:r>
      <w:r w:rsidRPr="00C5598E" w:rsidR="006B7BD3">
        <w:t xml:space="preserve">s 2.803(b), and </w:t>
      </w:r>
      <w:r w:rsidRPr="00C5598E" w:rsidR="00B26098">
        <w:t>15.20</w:t>
      </w:r>
      <w:r w:rsidRPr="00C5598E" w:rsidR="00C5598E">
        <w:t>5(a)</w:t>
      </w:r>
      <w:r w:rsidRPr="00C5598E" w:rsidR="006B7BD3">
        <w:t xml:space="preserve"> of the</w:t>
      </w:r>
      <w:r w:rsidR="006B7BD3">
        <w:t xml:space="preserve"> </w:t>
      </w:r>
      <w:r w:rsidRPr="002D5369" w:rsidR="006B7BD3">
        <w:t>Commission’s rules.</w:t>
      </w:r>
      <w:r>
        <w:rPr>
          <w:rStyle w:val="FootnoteReference"/>
        </w:rPr>
        <w:footnoteReference w:id="28"/>
      </w:r>
    </w:p>
    <w:p w:rsidR="007A1DD9" w:rsidRPr="004416D4" w:rsidP="005D0345" w14:paraId="2D9AE205" w14:textId="5EAA5F05">
      <w:pPr>
        <w:pStyle w:val="ParaNum"/>
      </w:pPr>
      <w:r>
        <w:t>The Division’s investigation</w:t>
      </w:r>
      <w:r w:rsidRPr="21041506">
        <w:t xml:space="preserve"> </w:t>
      </w:r>
      <w:r w:rsidR="005D0345">
        <w:t>revealed</w:t>
      </w:r>
      <w:r w:rsidRPr="21041506" w:rsidR="005D0345">
        <w:t xml:space="preserve"> </w:t>
      </w:r>
      <w:r w:rsidRPr="21041506">
        <w:t xml:space="preserve">that </w:t>
      </w:r>
      <w:r w:rsidRPr="21041506" w:rsidR="002D5369">
        <w:t>the</w:t>
      </w:r>
      <w:r w:rsidRPr="005D0345" w:rsidR="005D0345">
        <w:rPr>
          <w:szCs w:val="22"/>
        </w:rPr>
        <w:t xml:space="preserve"> </w:t>
      </w:r>
      <w:r w:rsidRPr="21041506" w:rsidR="00C5598E">
        <w:t xml:space="preserve">wireless </w:t>
      </w:r>
      <w:r w:rsidR="00C3302C">
        <w:t>access point</w:t>
      </w:r>
      <w:r w:rsidRPr="005D0345" w:rsidR="00C5598E">
        <w:rPr>
          <w:szCs w:val="22"/>
        </w:rPr>
        <w:t xml:space="preserve"> </w:t>
      </w:r>
      <w:r w:rsidRPr="21041506" w:rsidR="00C5598E">
        <w:t>was</w:t>
      </w:r>
      <w:r w:rsidRPr="21041506">
        <w:t xml:space="preserve"> capab</w:t>
      </w:r>
      <w:r w:rsidRPr="21041506" w:rsidR="00DA141E">
        <w:t>le</w:t>
      </w:r>
      <w:r w:rsidRPr="21041506">
        <w:t xml:space="preserve"> of transmitting on</w:t>
      </w:r>
      <w:r w:rsidRPr="21041506" w:rsidR="00DA141E">
        <w:t xml:space="preserve"> restricted</w:t>
      </w:r>
      <w:r w:rsidRPr="21041506">
        <w:t xml:space="preserve"> frequencies in the </w:t>
      </w:r>
      <w:r w:rsidRPr="21041506" w:rsidR="00DA141E">
        <w:t>Satellite Digital Audio Rad</w:t>
      </w:r>
      <w:r w:rsidRPr="21041506" w:rsidR="00FF4127">
        <w:t>io Service</w:t>
      </w:r>
      <w:r w:rsidRPr="21041506">
        <w:t xml:space="preserve"> </w:t>
      </w:r>
      <w:r w:rsidR="00927277">
        <w:t xml:space="preserve">band </w:t>
      </w:r>
      <w:r w:rsidRPr="21041506">
        <w:t xml:space="preserve">despite having a certification to operate only in </w:t>
      </w:r>
      <w:r w:rsidRPr="21041506" w:rsidR="00FF4127">
        <w:t>2412-2462</w:t>
      </w:r>
      <w:r w:rsidRPr="005D0345" w:rsidR="00FA2A91">
        <w:rPr>
          <w:szCs w:val="22"/>
        </w:rPr>
        <w:t xml:space="preserve"> </w:t>
      </w:r>
      <w:r w:rsidRPr="21041506" w:rsidR="00FA2A91">
        <w:t>MHz</w:t>
      </w:r>
      <w:r w:rsidRPr="005D0345">
        <w:rPr>
          <w:szCs w:val="22"/>
        </w:rPr>
        <w:t>.</w:t>
      </w:r>
      <w:r>
        <w:rPr>
          <w:rStyle w:val="FootnoteReference"/>
        </w:rPr>
        <w:footnoteReference w:id="29"/>
      </w:r>
      <w:r w:rsidRPr="005D0345">
        <w:rPr>
          <w:szCs w:val="22"/>
        </w:rPr>
        <w:t xml:space="preserve"> </w:t>
      </w:r>
      <w:r w:rsidRPr="005D0345" w:rsidR="008119AF">
        <w:rPr>
          <w:szCs w:val="22"/>
        </w:rPr>
        <w:t xml:space="preserve"> </w:t>
      </w:r>
      <w:r w:rsidRPr="21041506" w:rsidR="005E2803">
        <w:t xml:space="preserve">Grainger acknowledged marketing </w:t>
      </w:r>
      <w:r w:rsidR="00E824EC">
        <w:t xml:space="preserve">the </w:t>
      </w:r>
      <w:r w:rsidRPr="21041506" w:rsidR="005E2803">
        <w:t xml:space="preserve">AP224 and </w:t>
      </w:r>
      <w:r w:rsidRPr="21041506" w:rsidR="008119AF">
        <w:t xml:space="preserve">removed the </w:t>
      </w:r>
      <w:r w:rsidRPr="21041506" w:rsidR="005E2803">
        <w:t>model f</w:t>
      </w:r>
      <w:r w:rsidRPr="21041506" w:rsidR="008119AF">
        <w:t xml:space="preserve">rom its inventory </w:t>
      </w:r>
      <w:r w:rsidRPr="21041506" w:rsidR="005E2803">
        <w:t>upon receipt of the LOI</w:t>
      </w:r>
      <w:r w:rsidRPr="005D0345" w:rsidR="008119AF">
        <w:rPr>
          <w:szCs w:val="22"/>
        </w:rPr>
        <w:t>.</w:t>
      </w:r>
      <w:r>
        <w:rPr>
          <w:rStyle w:val="FootnoteReference"/>
        </w:rPr>
        <w:footnoteReference w:id="30"/>
      </w:r>
      <w:r w:rsidRPr="005D0345" w:rsidR="008119AF">
        <w:rPr>
          <w:szCs w:val="22"/>
        </w:rPr>
        <w:t xml:space="preserve">  </w:t>
      </w:r>
      <w:r w:rsidRPr="005D0345" w:rsidR="00184C0B">
        <w:rPr>
          <w:szCs w:val="22"/>
        </w:rPr>
        <w:t xml:space="preserve"> </w:t>
      </w:r>
      <w:r w:rsidRPr="21041506" w:rsidR="00CE3A2E">
        <w:t>T</w:t>
      </w:r>
      <w:r w:rsidRPr="21041506" w:rsidR="004750F2">
        <w:t xml:space="preserve">he Company therefore marketed a device that was capable </w:t>
      </w:r>
      <w:r w:rsidRPr="21041506" w:rsidR="00E34B4C">
        <w:t>of</w:t>
      </w:r>
      <w:r w:rsidRPr="21041506" w:rsidR="004750F2">
        <w:t xml:space="preserve"> operating outside of its equipment authorization.  </w:t>
      </w:r>
    </w:p>
    <w:p w:rsidR="00A311F4" w:rsidRPr="00CF35AE" w:rsidP="00D73846" w14:paraId="6A6BBD6D" w14:textId="37FC4DE0">
      <w:pPr>
        <w:pStyle w:val="ParaNum"/>
        <w:rPr>
          <w:szCs w:val="22"/>
        </w:rPr>
      </w:pPr>
      <w:r w:rsidRPr="00CF35AE">
        <w:rPr>
          <w:szCs w:val="22"/>
        </w:rPr>
        <w:t>Grainger</w:t>
      </w:r>
      <w:r w:rsidRPr="00CF35AE" w:rsidR="00140D78">
        <w:rPr>
          <w:szCs w:val="22"/>
        </w:rPr>
        <w:t xml:space="preserve"> </w:t>
      </w:r>
      <w:r w:rsidRPr="00CF35AE" w:rsidR="00F323A3">
        <w:rPr>
          <w:szCs w:val="22"/>
        </w:rPr>
        <w:t xml:space="preserve">is therefore in violation of </w:t>
      </w:r>
      <w:r w:rsidRPr="00C5598E" w:rsidR="00927277">
        <w:t xml:space="preserve">section 302(b) of the Act </w:t>
      </w:r>
      <w:r w:rsidR="00927277">
        <w:t xml:space="preserve">and </w:t>
      </w:r>
      <w:r w:rsidRPr="00CF35AE" w:rsidR="00E01499">
        <w:rPr>
          <w:szCs w:val="22"/>
        </w:rPr>
        <w:t xml:space="preserve">sections </w:t>
      </w:r>
      <w:r w:rsidRPr="00CF35AE" w:rsidR="00F323A3">
        <w:rPr>
          <w:szCs w:val="22"/>
        </w:rPr>
        <w:t xml:space="preserve">2.803 and </w:t>
      </w:r>
      <w:r w:rsidRPr="00CF35AE">
        <w:rPr>
          <w:szCs w:val="22"/>
        </w:rPr>
        <w:t>15.205(a)</w:t>
      </w:r>
      <w:r w:rsidRPr="00CF35AE" w:rsidR="00F323A3">
        <w:rPr>
          <w:szCs w:val="22"/>
        </w:rPr>
        <w:t xml:space="preserve"> of the Commission’s rules for marketing a device </w:t>
      </w:r>
      <w:r w:rsidR="00927277">
        <w:rPr>
          <w:szCs w:val="22"/>
        </w:rPr>
        <w:t xml:space="preserve">that was capable of operating </w:t>
      </w:r>
      <w:r w:rsidR="007670A8">
        <w:rPr>
          <w:szCs w:val="22"/>
        </w:rPr>
        <w:t>o</w:t>
      </w:r>
      <w:r w:rsidR="00927277">
        <w:rPr>
          <w:szCs w:val="22"/>
        </w:rPr>
        <w:t>n restricted frequencies</w:t>
      </w:r>
      <w:r w:rsidRPr="00CF35AE">
        <w:rPr>
          <w:szCs w:val="22"/>
        </w:rPr>
        <w:t>.</w:t>
      </w:r>
      <w:r>
        <w:rPr>
          <w:rStyle w:val="FootnoteReference"/>
          <w:szCs w:val="22"/>
        </w:rPr>
        <w:footnoteReference w:id="31"/>
      </w:r>
      <w:r w:rsidRPr="00CF35AE">
        <w:rPr>
          <w:szCs w:val="22"/>
        </w:rPr>
        <w:t xml:space="preserve"> </w:t>
      </w:r>
      <w:r w:rsidRPr="00CF35AE" w:rsidR="00D34F07">
        <w:rPr>
          <w:szCs w:val="22"/>
        </w:rPr>
        <w:t xml:space="preserve"> </w:t>
      </w:r>
      <w:r w:rsidRPr="00CF35AE" w:rsidR="0086668C">
        <w:rPr>
          <w:szCs w:val="22"/>
        </w:rPr>
        <w:t>T</w:t>
      </w:r>
      <w:r w:rsidRPr="00CF35AE" w:rsidR="00140D78">
        <w:rPr>
          <w:szCs w:val="22"/>
        </w:rPr>
        <w:t xml:space="preserve">he Company </w:t>
      </w:r>
      <w:r w:rsidRPr="00CF35AE" w:rsidR="001A5A2F">
        <w:rPr>
          <w:szCs w:val="22"/>
        </w:rPr>
        <w:t xml:space="preserve">ceased marketing </w:t>
      </w:r>
      <w:r w:rsidRPr="00CF35AE" w:rsidR="00193850">
        <w:rPr>
          <w:szCs w:val="22"/>
        </w:rPr>
        <w:t xml:space="preserve">this model </w:t>
      </w:r>
      <w:r w:rsidRPr="00CF35AE" w:rsidR="001A5A2F">
        <w:rPr>
          <w:szCs w:val="22"/>
        </w:rPr>
        <w:t xml:space="preserve">in </w:t>
      </w:r>
      <w:r w:rsidRPr="00CF35AE">
        <w:rPr>
          <w:szCs w:val="22"/>
        </w:rPr>
        <w:t xml:space="preserve">August </w:t>
      </w:r>
      <w:r w:rsidRPr="00CF35AE" w:rsidR="001A5A2F">
        <w:rPr>
          <w:szCs w:val="22"/>
        </w:rPr>
        <w:t>20</w:t>
      </w:r>
      <w:r w:rsidRPr="00CF35AE">
        <w:rPr>
          <w:szCs w:val="22"/>
        </w:rPr>
        <w:t>19</w:t>
      </w:r>
      <w:r w:rsidRPr="00CF35AE" w:rsidR="000A2118">
        <w:rPr>
          <w:szCs w:val="22"/>
        </w:rPr>
        <w:t>.</w:t>
      </w:r>
      <w:r>
        <w:rPr>
          <w:rStyle w:val="FootnoteReference"/>
          <w:szCs w:val="22"/>
        </w:rPr>
        <w:footnoteReference w:id="32"/>
      </w:r>
      <w:r w:rsidRPr="00CF35AE" w:rsidR="00D34F07">
        <w:rPr>
          <w:szCs w:val="22"/>
        </w:rPr>
        <w:t xml:space="preserve">  </w:t>
      </w:r>
    </w:p>
    <w:p w:rsidR="004D3233" w:rsidRPr="00BE70CC" w:rsidP="00D73846" w14:paraId="6C239B86" w14:textId="77777777">
      <w:pPr>
        <w:pStyle w:val="Heading1"/>
      </w:pPr>
      <w:bookmarkStart w:id="6" w:name="SR;716"/>
      <w:bookmarkStart w:id="7" w:name="SR;717"/>
      <w:bookmarkEnd w:id="6"/>
      <w:bookmarkEnd w:id="7"/>
      <w:r w:rsidRPr="00BE70CC">
        <w:t>Op</w:t>
      </w:r>
      <w:r w:rsidRPr="00BE70CC" w:rsidR="0096675D">
        <w:t>portunity</w:t>
      </w:r>
      <w:r w:rsidRPr="00BE70CC">
        <w:t xml:space="preserve"> to </w:t>
      </w:r>
      <w:r w:rsidRPr="00BE70CC">
        <w:t>respond to this citation</w:t>
      </w:r>
    </w:p>
    <w:p w:rsidR="00886C3A" w:rsidRPr="00D73846" w:rsidP="00D73846" w14:paraId="2D125DD0" w14:textId="785C7256">
      <w:pPr>
        <w:pStyle w:val="ParaNum"/>
        <w:rPr>
          <w:kern w:val="2"/>
        </w:rPr>
      </w:pPr>
      <w:r w:rsidRPr="005234F9">
        <w:t>G</w:t>
      </w:r>
      <w:r w:rsidRPr="00B67B4A">
        <w:t>rainger</w:t>
      </w:r>
      <w:r w:rsidRPr="00B67B4A" w:rsidR="00140D78">
        <w:t xml:space="preserve"> </w:t>
      </w:r>
      <w:r w:rsidRPr="00B67B4A">
        <w:rPr>
          <w:kern w:val="2"/>
          <w:szCs w:val="22"/>
        </w:rPr>
        <w:t xml:space="preserve">may respond to this Citation within 30 calendar days from the </w:t>
      </w:r>
      <w:r w:rsidRPr="00B67B4A" w:rsidR="00B122C3">
        <w:rPr>
          <w:kern w:val="2"/>
          <w:szCs w:val="22"/>
        </w:rPr>
        <w:t xml:space="preserve">release date of this Citation by any of the following methods:  </w:t>
      </w:r>
      <w:r w:rsidRPr="00B67B4A">
        <w:rPr>
          <w:kern w:val="2"/>
          <w:szCs w:val="22"/>
        </w:rPr>
        <w:t xml:space="preserve">(1) </w:t>
      </w:r>
      <w:r w:rsidRPr="00B67B4A" w:rsidR="00B122C3">
        <w:rPr>
          <w:kern w:val="2"/>
          <w:szCs w:val="22"/>
        </w:rPr>
        <w:t xml:space="preserve">a </w:t>
      </w:r>
      <w:r w:rsidRPr="00B67B4A">
        <w:rPr>
          <w:kern w:val="2"/>
          <w:szCs w:val="22"/>
        </w:rPr>
        <w:t xml:space="preserve">written statement, (2) a teleconference interview, or (3) a personal interview at the Commission Field Office nearest to </w:t>
      </w:r>
      <w:r w:rsidRPr="00B67B4A">
        <w:t>Grainger</w:t>
      </w:r>
      <w:r w:rsidRPr="00B67B4A" w:rsidR="00F22E6D">
        <w:rPr>
          <w:kern w:val="2"/>
          <w:szCs w:val="22"/>
        </w:rPr>
        <w:t>’s place of business</w:t>
      </w:r>
      <w:r w:rsidRPr="00B67B4A" w:rsidR="0090510E">
        <w:rPr>
          <w:kern w:val="2"/>
          <w:szCs w:val="22"/>
        </w:rPr>
        <w:t>.  T</w:t>
      </w:r>
      <w:r w:rsidRPr="00B67B4A" w:rsidR="00F22E6D">
        <w:rPr>
          <w:kern w:val="2"/>
          <w:szCs w:val="22"/>
        </w:rPr>
        <w:t xml:space="preserve">he Commission Field Office nearest </w:t>
      </w:r>
      <w:r w:rsidRPr="00B67B4A" w:rsidR="00AE1C59">
        <w:t>to Grainger</w:t>
      </w:r>
      <w:r w:rsidRPr="00B67B4A" w:rsidR="00F22E6D">
        <w:t xml:space="preserve"> </w:t>
      </w:r>
      <w:r w:rsidRPr="00B67B4A" w:rsidR="00F50F55">
        <w:rPr>
          <w:kern w:val="2"/>
          <w:szCs w:val="22"/>
        </w:rPr>
        <w:t xml:space="preserve">is located in </w:t>
      </w:r>
      <w:r w:rsidRPr="00B67B4A" w:rsidR="005234F9">
        <w:rPr>
          <w:kern w:val="2"/>
          <w:szCs w:val="22"/>
        </w:rPr>
        <w:t>Chicago, Illinois</w:t>
      </w:r>
      <w:r w:rsidRPr="00B67B4A" w:rsidR="00E65A81">
        <w:rPr>
          <w:kern w:val="2"/>
          <w:szCs w:val="22"/>
        </w:rPr>
        <w:t xml:space="preserve">. </w:t>
      </w:r>
      <w:r w:rsidRPr="00B67B4A">
        <w:rPr>
          <w:kern w:val="2"/>
          <w:szCs w:val="22"/>
        </w:rPr>
        <w:t xml:space="preserve">     </w:t>
      </w:r>
    </w:p>
    <w:p w:rsidR="00D73846" w:rsidP="00D73846" w14:paraId="4FADDB61" w14:textId="1E1BA4AE">
      <w:pPr>
        <w:pStyle w:val="ParaNum"/>
        <w:rPr>
          <w:kern w:val="2"/>
        </w:rPr>
      </w:pPr>
      <w:r w:rsidRPr="00D73846">
        <w:rPr>
          <w:kern w:val="2"/>
          <w:szCs w:val="22"/>
        </w:rPr>
        <w:t xml:space="preserve">If </w:t>
      </w:r>
      <w:r w:rsidR="00AE1C59">
        <w:t>Grainger</w:t>
      </w:r>
      <w:r w:rsidR="00140D78">
        <w:t xml:space="preserve"> </w:t>
      </w:r>
      <w:r w:rsidRPr="00D73846" w:rsidR="00F22E6D">
        <w:rPr>
          <w:kern w:val="2"/>
          <w:szCs w:val="22"/>
        </w:rPr>
        <w:t>requests</w:t>
      </w:r>
      <w:r w:rsidRPr="00D73846">
        <w:rPr>
          <w:kern w:val="2"/>
          <w:szCs w:val="22"/>
        </w:rPr>
        <w:t xml:space="preserve"> a teleconference or pers</w:t>
      </w:r>
      <w:r w:rsidRPr="00D73846" w:rsidR="00F22E6D">
        <w:rPr>
          <w:kern w:val="2"/>
          <w:szCs w:val="22"/>
        </w:rPr>
        <w:t xml:space="preserve">onal interview, </w:t>
      </w:r>
      <w:r w:rsidRPr="00D73846">
        <w:rPr>
          <w:kern w:val="2"/>
          <w:szCs w:val="22"/>
        </w:rPr>
        <w:t xml:space="preserve">contact </w:t>
      </w:r>
      <w:r w:rsidRPr="00D73846" w:rsidR="00AE1C59">
        <w:rPr>
          <w:kern w:val="2"/>
          <w:szCs w:val="22"/>
        </w:rPr>
        <w:t>Daniela Arregui</w:t>
      </w:r>
      <w:r w:rsidRPr="00D73846" w:rsidR="00E353D9">
        <w:rPr>
          <w:kern w:val="2"/>
          <w:szCs w:val="22"/>
        </w:rPr>
        <w:t xml:space="preserve"> at 202-418-</w:t>
      </w:r>
      <w:r w:rsidRPr="00D73846" w:rsidR="00AE1C59">
        <w:rPr>
          <w:kern w:val="2"/>
          <w:szCs w:val="22"/>
        </w:rPr>
        <w:t>2535</w:t>
      </w:r>
      <w:r w:rsidR="00394CEF">
        <w:rPr>
          <w:kern w:val="2"/>
          <w:szCs w:val="22"/>
        </w:rPr>
        <w:t xml:space="preserve"> or </w:t>
      </w:r>
      <w:hyperlink r:id="rId5" w:history="1">
        <w:r w:rsidRPr="00E37EA9" w:rsidR="00390F01">
          <w:rPr>
            <w:rStyle w:val="Hyperlink"/>
            <w:kern w:val="2"/>
            <w:szCs w:val="22"/>
          </w:rPr>
          <w:t>daniela.arregui@fcc.gov</w:t>
        </w:r>
      </w:hyperlink>
      <w:r w:rsidR="00390F01">
        <w:rPr>
          <w:kern w:val="2"/>
          <w:szCs w:val="22"/>
        </w:rPr>
        <w:t xml:space="preserve"> and </w:t>
      </w:r>
      <w:hyperlink r:id="rId6" w:history="1">
        <w:r w:rsidRPr="008E4800" w:rsidR="002F278C">
          <w:rPr>
            <w:rStyle w:val="Hyperlink"/>
            <w:kern w:val="2"/>
            <w:szCs w:val="22"/>
          </w:rPr>
          <w:t>EB-SED-Response@fcc.gov</w:t>
        </w:r>
      </w:hyperlink>
      <w:r w:rsidRPr="00D73846">
        <w:rPr>
          <w:kern w:val="2"/>
          <w:szCs w:val="22"/>
        </w:rPr>
        <w:t xml:space="preserve">.  </w:t>
      </w:r>
      <w:r w:rsidRPr="00D73846" w:rsidR="00F22E6D">
        <w:rPr>
          <w:kern w:val="2"/>
          <w:szCs w:val="22"/>
        </w:rPr>
        <w:t xml:space="preserve">We </w:t>
      </w:r>
      <w:r w:rsidRPr="00D73846">
        <w:rPr>
          <w:kern w:val="2"/>
          <w:szCs w:val="22"/>
        </w:rPr>
        <w:t xml:space="preserve">note that such teleconference or interview must take place within 30 calendar days of the </w:t>
      </w:r>
      <w:r w:rsidRPr="00D73846" w:rsidR="00C22E21">
        <w:rPr>
          <w:kern w:val="2"/>
          <w:szCs w:val="22"/>
        </w:rPr>
        <w:t xml:space="preserve">release </w:t>
      </w:r>
      <w:r w:rsidRPr="00D73846">
        <w:rPr>
          <w:kern w:val="2"/>
          <w:szCs w:val="22"/>
        </w:rPr>
        <w:t xml:space="preserve">date of this Citation.  If </w:t>
      </w:r>
      <w:r w:rsidR="00AE1C59">
        <w:t>Grainger</w:t>
      </w:r>
      <w:r w:rsidRPr="00BE70CC">
        <w:t xml:space="preserve"> </w:t>
      </w:r>
      <w:r w:rsidRPr="00D73846">
        <w:rPr>
          <w:kern w:val="2"/>
          <w:szCs w:val="22"/>
        </w:rPr>
        <w:t xml:space="preserve">prefers to submit a written response with supporting documentation, it must send the response within 30 calendar days of the </w:t>
      </w:r>
      <w:r w:rsidRPr="00D73846" w:rsidR="00C22E21">
        <w:rPr>
          <w:kern w:val="2"/>
          <w:szCs w:val="22"/>
        </w:rPr>
        <w:t xml:space="preserve">release </w:t>
      </w:r>
      <w:r w:rsidRPr="00D73846">
        <w:rPr>
          <w:kern w:val="2"/>
          <w:szCs w:val="22"/>
        </w:rPr>
        <w:t>date of this Citation to the contact and address provided in paragraph</w:t>
      </w:r>
      <w:r w:rsidRPr="00D73846" w:rsidR="00D82A8B">
        <w:rPr>
          <w:kern w:val="2"/>
          <w:szCs w:val="22"/>
        </w:rPr>
        <w:t xml:space="preserve"> </w:t>
      </w:r>
      <w:r w:rsidRPr="00D73846">
        <w:rPr>
          <w:kern w:val="2"/>
          <w:szCs w:val="22"/>
        </w:rPr>
        <w:t>below.</w:t>
      </w:r>
    </w:p>
    <w:p w:rsidR="00D73846" w:rsidP="00630B7C" w14:paraId="5656721A" w14:textId="180D0CF9">
      <w:pPr>
        <w:pStyle w:val="ParaNum"/>
        <w:widowControl/>
        <w:rPr>
          <w:kern w:val="2"/>
        </w:rPr>
      </w:pPr>
      <w:r w:rsidRPr="00D73846">
        <w:rPr>
          <w:kern w:val="2"/>
          <w:szCs w:val="22"/>
        </w:rPr>
        <w:t xml:space="preserve">All written communications should be sent </w:t>
      </w:r>
      <w:r w:rsidRPr="00D73846" w:rsidR="00DA1CBC">
        <w:rPr>
          <w:kern w:val="2"/>
          <w:szCs w:val="22"/>
        </w:rPr>
        <w:t>via e</w:t>
      </w:r>
      <w:r w:rsidR="00246BE2">
        <w:rPr>
          <w:kern w:val="2"/>
          <w:szCs w:val="22"/>
        </w:rPr>
        <w:t>-</w:t>
      </w:r>
      <w:r w:rsidRPr="00D73846" w:rsidR="00DA1CBC">
        <w:rPr>
          <w:kern w:val="2"/>
          <w:szCs w:val="22"/>
        </w:rPr>
        <w:t xml:space="preserve">mail to </w:t>
      </w:r>
      <w:hyperlink r:id="rId5" w:history="1">
        <w:r w:rsidRPr="00E37EA9" w:rsidR="002B7A25">
          <w:rPr>
            <w:rStyle w:val="Hyperlink"/>
            <w:kern w:val="2"/>
            <w:szCs w:val="22"/>
          </w:rPr>
          <w:t>daniela.arregui@fcc.gov</w:t>
        </w:r>
      </w:hyperlink>
      <w:r w:rsidRPr="00D73846" w:rsidR="00DA1CBC">
        <w:rPr>
          <w:kern w:val="2"/>
          <w:szCs w:val="22"/>
        </w:rPr>
        <w:t xml:space="preserve"> and to </w:t>
      </w:r>
      <w:hyperlink r:id="rId6" w:history="1">
        <w:r w:rsidRPr="00D73846" w:rsidR="00DA1CBC">
          <w:rPr>
            <w:rStyle w:val="Hyperlink"/>
            <w:kern w:val="2"/>
            <w:szCs w:val="22"/>
          </w:rPr>
          <w:t>EB-SED-Response@fcc.gov</w:t>
        </w:r>
      </w:hyperlink>
      <w:r w:rsidRPr="00D73846" w:rsidR="00471C4A">
        <w:rPr>
          <w:kern w:val="2"/>
          <w:szCs w:val="22"/>
        </w:rPr>
        <w:t>, and</w:t>
      </w:r>
      <w:r w:rsidRPr="00D73846" w:rsidR="00DA1CBC">
        <w:rPr>
          <w:kern w:val="2"/>
          <w:szCs w:val="22"/>
        </w:rPr>
        <w:t xml:space="preserve"> </w:t>
      </w:r>
      <w:r w:rsidRPr="00D73846" w:rsidR="00471C4A">
        <w:rPr>
          <w:kern w:val="2"/>
          <w:szCs w:val="22"/>
        </w:rPr>
        <w:t>the subject line of the e</w:t>
      </w:r>
      <w:r w:rsidR="00246BE2">
        <w:rPr>
          <w:kern w:val="2"/>
          <w:szCs w:val="22"/>
        </w:rPr>
        <w:t>-</w:t>
      </w:r>
      <w:r w:rsidRPr="00D73846" w:rsidR="00471C4A">
        <w:rPr>
          <w:kern w:val="2"/>
          <w:szCs w:val="22"/>
        </w:rPr>
        <w:t xml:space="preserve">mail </w:t>
      </w:r>
      <w:r w:rsidRPr="00D73846" w:rsidR="00DA1CBC">
        <w:rPr>
          <w:kern w:val="2"/>
          <w:szCs w:val="22"/>
        </w:rPr>
        <w:t xml:space="preserve">should </w:t>
      </w:r>
      <w:r w:rsidRPr="00D73846" w:rsidR="00471C4A">
        <w:rPr>
          <w:kern w:val="2"/>
          <w:szCs w:val="22"/>
        </w:rPr>
        <w:t>specify the Company name and its investigation</w:t>
      </w:r>
      <w:r w:rsidRPr="00D73846" w:rsidR="00DA1CBC">
        <w:rPr>
          <w:kern w:val="2"/>
          <w:szCs w:val="22"/>
        </w:rPr>
        <w:t xml:space="preserve"> File Number</w:t>
      </w:r>
      <w:r w:rsidRPr="00D73846" w:rsidR="00471C4A">
        <w:rPr>
          <w:kern w:val="2"/>
          <w:szCs w:val="22"/>
        </w:rPr>
        <w:t>,</w:t>
      </w:r>
      <w:r w:rsidRPr="00D73846" w:rsidR="00DA1CBC">
        <w:rPr>
          <w:kern w:val="2"/>
          <w:szCs w:val="22"/>
        </w:rPr>
        <w:t xml:space="preserve"> </w:t>
      </w:r>
      <w:r w:rsidRPr="00D73846" w:rsidR="00DA1CBC">
        <w:rPr>
          <w:b/>
          <w:bCs/>
          <w:kern w:val="2"/>
          <w:szCs w:val="22"/>
        </w:rPr>
        <w:t>EB-SED-</w:t>
      </w:r>
      <w:r w:rsidRPr="00D73846" w:rsidR="007A2551">
        <w:rPr>
          <w:b/>
          <w:bCs/>
          <w:kern w:val="2"/>
          <w:szCs w:val="22"/>
        </w:rPr>
        <w:t>19-00029062</w:t>
      </w:r>
      <w:r w:rsidRPr="00D73846" w:rsidR="00DA1CBC">
        <w:rPr>
          <w:kern w:val="2"/>
          <w:szCs w:val="22"/>
        </w:rPr>
        <w:t xml:space="preserve">.  </w:t>
      </w:r>
      <w:r w:rsidRPr="00D73846" w:rsidR="00DA1CBC">
        <w:rPr>
          <w:rFonts w:eastAsia="ヒラギノ角ゴ Pro W3"/>
          <w:szCs w:val="22"/>
        </w:rPr>
        <w:t>Due to network file size restrictions, the Company should partition the response into separate e</w:t>
      </w:r>
      <w:r w:rsidR="00BD4D73">
        <w:rPr>
          <w:rFonts w:eastAsia="ヒラギノ角ゴ Pro W3"/>
          <w:szCs w:val="22"/>
        </w:rPr>
        <w:t>-</w:t>
      </w:r>
      <w:r w:rsidRPr="00D73846" w:rsidR="00DA1CBC">
        <w:rPr>
          <w:rFonts w:eastAsia="ヒラギノ角ゴ Pro W3"/>
          <w:szCs w:val="22"/>
        </w:rPr>
        <w:t xml:space="preserve">mails of less than 10 MB, including attachments.  The </w:t>
      </w:r>
      <w:r w:rsidRPr="00D73846" w:rsidR="00DA1CBC">
        <w:rPr>
          <w:rFonts w:eastAsia="ヒラギノ角ゴ Pro W3"/>
          <w:szCs w:val="22"/>
        </w:rPr>
        <w:t>Company should seek guidance in sufficient advance of the response deadline if it requires an alternative method of delivery.</w:t>
      </w:r>
      <w:r w:rsidR="002B7A25">
        <w:rPr>
          <w:rFonts w:eastAsia="ヒラギノ角ゴ Pro W3"/>
          <w:szCs w:val="22"/>
        </w:rPr>
        <w:t xml:space="preserve"> </w:t>
      </w:r>
    </w:p>
    <w:p w:rsidR="00886C3A" w:rsidRPr="00D73846" w:rsidP="00D73846" w14:paraId="5D7C43B9" w14:textId="6F35D958">
      <w:pPr>
        <w:pStyle w:val="ParaNum"/>
        <w:rPr>
          <w:kern w:val="2"/>
        </w:rPr>
      </w:pPr>
      <w:r w:rsidRPr="00D73846">
        <w:rPr>
          <w:kern w:val="2"/>
          <w:szCs w:val="22"/>
        </w:rPr>
        <w:t xml:space="preserve">Upon request, the Commission will make reasonable accommodations for persons with disabilities.  If applicable, </w:t>
      </w:r>
      <w:r w:rsidRPr="00D73846" w:rsidR="007A2551">
        <w:rPr>
          <w:kern w:val="2"/>
          <w:szCs w:val="22"/>
        </w:rPr>
        <w:t>Grainger</w:t>
      </w:r>
      <w:r w:rsidRPr="00D73846" w:rsidR="00140D78">
        <w:rPr>
          <w:kern w:val="2"/>
          <w:szCs w:val="22"/>
        </w:rPr>
        <w:t xml:space="preserve"> </w:t>
      </w:r>
      <w:r w:rsidRPr="00D73846">
        <w:rPr>
          <w:kern w:val="2"/>
          <w:szCs w:val="22"/>
        </w:rPr>
        <w:t xml:space="preserve">should provide a description of the accommodation required, and include as much detail as possible, and also provide </w:t>
      </w:r>
      <w:r w:rsidRPr="00D73846" w:rsidR="00C22E21">
        <w:rPr>
          <w:kern w:val="2"/>
          <w:szCs w:val="22"/>
        </w:rPr>
        <w:t xml:space="preserve">a telephone number and other </w:t>
      </w:r>
      <w:r w:rsidRPr="00D73846">
        <w:rPr>
          <w:kern w:val="2"/>
          <w:szCs w:val="22"/>
        </w:rPr>
        <w:t xml:space="preserve">contact information.  </w:t>
      </w:r>
      <w:r w:rsidR="007A2551">
        <w:t>Grainger</w:t>
      </w:r>
      <w:r w:rsidR="00140D78">
        <w:t xml:space="preserve"> </w:t>
      </w:r>
      <w:r w:rsidRPr="00D73846" w:rsidR="00436E88">
        <w:rPr>
          <w:kern w:val="2"/>
          <w:szCs w:val="22"/>
        </w:rPr>
        <w:t xml:space="preserve">should allow at least five </w:t>
      </w:r>
      <w:r w:rsidRPr="00D73846">
        <w:rPr>
          <w:kern w:val="2"/>
          <w:szCs w:val="22"/>
        </w:rPr>
        <w:t xml:space="preserve">business days advance notice; last minute requests will be accepted but may be impossible to fill.  </w:t>
      </w:r>
      <w:r w:rsidR="007A2551">
        <w:t>Grainger</w:t>
      </w:r>
      <w:r w:rsidR="00140D78">
        <w:t xml:space="preserve"> </w:t>
      </w:r>
      <w:r w:rsidRPr="00D73846">
        <w:rPr>
          <w:kern w:val="2"/>
          <w:szCs w:val="22"/>
        </w:rPr>
        <w:t xml:space="preserve">should send an e-mail to </w:t>
      </w:r>
      <w:hyperlink r:id="rId7" w:history="1">
        <w:r w:rsidRPr="008E4800" w:rsidR="00BD4D73">
          <w:rPr>
            <w:rStyle w:val="Hyperlink"/>
            <w:kern w:val="2"/>
            <w:szCs w:val="22"/>
          </w:rPr>
          <w:t>fcc504@fcc.gov</w:t>
        </w:r>
      </w:hyperlink>
      <w:r w:rsidRPr="00D73846">
        <w:rPr>
          <w:kern w:val="2"/>
          <w:szCs w:val="22"/>
        </w:rPr>
        <w:t xml:space="preserve"> or call the FCC’s Consumer &amp; Governmental Affairs Bureau:</w:t>
      </w:r>
    </w:p>
    <w:p w:rsidR="00886C3A" w:rsidRPr="00BE70CC" w:rsidP="00886C3A" w14:paraId="033EE88D" w14:textId="77777777">
      <w:pPr>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D73846" w:rsidP="00D73846" w14:paraId="1F6C229F" w14:textId="7530C54A">
      <w:pPr>
        <w:pStyle w:val="ListParagraph"/>
        <w:numPr>
          <w:ilvl w:val="2"/>
          <w:numId w:val="11"/>
        </w:numPr>
        <w:spacing w:after="220"/>
        <w:rPr>
          <w:kern w:val="2"/>
          <w:szCs w:val="22"/>
        </w:rPr>
      </w:pPr>
      <w:r>
        <w:rPr>
          <w:kern w:val="2"/>
          <w:szCs w:val="22"/>
        </w:rPr>
        <w:t>(vo</w:t>
      </w:r>
      <w:r w:rsidRPr="00D73846">
        <w:rPr>
          <w:kern w:val="2"/>
          <w:szCs w:val="22"/>
        </w:rPr>
        <w:t>ice), 202-418-0432 (</w:t>
      </w:r>
      <w:r w:rsidRPr="00D73846">
        <w:rPr>
          <w:kern w:val="2"/>
          <w:szCs w:val="22"/>
        </w:rPr>
        <w:t>tty</w:t>
      </w:r>
      <w:r w:rsidRPr="00D73846">
        <w:rPr>
          <w:kern w:val="2"/>
          <w:szCs w:val="22"/>
        </w:rPr>
        <w:t>);</w:t>
      </w:r>
    </w:p>
    <w:p w:rsidR="00D73846" w:rsidP="00D73846" w14:paraId="2182DC60" w14:textId="77777777">
      <w:pPr>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w:t>
      </w:r>
      <w:r w:rsidRPr="00BE70CC">
        <w:rPr>
          <w:kern w:val="2"/>
          <w:szCs w:val="22"/>
        </w:rPr>
        <w:t>tty</w:t>
      </w:r>
      <w:r w:rsidRPr="00BE70CC">
        <w:rPr>
          <w:kern w:val="2"/>
          <w:szCs w:val="22"/>
        </w:rPr>
        <w:t>).</w:t>
      </w:r>
      <w:r w:rsidRPr="00BE70CC">
        <w:rPr>
          <w:b/>
          <w:kern w:val="2"/>
          <w:szCs w:val="22"/>
        </w:rPr>
        <w:t xml:space="preserve">  </w:t>
      </w:r>
    </w:p>
    <w:p w:rsidR="00D73846" w:rsidRPr="00D73846" w:rsidP="00D73846" w14:paraId="40900989" w14:textId="31AB49EC">
      <w:pPr>
        <w:pStyle w:val="ParaNum"/>
      </w:pPr>
      <w:r w:rsidRPr="00BE70CC">
        <w:rPr>
          <w:kern w:val="2"/>
        </w:rPr>
        <w:t xml:space="preserve">We advise </w:t>
      </w:r>
      <w:r w:rsidR="007A2551">
        <w:t>Grainger</w:t>
      </w:r>
      <w:r w:rsidR="00140D78">
        <w:t xml:space="preserve"> </w:t>
      </w:r>
      <w:r w:rsidRPr="00BE70CC">
        <w:rPr>
          <w:kern w:val="2"/>
        </w:rPr>
        <w:t>th</w:t>
      </w:r>
      <w:r w:rsidRPr="00BE70CC">
        <w:t xml:space="preserve">at it is a violation of </w:t>
      </w:r>
      <w:r w:rsidR="00E01499">
        <w:t>s</w:t>
      </w:r>
      <w:r w:rsidRPr="00BE70CC" w:rsidR="00E01499">
        <w:t xml:space="preserve">ection </w:t>
      </w:r>
      <w:r w:rsidRPr="00BE70CC">
        <w:t xml:space="preserve">1.17 of the </w:t>
      </w:r>
      <w:r w:rsidR="00630B7C">
        <w:t>Commission’s r</w:t>
      </w:r>
      <w:r w:rsidRPr="00BE70CC">
        <w:t>ules</w:t>
      </w:r>
      <w:r>
        <w:rPr>
          <w:rStyle w:val="FootnoteReference"/>
          <w:szCs w:val="22"/>
        </w:rPr>
        <w:footnoteReference w:id="33"/>
      </w:r>
      <w:r w:rsidRPr="00BE70CC">
        <w:t xml:space="preserve"> for any person to make any false or misleading written or oral statement of fact</w:t>
      </w:r>
      <w:r w:rsidR="00BE70CC">
        <w:t xml:space="preserve"> to the Commission</w:t>
      </w:r>
      <w:r w:rsidRPr="00BE70CC">
        <w:t>.  Specifically, no person shall:</w:t>
      </w:r>
    </w:p>
    <w:p w:rsidR="00886C3A" w:rsidRPr="00BE70CC" w:rsidP="00886C3A" w14:paraId="7D3DDB69"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P="00886C3A" w14:paraId="4917346B"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P="00D73846" w14:paraId="1A42CEA8" w14:textId="50D9E58F">
      <w:pPr>
        <w:pStyle w:val="ParaNum"/>
      </w:pPr>
      <w:r w:rsidRPr="00BE70CC">
        <w:t>Further, the knowing and willful making of any false statement, or the concealment of any material fact, in reply to this Citation is punishable by fine or imprisonment</w:t>
      </w:r>
      <w:r w:rsidR="0090510E">
        <w:t>.</w:t>
      </w:r>
      <w:r>
        <w:rPr>
          <w:rStyle w:val="FootnoteReference"/>
          <w:kern w:val="2"/>
          <w:szCs w:val="22"/>
        </w:rPr>
        <w:footnoteReference w:id="34"/>
      </w:r>
    </w:p>
    <w:p w:rsidR="00886C3A" w:rsidRPr="00BE70CC" w:rsidP="00D73846" w14:paraId="0FFEB815" w14:textId="294092F2">
      <w:pPr>
        <w:pStyle w:val="ParaNum"/>
        <w:widowControl/>
        <w:tabs>
          <w:tab w:val="left" w:pos="1440"/>
        </w:tabs>
        <w:rPr>
          <w:kern w:val="2"/>
          <w:szCs w:val="22"/>
        </w:rPr>
      </w:pPr>
      <w:r w:rsidRPr="00BE70CC">
        <w:rPr>
          <w:kern w:val="2"/>
          <w:szCs w:val="22"/>
        </w:rPr>
        <w:t xml:space="preserve">Violations of </w:t>
      </w:r>
      <w:r w:rsidR="00E01499">
        <w:rPr>
          <w:kern w:val="2"/>
          <w:szCs w:val="22"/>
        </w:rPr>
        <w:t>s</w:t>
      </w:r>
      <w:r w:rsidRPr="00BE70CC" w:rsidR="00E01499">
        <w:rPr>
          <w:kern w:val="2"/>
          <w:szCs w:val="22"/>
        </w:rPr>
        <w:t xml:space="preserve">ection </w:t>
      </w:r>
      <w:r w:rsidRPr="00BE70CC">
        <w:rPr>
          <w:kern w:val="2"/>
          <w:szCs w:val="22"/>
        </w:rPr>
        <w:t xml:space="preserve">1.17 of the </w:t>
      </w:r>
      <w:r w:rsidR="00630B7C">
        <w:rPr>
          <w:kern w:val="2"/>
          <w:szCs w:val="22"/>
        </w:rPr>
        <w:t>Commission’s r</w:t>
      </w:r>
      <w:r w:rsidRPr="00BE70CC">
        <w:rPr>
          <w:kern w:val="2"/>
          <w:szCs w:val="22"/>
        </w:rPr>
        <w:t xml:space="preserve">ules or the criminal statute referenced above may result in further legal action, including monetary forfeitures pursuant to </w:t>
      </w:r>
      <w:r w:rsidR="00A25819">
        <w:rPr>
          <w:kern w:val="2"/>
          <w:szCs w:val="22"/>
        </w:rPr>
        <w:t>section</w:t>
      </w:r>
      <w:r w:rsidRPr="00BE70CC">
        <w:rPr>
          <w:kern w:val="2"/>
          <w:szCs w:val="22"/>
        </w:rPr>
        <w:t xml:space="preserve"> 503 of the</w:t>
      </w:r>
      <w:r w:rsidR="003C4AD3">
        <w:rPr>
          <w:kern w:val="2"/>
          <w:szCs w:val="22"/>
        </w:rPr>
        <w:t xml:space="preserve"> </w:t>
      </w:r>
      <w:r w:rsidRPr="00BE70CC">
        <w:rPr>
          <w:kern w:val="2"/>
          <w:szCs w:val="22"/>
        </w:rPr>
        <w:t>Act.</w:t>
      </w:r>
    </w:p>
    <w:p w:rsidR="004D3233" w:rsidRPr="00BE70CC" w:rsidP="00D73846" w14:paraId="39E8C82F" w14:textId="3DFA3B99">
      <w:pPr>
        <w:pStyle w:val="ParaNum"/>
        <w:widowControl/>
        <w:tabs>
          <w:tab w:val="left" w:pos="1440"/>
        </w:tabs>
        <w:rPr>
          <w:kern w:val="2"/>
          <w:szCs w:val="22"/>
        </w:rPr>
      </w:pPr>
      <w:r w:rsidRPr="00BE70CC">
        <w:rPr>
          <w:kern w:val="2"/>
          <w:szCs w:val="22"/>
        </w:rPr>
        <w:t xml:space="preserve">Finally, we warn </w:t>
      </w:r>
      <w:r w:rsidR="007A2551">
        <w:t>Grainger</w:t>
      </w:r>
      <w:r w:rsidR="00140D78">
        <w:t xml:space="preserve"> </w:t>
      </w:r>
      <w:r w:rsidRPr="00BE70CC">
        <w:rPr>
          <w:kern w:val="2"/>
          <w:szCs w:val="22"/>
        </w:rPr>
        <w:t xml:space="preserve">that, under the </w:t>
      </w:r>
      <w:r w:rsidRPr="00BE70CC" w:rsidR="00436E88">
        <w:rPr>
          <w:kern w:val="2"/>
          <w:szCs w:val="22"/>
        </w:rPr>
        <w:t>Privacy Act of 1974</w:t>
      </w:r>
      <w:r w:rsidR="003C4AD3">
        <w:rPr>
          <w:kern w:val="2"/>
          <w:szCs w:val="22"/>
        </w:rPr>
        <w:t>,</w:t>
      </w:r>
      <w:r>
        <w:rPr>
          <w:rStyle w:val="FootnoteReference"/>
          <w:kern w:val="2"/>
          <w:szCs w:val="22"/>
        </w:rPr>
        <w:footnoteReference w:id="35"/>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CF35AE">
        <w:t>Grainger’s</w:t>
      </w:r>
      <w:r w:rsidRPr="00BE70CC">
        <w:rPr>
          <w:kern w:val="2"/>
          <w:szCs w:val="22"/>
        </w:rPr>
        <w:t xml:space="preserve"> compliance with the Act and </w:t>
      </w:r>
      <w:r w:rsidR="00630B7C">
        <w:rPr>
          <w:kern w:val="2"/>
          <w:szCs w:val="22"/>
        </w:rPr>
        <w:t>the Commission’s r</w:t>
      </w:r>
      <w:r w:rsidRPr="00BE70CC">
        <w:rPr>
          <w:kern w:val="2"/>
          <w:szCs w:val="22"/>
        </w:rPr>
        <w:t>ules.</w:t>
      </w:r>
      <w:r w:rsidRPr="001B5AA8" w:rsidR="001B5AA8">
        <w:rPr>
          <w:rStyle w:val="FootnoteReference"/>
        </w:rPr>
        <w:t xml:space="preserve"> </w:t>
      </w:r>
      <w:r>
        <w:rPr>
          <w:rStyle w:val="FootnoteReference"/>
        </w:rPr>
        <w:footnoteReference w:id="36"/>
      </w:r>
    </w:p>
    <w:p w:rsidR="003343CA" w:rsidRPr="00BE70CC" w:rsidP="003C4AD3" w14:paraId="325482A6" w14:textId="77777777">
      <w:pPr>
        <w:pStyle w:val="Heading1"/>
      </w:pPr>
      <w:r w:rsidRPr="00BE70CC">
        <w:t>future violations</w:t>
      </w:r>
    </w:p>
    <w:p w:rsidR="00E432B7" w:rsidRPr="00CD2323" w:rsidP="00797195" w14:paraId="6F24F065" w14:textId="4D52B0FA">
      <w:pPr>
        <w:pStyle w:val="ParaNum"/>
      </w:pPr>
      <w:r w:rsidRPr="00BE70CC">
        <w:t xml:space="preserve">If, after receipt of this Citation, </w:t>
      </w:r>
      <w:r w:rsidR="007A2551">
        <w:t>Grainger</w:t>
      </w:r>
      <w:r w:rsidR="00140D78">
        <w:t xml:space="preserve"> </w:t>
      </w:r>
      <w:r w:rsidRPr="00BE70CC">
        <w:t xml:space="preserve">again violates </w:t>
      </w:r>
      <w:r w:rsidR="00CC0EF9">
        <w:t>s</w:t>
      </w:r>
      <w:r w:rsidR="00471C4A">
        <w:t xml:space="preserve">ection 302 of </w:t>
      </w:r>
      <w:r w:rsidR="00FC6EB6">
        <w:t xml:space="preserve">the </w:t>
      </w:r>
      <w:r w:rsidR="003C4AD3">
        <w:t xml:space="preserve">Act </w:t>
      </w:r>
      <w:r w:rsidR="004F1CBD">
        <w:t>and/</w:t>
      </w:r>
      <w:r w:rsidR="003C4AD3">
        <w:t xml:space="preserve">or </w:t>
      </w:r>
      <w:r w:rsidR="00471C4A">
        <w:t>sections 2.803(b</w:t>
      </w:r>
      <w:r w:rsidR="007A2551">
        <w:t>)</w:t>
      </w:r>
      <w:r w:rsidR="00D220D6">
        <w:t xml:space="preserve"> and</w:t>
      </w:r>
      <w:r w:rsidR="004F1CBD">
        <w:t>/or</w:t>
      </w:r>
      <w:r w:rsidR="00471C4A">
        <w:t xml:space="preserve"> </w:t>
      </w:r>
      <w:r w:rsidR="00D220D6">
        <w:t>15.205(a)</w:t>
      </w:r>
      <w:r w:rsidR="00471C4A">
        <w:t xml:space="preserve"> </w:t>
      </w:r>
      <w:r w:rsidRPr="007823C8" w:rsidR="00471C4A">
        <w:rPr>
          <w:color w:val="000000"/>
          <w:kern w:val="2"/>
        </w:rPr>
        <w:t>of</w:t>
      </w:r>
      <w:r w:rsidRPr="00FA0181" w:rsidR="00471C4A">
        <w:rPr>
          <w:color w:val="000000"/>
          <w:kern w:val="2"/>
        </w:rPr>
        <w:t xml:space="preserve"> </w:t>
      </w:r>
      <w:r w:rsidR="00AE6894">
        <w:t xml:space="preserve">the Commission’s </w:t>
      </w:r>
      <w:bookmarkStart w:id="8" w:name="_GoBack"/>
      <w:r w:rsidR="00AE6894">
        <w:t>rules</w:t>
      </w:r>
      <w:bookmarkEnd w:id="8"/>
      <w:r w:rsidR="00AE6894">
        <w:t xml:space="preserve"> </w:t>
      </w:r>
      <w:r w:rsidRPr="00BE70CC">
        <w:t xml:space="preserve">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ay impose monetary forfeitures</w:t>
      </w:r>
      <w:r w:rsidRPr="003C4AD3" w:rsidR="00654D13">
        <w:rPr>
          <w:kern w:val="2"/>
          <w:szCs w:val="22"/>
        </w:rPr>
        <w:t xml:space="preserve"> not to exceed $</w:t>
      </w:r>
      <w:r>
        <w:rPr>
          <w:kern w:val="2"/>
          <w:szCs w:val="22"/>
        </w:rPr>
        <w:t>20</w:t>
      </w:r>
      <w:r w:rsidRPr="003C4AD3" w:rsidR="00654D13">
        <w:rPr>
          <w:kern w:val="2"/>
          <w:szCs w:val="22"/>
        </w:rPr>
        <w:t>,</w:t>
      </w:r>
      <w:r w:rsidR="00471C4A">
        <w:rPr>
          <w:kern w:val="2"/>
          <w:szCs w:val="22"/>
        </w:rPr>
        <w:t>489</w:t>
      </w:r>
      <w:r w:rsidRPr="003C4AD3" w:rsidR="00471C4A">
        <w:rPr>
          <w:kern w:val="2"/>
          <w:szCs w:val="22"/>
        </w:rPr>
        <w:t xml:space="preserve"> </w:t>
      </w:r>
      <w:r w:rsidRPr="003C4AD3" w:rsidR="00654D13">
        <w:rPr>
          <w:szCs w:val="22"/>
        </w:rPr>
        <w:t xml:space="preserve">for each such violation or each day </w:t>
      </w:r>
      <w:r w:rsidRPr="003C4AD3" w:rsidR="00654D13">
        <w:rPr>
          <w:szCs w:val="22"/>
        </w:rPr>
        <w:t xml:space="preserve">of a continuing violation, and up to </w:t>
      </w:r>
      <w:r w:rsidRPr="003C4AD3" w:rsidR="00BE70CC">
        <w:rPr>
          <w:szCs w:val="22"/>
        </w:rPr>
        <w:t>$</w:t>
      </w:r>
      <w:r>
        <w:rPr>
          <w:szCs w:val="22"/>
        </w:rPr>
        <w:t>15</w:t>
      </w:r>
      <w:r w:rsidR="00587F4C">
        <w:rPr>
          <w:szCs w:val="22"/>
        </w:rPr>
        <w:t>3,669</w:t>
      </w:r>
      <w:r w:rsidRPr="003C4AD3" w:rsidR="00654D13">
        <w:rPr>
          <w:szCs w:val="22"/>
        </w:rPr>
        <w:t xml:space="preserve"> for any single act or failure to act.</w:t>
      </w:r>
      <w:r>
        <w:rPr>
          <w:szCs w:val="22"/>
          <w:vertAlign w:val="superscript"/>
        </w:rPr>
        <w:footnoteReference w:id="37"/>
      </w:r>
      <w:r>
        <w:rPr>
          <w:szCs w:val="22"/>
        </w:rPr>
        <w:t xml:space="preserve">  </w:t>
      </w:r>
      <w:r w:rsidRPr="00BE70CC">
        <w:t>The Commission may fur</w:t>
      </w:r>
      <w:r w:rsidRPr="00BE70CC" w:rsidR="00C22E21">
        <w:t xml:space="preserve">ther adjust the forfeiture reflecting </w:t>
      </w:r>
      <w:r w:rsidRPr="00BE70CC">
        <w:t xml:space="preserve">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38"/>
      </w:r>
      <w:r w:rsidRPr="00BE70CC">
        <w:t xml:space="preserve">  Further, as discussed above, the Commission may assess forfeitures on both the conduct that led to this Citation and the conduct following it.</w:t>
      </w:r>
      <w:r>
        <w:rPr>
          <w:rStyle w:val="FootnoteReference"/>
        </w:rPr>
        <w:footnoteReference w:id="39"/>
      </w:r>
      <w:r w:rsidRPr="00BE70CC" w:rsidR="005B4CEA">
        <w:t xml:space="preserve"> </w:t>
      </w:r>
      <w:r w:rsidRPr="00BE70CC" w:rsidR="003343CA">
        <w:t xml:space="preserve"> </w:t>
      </w:r>
    </w:p>
    <w:p w:rsidR="003343CA" w:rsidRPr="00BE70CC" w:rsidP="003343CA" w14:paraId="77274794" w14:textId="77777777">
      <w:pPr>
        <w:pStyle w:val="Heading1"/>
      </w:pPr>
      <w:r w:rsidRPr="00BE70CC">
        <w:t>ORDERING CLAUSES</w:t>
      </w:r>
    </w:p>
    <w:p w:rsidR="00AE6894" w:rsidRPr="00AE6894" w:rsidP="00797195" w14:paraId="38F1E064" w14:textId="0D5DEDAE">
      <w:pPr>
        <w:pStyle w:val="ParaNum"/>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A25819">
        <w:rPr>
          <w:noProof/>
          <w:color w:val="000000"/>
          <w:szCs w:val="22"/>
        </w:rPr>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40"/>
      </w:r>
      <w:r w:rsidRPr="00BE70CC" w:rsidR="00C93DFC">
        <w:rPr>
          <w:noProof/>
          <w:color w:val="000000"/>
          <w:szCs w:val="22"/>
        </w:rPr>
        <w:t xml:space="preserve"> </w:t>
      </w:r>
      <w:r w:rsidR="003D4EDC">
        <w:rPr>
          <w:noProof/>
          <w:color w:val="000000"/>
          <w:szCs w:val="22"/>
        </w:rPr>
        <w:t>Grainger</w:t>
      </w:r>
      <w:r w:rsidR="00140D78">
        <w:t xml:space="preserve"> </w:t>
      </w:r>
      <w:r w:rsidRPr="00BE70CC" w:rsidR="00C93DFC">
        <w:rPr>
          <w:noProof/>
          <w:color w:val="000000"/>
          <w:szCs w:val="22"/>
        </w:rPr>
        <w:t>must cease and desist from</w:t>
      </w:r>
      <w:r w:rsidRPr="00BE70CC" w:rsidR="009A01CF">
        <w:rPr>
          <w:noProof/>
          <w:color w:val="000000"/>
          <w:szCs w:val="22"/>
        </w:rPr>
        <w:t xml:space="preserve"> </w:t>
      </w:r>
      <w:r>
        <w:rPr>
          <w:noProof/>
          <w:color w:val="000000"/>
          <w:szCs w:val="22"/>
        </w:rPr>
        <w:t>marketing</w:t>
      </w:r>
      <w:r w:rsidR="0014152A">
        <w:rPr>
          <w:noProof/>
          <w:color w:val="000000"/>
          <w:szCs w:val="22"/>
        </w:rPr>
        <w:t xml:space="preserve"> </w:t>
      </w:r>
      <w:r w:rsidR="00A31526">
        <w:rPr>
          <w:noProof/>
          <w:color w:val="000000"/>
          <w:szCs w:val="22"/>
        </w:rPr>
        <w:t>noncompliant radio frequency devices</w:t>
      </w:r>
      <w:r>
        <w:rPr>
          <w:noProof/>
          <w:color w:val="000000"/>
          <w:szCs w:val="22"/>
        </w:rPr>
        <w:t xml:space="preserve"> </w:t>
      </w:r>
      <w:r w:rsidRPr="00BE70CC" w:rsidR="00E87690">
        <w:t xml:space="preserve">in violation of </w:t>
      </w:r>
      <w:r w:rsidR="00A25819">
        <w:rPr>
          <w:kern w:val="2"/>
        </w:rPr>
        <w:t>section</w:t>
      </w:r>
      <w:r w:rsidR="0014152A">
        <w:rPr>
          <w:kern w:val="2"/>
        </w:rPr>
        <w:t xml:space="preserve"> 302(b) of the Communications Act and sections </w:t>
      </w:r>
      <w:r w:rsidR="0014152A">
        <w:t>2.803(b</w:t>
      </w:r>
      <w:r w:rsidR="003D4EDC">
        <w:t>) and</w:t>
      </w:r>
      <w:r w:rsidR="0014152A">
        <w:t xml:space="preserve"> </w:t>
      </w:r>
      <w:r w:rsidR="003D4EDC">
        <w:t>15.205(a)</w:t>
      </w:r>
      <w:r w:rsidR="0014152A">
        <w:t xml:space="preserve"> </w:t>
      </w:r>
      <w:r w:rsidR="0014152A">
        <w:rPr>
          <w:color w:val="000000"/>
          <w:kern w:val="2"/>
        </w:rPr>
        <w:t>o</w:t>
      </w:r>
      <w:r w:rsidRPr="00BE70CC" w:rsidR="0014152A">
        <w:rPr>
          <w:color w:val="000000"/>
          <w:kern w:val="2"/>
        </w:rPr>
        <w:t>f the</w:t>
      </w:r>
      <w:r w:rsidR="0014152A">
        <w:rPr>
          <w:color w:val="000000"/>
          <w:kern w:val="2"/>
        </w:rPr>
        <w:t xml:space="preserve"> </w:t>
      </w:r>
      <w:r w:rsidRPr="00BE70CC" w:rsidR="0014152A">
        <w:rPr>
          <w:color w:val="000000"/>
          <w:kern w:val="2"/>
        </w:rPr>
        <w:t>Commission’s rules</w:t>
      </w:r>
      <w:r w:rsidR="0014152A">
        <w:rPr>
          <w:color w:val="000000"/>
          <w:kern w:val="2"/>
        </w:rPr>
        <w:t>.</w:t>
      </w:r>
      <w:r>
        <w:rPr>
          <w:rStyle w:val="FootnoteReference"/>
        </w:rPr>
        <w:footnoteReference w:id="41"/>
      </w:r>
    </w:p>
    <w:p w:rsidR="003343CA" w:rsidRPr="000F3D2F" w:rsidP="00797195" w14:paraId="323A3E43" w14:textId="2A376130">
      <w:pPr>
        <w:pStyle w:val="ParaNum"/>
        <w:tabs>
          <w:tab w:val="left" w:pos="720"/>
        </w:tabs>
      </w:pPr>
      <w:r w:rsidRPr="000F3D2F">
        <w:rPr>
          <w:b/>
        </w:rPr>
        <w:t>IT IS FURTHER ORDERED</w:t>
      </w:r>
      <w:r w:rsidRPr="000F3D2F">
        <w:t xml:space="preserve"> that a copy of this </w:t>
      </w:r>
      <w:r w:rsidRPr="000F3D2F" w:rsidR="009E53A5">
        <w:t>Citation and</w:t>
      </w:r>
      <w:r w:rsidRPr="000F3D2F">
        <w:t xml:space="preserve"> Order </w:t>
      </w:r>
      <w:r w:rsidRPr="000F3D2F" w:rsidR="00EE36BE">
        <w:rPr>
          <w:color w:val="000000"/>
          <w:szCs w:val="22"/>
        </w:rPr>
        <w:t xml:space="preserve">shall be sent by first class mail and certified mail, return receipt requested, to </w:t>
      </w:r>
      <w:r w:rsidRPr="000F3D2F" w:rsidR="00B92D88">
        <w:rPr>
          <w:color w:val="000000"/>
          <w:szCs w:val="22"/>
        </w:rPr>
        <w:t>John E</w:t>
      </w:r>
      <w:r w:rsidRPr="000F3D2F" w:rsidR="000F3D2F">
        <w:rPr>
          <w:color w:val="000000"/>
          <w:szCs w:val="22"/>
        </w:rPr>
        <w:t>.</w:t>
      </w:r>
      <w:r w:rsidRPr="000F3D2F" w:rsidR="00B92D88">
        <w:rPr>
          <w:color w:val="000000"/>
          <w:szCs w:val="22"/>
        </w:rPr>
        <w:t xml:space="preserve"> Logan</w:t>
      </w:r>
      <w:r w:rsidRPr="000F3D2F" w:rsidR="00587F4C">
        <w:rPr>
          <w:color w:val="000000"/>
          <w:szCs w:val="22"/>
        </w:rPr>
        <w:t>,</w:t>
      </w:r>
      <w:r w:rsidRPr="000F3D2F" w:rsidR="00144DD4">
        <w:rPr>
          <w:color w:val="000000"/>
          <w:szCs w:val="22"/>
        </w:rPr>
        <w:t xml:space="preserve"> Counsel for</w:t>
      </w:r>
      <w:r w:rsidRPr="000F3D2F" w:rsidR="000033C8">
        <w:rPr>
          <w:color w:val="000000"/>
          <w:szCs w:val="22"/>
        </w:rPr>
        <w:t xml:space="preserve"> W.W. Grainger,</w:t>
      </w:r>
      <w:r w:rsidRPr="000F3D2F" w:rsidR="00144DD4">
        <w:rPr>
          <w:color w:val="000000"/>
          <w:szCs w:val="22"/>
        </w:rPr>
        <w:t xml:space="preserve"> Inc. d/b/a </w:t>
      </w:r>
      <w:r w:rsidRPr="000F3D2F" w:rsidR="000033C8">
        <w:rPr>
          <w:color w:val="000000"/>
          <w:szCs w:val="22"/>
        </w:rPr>
        <w:t>Grainger</w:t>
      </w:r>
      <w:r w:rsidRPr="000F3D2F" w:rsidR="00144DD4">
        <w:rPr>
          <w:color w:val="000000"/>
          <w:szCs w:val="22"/>
        </w:rPr>
        <w:t xml:space="preserve">, </w:t>
      </w:r>
      <w:r w:rsidRPr="000F3D2F" w:rsidR="006369D0">
        <w:rPr>
          <w:color w:val="000000"/>
          <w:szCs w:val="22"/>
        </w:rPr>
        <w:t>1717 K Street NW, Washington, DC 20006</w:t>
      </w:r>
      <w:r w:rsidRPr="000F3D2F" w:rsidR="00E509AD">
        <w:rPr>
          <w:color w:val="000000"/>
          <w:szCs w:val="22"/>
        </w:rPr>
        <w:t xml:space="preserve">. </w:t>
      </w:r>
    </w:p>
    <w:p w:rsidR="003343CA" w:rsidP="003343CA" w14:paraId="7F735352" w14:textId="77777777"/>
    <w:p w:rsidR="003343CA" w:rsidRPr="00BE70CC" w:rsidP="003343CA" w14:paraId="06507FD5" w14:textId="77777777"/>
    <w:p w:rsidR="003343CA" w:rsidRPr="00BE70CC" w:rsidP="005E6F60" w14:paraId="5944B86A" w14:textId="0EA1998F">
      <w:pPr>
        <w:ind w:left="3600" w:firstLine="720"/>
      </w:pPr>
      <w:r w:rsidRPr="00BE70CC">
        <w:t>FEDERAL COMMUNICATIONS COMMISSION</w:t>
      </w:r>
    </w:p>
    <w:p w:rsidR="003343CA" w:rsidRPr="00BE70CC" w:rsidP="003343CA" w14:paraId="3C639087" w14:textId="545867C7">
      <w:pPr>
        <w:ind w:left="4410"/>
      </w:pPr>
    </w:p>
    <w:p w:rsidR="003343CA" w:rsidRPr="00BE70CC" w:rsidP="003343CA" w14:paraId="52AC5299" w14:textId="77777777">
      <w:pPr>
        <w:ind w:left="4410"/>
      </w:pPr>
    </w:p>
    <w:p w:rsidR="003343CA" w:rsidRPr="00BE70CC" w:rsidP="003343CA" w14:paraId="37E9A354" w14:textId="77777777">
      <w:pPr>
        <w:ind w:left="4410"/>
      </w:pPr>
    </w:p>
    <w:p w:rsidR="003343CA" w:rsidRPr="00BE70CC" w:rsidP="003343CA" w14:paraId="192BAF00" w14:textId="77777777">
      <w:pPr>
        <w:ind w:left="4410"/>
      </w:pPr>
    </w:p>
    <w:p w:rsidR="00EE36BE" w:rsidRPr="006D73F2" w:rsidP="003C4AD3" w14:paraId="3BE5528A" w14:textId="77777777">
      <w:pPr>
        <w:tabs>
          <w:tab w:val="left" w:pos="0"/>
          <w:tab w:val="left" w:pos="720"/>
          <w:tab w:val="left" w:pos="1440"/>
        </w:tabs>
        <w:suppressAutoHyphens/>
        <w:spacing w:line="240" w:lineRule="atLeast"/>
        <w:ind w:left="4320"/>
        <w:rPr>
          <w:szCs w:val="22"/>
        </w:rPr>
      </w:pPr>
      <w:r>
        <w:rPr>
          <w:szCs w:val="22"/>
        </w:rPr>
        <w:t xml:space="preserve">Elizabeth </w:t>
      </w:r>
      <w:r w:rsidR="00CE71E7">
        <w:rPr>
          <w:szCs w:val="22"/>
        </w:rPr>
        <w:t xml:space="preserve">Y. </w:t>
      </w:r>
      <w:r>
        <w:rPr>
          <w:szCs w:val="22"/>
        </w:rPr>
        <w:t>Mumaw</w:t>
      </w:r>
      <w:r w:rsidRPr="006D73F2">
        <w:rPr>
          <w:szCs w:val="22"/>
        </w:rPr>
        <w:t xml:space="preserve"> </w:t>
      </w:r>
    </w:p>
    <w:p w:rsidR="00EE36BE" w:rsidRPr="006D73F2" w:rsidP="003C4AD3" w14:paraId="679C532B" w14:textId="77777777">
      <w:pPr>
        <w:ind w:left="4320"/>
        <w:rPr>
          <w:szCs w:val="22"/>
        </w:rPr>
      </w:pPr>
      <w:r w:rsidRPr="006D73F2">
        <w:rPr>
          <w:szCs w:val="22"/>
        </w:rPr>
        <w:t>Chief</w:t>
      </w:r>
    </w:p>
    <w:p w:rsidR="008C22CD" w:rsidP="003C4AD3" w14:paraId="732F8D0F" w14:textId="77777777">
      <w:pPr>
        <w:ind w:left="4320"/>
        <w:rPr>
          <w:szCs w:val="22"/>
        </w:rPr>
      </w:pPr>
      <w:r>
        <w:rPr>
          <w:szCs w:val="22"/>
        </w:rPr>
        <w:t>Spectrum Enforcement Division</w:t>
      </w:r>
    </w:p>
    <w:p w:rsidR="00E273E3" w:rsidP="00140D78" w14:paraId="02435CA2" w14:textId="77777777">
      <w:pPr>
        <w:ind w:left="4320"/>
        <w:rPr>
          <w:szCs w:val="22"/>
        </w:rPr>
      </w:pPr>
      <w:r w:rsidRPr="006D73F2">
        <w:rPr>
          <w:szCs w:val="22"/>
        </w:rPr>
        <w:t>Enforcement Bureau</w:t>
      </w:r>
    </w:p>
    <w:sectPr w:rsidSect="00F50F55">
      <w:headerReference w:type="default" r:id="rId8"/>
      <w:footerReference w:type="even" r:id="rId9"/>
      <w:footerReference w:type="default" r:id="rId10"/>
      <w:headerReference w:type="first" r:id="rId11"/>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14:paraId="11EE59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E814DB" w14:paraId="7FE011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14:paraId="2BCC125B" w14:textId="77777777">
    <w:pPr>
      <w:pStyle w:val="Foote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rsidR="00E814DB" w14:paraId="4EE9003A"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16FC" w14:paraId="01A2CF8B" w14:textId="77777777">
      <w:r>
        <w:separator/>
      </w:r>
    </w:p>
  </w:footnote>
  <w:footnote w:type="continuationSeparator" w:id="1">
    <w:p w:rsidR="00B516FC" w14:paraId="5B068BAB" w14:textId="77777777">
      <w:pPr>
        <w:rPr>
          <w:sz w:val="20"/>
        </w:rPr>
      </w:pPr>
      <w:r>
        <w:rPr>
          <w:sz w:val="20"/>
        </w:rPr>
        <w:t xml:space="preserve">(Continued from previous page)  </w:t>
      </w:r>
      <w:r>
        <w:rPr>
          <w:sz w:val="20"/>
        </w:rPr>
        <w:separator/>
      </w:r>
    </w:p>
  </w:footnote>
  <w:footnote w:type="continuationNotice" w:id="2">
    <w:p w:rsidR="00B516FC" w14:paraId="2EF531C6" w14:textId="77777777">
      <w:pPr>
        <w:rPr>
          <w:sz w:val="20"/>
        </w:rPr>
      </w:pPr>
      <w:r>
        <w:rPr>
          <w:sz w:val="20"/>
        </w:rPr>
        <w:t>(continued….)</w:t>
      </w:r>
    </w:p>
  </w:footnote>
  <w:footnote w:id="3">
    <w:p w:rsidR="00527518" w:rsidP="00527518" w14:paraId="369155B0" w14:textId="785C3830">
      <w:pPr>
        <w:pStyle w:val="FootnoteText"/>
      </w:pPr>
      <w:r>
        <w:rPr>
          <w:rStyle w:val="FootnoteReference"/>
        </w:rPr>
        <w:footnoteRef/>
      </w:r>
      <w:r>
        <w:t xml:space="preserve"> Restricted frequencies are frequencies in which only spurious emissions are permitted</w:t>
      </w:r>
      <w:r w:rsidR="00EE3EF0">
        <w:t xml:space="preserve"> </w:t>
      </w:r>
      <w:r w:rsidR="008F60D8">
        <w:t xml:space="preserve">from unlicensed devices </w:t>
      </w:r>
      <w:r w:rsidR="00EE3EF0">
        <w:t xml:space="preserve">with limited exceptions detailed in section </w:t>
      </w:r>
      <w:r w:rsidRPr="00C86D13" w:rsidR="00EE3EF0">
        <w:t>15.20</w:t>
      </w:r>
      <w:r w:rsidRPr="00C86D13" w:rsidR="0013051A">
        <w:t>5</w:t>
      </w:r>
      <w:r w:rsidR="00EE3EF0">
        <w:t xml:space="preserve"> of the Commission’s rules</w:t>
      </w:r>
      <w:r>
        <w:t xml:space="preserve">.  </w:t>
      </w:r>
      <w:r w:rsidRPr="00527518">
        <w:rPr>
          <w:i/>
          <w:iCs/>
        </w:rPr>
        <w:t>See</w:t>
      </w:r>
      <w:r>
        <w:t xml:space="preserve"> 47 CFR § 15.205.</w:t>
      </w:r>
    </w:p>
  </w:footnote>
  <w:footnote w:id="4">
    <w:p w:rsidR="00E814DB" w:rsidP="000A40FF" w14:paraId="071C0468" w14:textId="5D356FA2">
      <w:pPr>
        <w:pStyle w:val="FootnoteText"/>
      </w:pPr>
      <w:r>
        <w:rPr>
          <w:rStyle w:val="FootnoteReference"/>
        </w:rPr>
        <w:footnoteRef/>
      </w:r>
      <w:r>
        <w:t xml:space="preserve"> 47 U.S.C. </w:t>
      </w:r>
      <w:r w:rsidRPr="00F14821">
        <w:t>§</w:t>
      </w:r>
      <w:r>
        <w:t xml:space="preserve"> 302a(b); 47 CFR </w:t>
      </w:r>
      <w:r w:rsidRPr="00F14821">
        <w:t>§§</w:t>
      </w:r>
      <w:r>
        <w:t xml:space="preserve"> 2.803(b), </w:t>
      </w:r>
      <w:r w:rsidR="00AF50C3">
        <w:t>1</w:t>
      </w:r>
      <w:r>
        <w:t>5.</w:t>
      </w:r>
      <w:r w:rsidR="00AF50C3">
        <w:t>205(a)</w:t>
      </w:r>
      <w:r>
        <w:t>.</w:t>
      </w:r>
    </w:p>
  </w:footnote>
  <w:footnote w:id="5">
    <w:p w:rsidR="00E814DB" w:rsidRPr="006444CF" w14:paraId="58E1CA71" w14:textId="6576880B">
      <w:pPr>
        <w:pStyle w:val="FootnoteText"/>
      </w:pPr>
      <w:r>
        <w:rPr>
          <w:rStyle w:val="FootnoteReference"/>
        </w:rPr>
        <w:footnoteRef/>
      </w:r>
      <w:r>
        <w:t xml:space="preserve"> </w:t>
      </w:r>
      <w:r w:rsidRPr="00FA0181">
        <w:rPr>
          <w:i/>
          <w:color w:val="000000"/>
        </w:rPr>
        <w:t>See</w:t>
      </w:r>
      <w:r w:rsidRPr="00FA0181">
        <w:rPr>
          <w:color w:val="000000"/>
        </w:rPr>
        <w:t xml:space="preserve"> 47 U.S.C. § 503(b)(2)(D); 47 CFR § 1.80(b)(7). </w:t>
      </w:r>
      <w:r w:rsidRPr="00A25819">
        <w:rPr>
          <w:color w:val="000000"/>
        </w:rPr>
        <w:t xml:space="preserve"> The forfeiture amounts stated here, which became effective upon publication in the Federal Register, reflect the current annual</w:t>
      </w:r>
      <w:r w:rsidRPr="00FA0181">
        <w:rPr>
          <w:color w:val="000000"/>
        </w:rPr>
        <w:t xml:space="preserve"> inflation adjustments to </w:t>
      </w:r>
      <w:r w:rsidRPr="00A25819">
        <w:rPr>
          <w:color w:val="000000"/>
        </w:rPr>
        <w:t>the forfeiture amounts originally specified in section</w:t>
      </w:r>
      <w:r w:rsidRPr="00FA0181">
        <w:rPr>
          <w:color w:val="000000"/>
        </w:rPr>
        <w:t xml:space="preserve"> 503(b)(2) of the Act</w:t>
      </w:r>
      <w:r w:rsidRPr="00A25819">
        <w:rPr>
          <w:color w:val="000000"/>
        </w:rPr>
        <w:t xml:space="preserve">. </w:t>
      </w:r>
      <w:r w:rsidRPr="00FA0181">
        <w:rPr>
          <w:color w:val="000000"/>
        </w:rPr>
        <w:t xml:space="preserve"> </w:t>
      </w:r>
      <w:r w:rsidRPr="00E10693">
        <w:rPr>
          <w:i/>
          <w:iCs/>
        </w:rPr>
        <w:t>Amendment of Section 1.80(b) of the Commission’s Rules, Adjustment of Civil Monetary Penalties to Reflect Inflation</w:t>
      </w:r>
      <w:r>
        <w:t xml:space="preserve">, Order, </w:t>
      </w:r>
      <w:r w:rsidR="00F047C8">
        <w:t xml:space="preserve">34 FCC </w:t>
      </w:r>
      <w:r w:rsidR="00F047C8">
        <w:t>Rcd</w:t>
      </w:r>
      <w:r w:rsidR="00F047C8">
        <w:t xml:space="preserve"> 12824 </w:t>
      </w:r>
      <w:r>
        <w:t>(EB 2019) (2020 Inflation Order); FCC Annual Adjustment of Civil Monetary Penalties to Reflect Inflation, 85 Fed. Reg. 2318 (Jan. 15, 2020)</w:t>
      </w:r>
      <w:r w:rsidRPr="00A25819">
        <w:rPr>
          <w:color w:val="000000"/>
        </w:rPr>
        <w:t xml:space="preserve">.   The 2015 Inflation Adjustment Act provides that the new penalty levels shall apply to penalties assessed after the effective date of the increase, “including [penalties] whose associated violation predated such increase[.]”  </w:t>
      </w:r>
      <w:r w:rsidRPr="00A25819">
        <w:rPr>
          <w:i/>
          <w:iCs/>
          <w:color w:val="000000"/>
        </w:rPr>
        <w:t>See</w:t>
      </w:r>
      <w:r w:rsidRPr="00A25819">
        <w:rPr>
          <w:color w:val="000000"/>
        </w:rPr>
        <w:t xml:space="preserve"> </w:t>
      </w:r>
      <w:r w:rsidRPr="00BC4F98">
        <w:rPr>
          <w:rStyle w:val="rrfootnoteCharCharChar"/>
        </w:rPr>
        <w:t xml:space="preserve">Pub. L. No. 114-74, </w:t>
      </w:r>
      <w:r>
        <w:rPr>
          <w:rStyle w:val="rrfootnoteCharCharChar"/>
        </w:rPr>
        <w:t xml:space="preserve">§ 701, </w:t>
      </w:r>
      <w:r w:rsidRPr="00BC4F98">
        <w:rPr>
          <w:rStyle w:val="rrfootnoteCharCharChar"/>
        </w:rPr>
        <w:t>129 Stat. 584, 599</w:t>
      </w:r>
      <w:r>
        <w:rPr>
          <w:rStyle w:val="rrfootnoteCharCharChar"/>
        </w:rPr>
        <w:t xml:space="preserve"> (2015) (2015 Inflation Adjustment Act</w:t>
      </w:r>
      <w:r>
        <w:t>)</w:t>
      </w:r>
      <w:r w:rsidRPr="006B73E8">
        <w:t>.</w:t>
      </w:r>
    </w:p>
  </w:footnote>
  <w:footnote w:id="6">
    <w:p w:rsidR="00E814DB" w:rsidRPr="002D63C3" w:rsidP="003C4AD3" w14:paraId="692047E3"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7">
    <w:p w:rsidR="00E814DB" w:rsidRPr="002D63C3" w:rsidP="003C4AD3" w14:paraId="1672AC74" w14:textId="713072FA">
      <w:pPr>
        <w:pStyle w:val="FootnoteText"/>
      </w:pPr>
      <w:r w:rsidRPr="002D63C3">
        <w:rPr>
          <w:rStyle w:val="FootnoteReference"/>
        </w:rPr>
        <w:footnoteRef/>
      </w:r>
      <w:r w:rsidRPr="002D63C3">
        <w:t xml:space="preserve"> </w:t>
      </w:r>
      <w:r>
        <w:t xml:space="preserve">47 U.S.C. </w:t>
      </w:r>
      <w:r w:rsidRPr="00F14821">
        <w:t>§</w:t>
      </w:r>
      <w:r>
        <w:t xml:space="preserve"> 302a(b); 47 CFR </w:t>
      </w:r>
      <w:r w:rsidRPr="00F14821">
        <w:t>§§</w:t>
      </w:r>
      <w:r>
        <w:t xml:space="preserve"> 2.803(b</w:t>
      </w:r>
      <w:r w:rsidR="00A42F5E">
        <w:t>), 15.205(a)</w:t>
      </w:r>
      <w:r>
        <w:t>.</w:t>
      </w:r>
    </w:p>
  </w:footnote>
  <w:footnote w:id="8">
    <w:p w:rsidR="00E814DB" w:rsidRPr="002D63C3" w:rsidP="003C4AD3" w14:paraId="484EA193"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9">
    <w:p w:rsidR="00E814DB" w14:paraId="0B997087" w14:textId="2DB66690">
      <w:pPr>
        <w:pStyle w:val="FootnoteText"/>
      </w:pPr>
      <w:r>
        <w:rPr>
          <w:rStyle w:val="FootnoteReference"/>
        </w:rPr>
        <w:footnoteRef/>
      </w:r>
      <w:r>
        <w:t xml:space="preserve"> Letter from </w:t>
      </w:r>
      <w:r w:rsidR="00E01D17">
        <w:t>Elizabeth Y, Mumaw</w:t>
      </w:r>
      <w:r w:rsidR="00A9096B">
        <w:t xml:space="preserve">, </w:t>
      </w:r>
      <w:r>
        <w:t xml:space="preserve">Chief, Spectrum Enforcement Division, </w:t>
      </w:r>
      <w:r w:rsidR="004A3F69">
        <w:t xml:space="preserve">FCC </w:t>
      </w:r>
      <w:r>
        <w:t xml:space="preserve">Enforcement Bureau, to </w:t>
      </w:r>
      <w:r w:rsidR="00A9096B">
        <w:t>Donald G. Macpherson</w:t>
      </w:r>
      <w:r>
        <w:t xml:space="preserve">, </w:t>
      </w:r>
      <w:r w:rsidR="00A9096B">
        <w:t>Chief Executive Office</w:t>
      </w:r>
      <w:r>
        <w:t xml:space="preserve">, </w:t>
      </w:r>
      <w:r w:rsidR="00A9096B">
        <w:t>Grainger</w:t>
      </w:r>
      <w:r>
        <w:t xml:space="preserve"> (Aug. </w:t>
      </w:r>
      <w:r w:rsidR="00D1161C">
        <w:t>9</w:t>
      </w:r>
      <w:r>
        <w:t>, 201</w:t>
      </w:r>
      <w:r w:rsidR="00D1161C">
        <w:t>9</w:t>
      </w:r>
      <w:r>
        <w:t>) (LOI).</w:t>
      </w:r>
    </w:p>
  </w:footnote>
  <w:footnote w:id="10">
    <w:p w:rsidR="00E814DB" w14:paraId="187EA2A4" w14:textId="49897DCD">
      <w:pPr>
        <w:pStyle w:val="FootnoteText"/>
      </w:pPr>
      <w:r>
        <w:rPr>
          <w:rStyle w:val="FootnoteReference"/>
        </w:rPr>
        <w:footnoteRef/>
      </w:r>
      <w:r>
        <w:t xml:space="preserve"> </w:t>
      </w:r>
      <w:r w:rsidRPr="006353A9">
        <w:rPr>
          <w:i/>
        </w:rPr>
        <w:t>See</w:t>
      </w:r>
      <w:r>
        <w:t xml:space="preserve"> </w:t>
      </w:r>
      <w:r w:rsidR="00DE05E1">
        <w:t xml:space="preserve">Response to Letter of Inquiry, </w:t>
      </w:r>
      <w:r>
        <w:t xml:space="preserve">from </w:t>
      </w:r>
      <w:r w:rsidR="004D650D">
        <w:t>John E. Logan</w:t>
      </w:r>
      <w:r>
        <w:t xml:space="preserve">, Counsel to </w:t>
      </w:r>
      <w:r w:rsidR="004D650D">
        <w:t>W.W. Grainger, Inc.</w:t>
      </w:r>
      <w:r>
        <w:t xml:space="preserve"> d/b/a </w:t>
      </w:r>
      <w:r w:rsidR="004D650D">
        <w:t>Grainger</w:t>
      </w:r>
      <w:r>
        <w:t xml:space="preserve">, to </w:t>
      </w:r>
      <w:r w:rsidR="004D650D">
        <w:t>Elizabeth Y. Mumaw</w:t>
      </w:r>
      <w:r>
        <w:t xml:space="preserve">, Chief, Spectrum Enforcement Division, </w:t>
      </w:r>
      <w:r w:rsidR="00EB1ED8">
        <w:t xml:space="preserve">FCC </w:t>
      </w:r>
      <w:r>
        <w:t xml:space="preserve">Enforcement Bureau (Sept. </w:t>
      </w:r>
      <w:r w:rsidR="00C31BC9">
        <w:t>6</w:t>
      </w:r>
      <w:r>
        <w:t>, 201</w:t>
      </w:r>
      <w:r w:rsidR="00C31BC9">
        <w:t>9</w:t>
      </w:r>
      <w:r>
        <w:t>) (LOI Response).</w:t>
      </w:r>
      <w:r w:rsidR="0062311F">
        <w:t xml:space="preserve">  </w:t>
      </w:r>
    </w:p>
  </w:footnote>
  <w:footnote w:id="11">
    <w:p w:rsidR="00E814DB" w:rsidP="009F702D" w14:paraId="4D323EE0" w14:textId="6B2208CA">
      <w:pPr>
        <w:pStyle w:val="FootnoteText"/>
      </w:pPr>
      <w:r>
        <w:rPr>
          <w:rStyle w:val="FootnoteReference"/>
        </w:rPr>
        <w:footnoteRef/>
      </w:r>
      <w:r>
        <w:t xml:space="preserve"> </w:t>
      </w:r>
      <w:r w:rsidR="00C31BC9">
        <w:t>E</w:t>
      </w:r>
      <w:r w:rsidR="00786981">
        <w:t>-</w:t>
      </w:r>
      <w:r w:rsidR="00C31BC9">
        <w:t xml:space="preserve">mail </w:t>
      </w:r>
      <w:r>
        <w:t xml:space="preserve">from </w:t>
      </w:r>
      <w:r w:rsidR="00C31BC9">
        <w:t>Jane Kelly</w:t>
      </w:r>
      <w:r>
        <w:t xml:space="preserve">, </w:t>
      </w:r>
      <w:r w:rsidR="005D12D1">
        <w:t>Attorne</w:t>
      </w:r>
      <w:r w:rsidR="00206800">
        <w:t xml:space="preserve">y Advisor, </w:t>
      </w:r>
      <w:r>
        <w:t xml:space="preserve">Spectrum Enforcement Division, </w:t>
      </w:r>
      <w:r w:rsidR="00EB1ED8">
        <w:t xml:space="preserve">FCC </w:t>
      </w:r>
      <w:r>
        <w:t xml:space="preserve">Enforcement Bureau, to </w:t>
      </w:r>
      <w:r w:rsidR="005B345F">
        <w:t>John E. Logan</w:t>
      </w:r>
      <w:r>
        <w:t xml:space="preserve">, Counsel to </w:t>
      </w:r>
      <w:r w:rsidR="005B345F">
        <w:t xml:space="preserve">W.W. Grainger, Inc. </w:t>
      </w:r>
      <w:r>
        <w:t xml:space="preserve">d/b/a </w:t>
      </w:r>
      <w:r w:rsidR="001A4FBB">
        <w:t>Grainger</w:t>
      </w:r>
      <w:r>
        <w:t xml:space="preserve"> (</w:t>
      </w:r>
      <w:r w:rsidR="001A4FBB">
        <w:t>Oct</w:t>
      </w:r>
      <w:r>
        <w:t>. 2</w:t>
      </w:r>
      <w:r w:rsidR="001A4FBB">
        <w:t>1</w:t>
      </w:r>
      <w:r>
        <w:t>, 201</w:t>
      </w:r>
      <w:r w:rsidR="001A4FBB">
        <w:t>9</w:t>
      </w:r>
      <w:r w:rsidR="004E3A9A">
        <w:t xml:space="preserve">, </w:t>
      </w:r>
      <w:r w:rsidR="00142B54">
        <w:t>17:</w:t>
      </w:r>
      <w:r w:rsidR="004E3A9A">
        <w:t>35</w:t>
      </w:r>
      <w:r w:rsidR="00142B54">
        <w:t xml:space="preserve"> EDT</w:t>
      </w:r>
      <w:r>
        <w:t xml:space="preserve">); Letter from Elizabeth Y. Mumaw, Chief, Spectrum Enforcement Division, </w:t>
      </w:r>
      <w:r w:rsidR="00EB1ED8">
        <w:t xml:space="preserve">FCC </w:t>
      </w:r>
      <w:r>
        <w:t xml:space="preserve">Enforcement Bureau, to </w:t>
      </w:r>
      <w:r w:rsidR="00142B54">
        <w:t>John E. Logan</w:t>
      </w:r>
      <w:r>
        <w:t xml:space="preserve">, Counsel to </w:t>
      </w:r>
      <w:r w:rsidR="00142B54">
        <w:t>W.W. Grainger, I</w:t>
      </w:r>
      <w:r w:rsidR="00805DB2">
        <w:t>nc.</w:t>
      </w:r>
      <w:r>
        <w:t xml:space="preserve"> d/b/a </w:t>
      </w:r>
      <w:r w:rsidR="00805DB2">
        <w:t>Grainger</w:t>
      </w:r>
      <w:r>
        <w:t xml:space="preserve"> (Mar. </w:t>
      </w:r>
      <w:r w:rsidR="00043E42">
        <w:t>10</w:t>
      </w:r>
      <w:r>
        <w:t>, 20</w:t>
      </w:r>
      <w:r w:rsidR="00043E42">
        <w:t>20</w:t>
      </w:r>
      <w:r>
        <w:t>) (</w:t>
      </w:r>
      <w:r w:rsidR="009C5D6A">
        <w:t>Follow</w:t>
      </w:r>
      <w:r w:rsidR="00EB1ED8">
        <w:t>-u</w:t>
      </w:r>
      <w:r w:rsidR="009C5D6A">
        <w:t>p</w:t>
      </w:r>
      <w:r>
        <w:t xml:space="preserve"> LOI</w:t>
      </w:r>
      <w:r w:rsidR="00043E42">
        <w:t>)</w:t>
      </w:r>
      <w:r w:rsidRPr="000E4C50">
        <w:t xml:space="preserve"> </w:t>
      </w:r>
      <w:r>
        <w:t xml:space="preserve">(all on file in </w:t>
      </w:r>
      <w:r w:rsidRPr="0021789E">
        <w:t>EB-SED-</w:t>
      </w:r>
      <w:r w:rsidR="009C5D6A">
        <w:rPr>
          <w:spacing w:val="-2"/>
        </w:rPr>
        <w:t>19-00029062</w:t>
      </w:r>
      <w:r>
        <w:t xml:space="preserve">). </w:t>
      </w:r>
    </w:p>
  </w:footnote>
  <w:footnote w:id="12">
    <w:p w:rsidR="004C6C77" w:rsidP="004C6C77" w14:paraId="024DEFAF" w14:textId="13E6494C">
      <w:pPr>
        <w:pStyle w:val="FootnoteText"/>
      </w:pPr>
      <w:r>
        <w:rPr>
          <w:rStyle w:val="FootnoteReference"/>
        </w:rPr>
        <w:footnoteRef/>
      </w:r>
      <w:r w:rsidR="0040293C">
        <w:t xml:space="preserve"> LOI Response at 4, 10-12,</w:t>
      </w:r>
      <w:r w:rsidR="00C7140A">
        <w:t xml:space="preserve"> 26-41,</w:t>
      </w:r>
      <w:r w:rsidR="0040293C">
        <w:t xml:space="preserve"> Response to Questions 6-8</w:t>
      </w:r>
      <w:r w:rsidR="00983DC8">
        <w:t>;</w:t>
      </w:r>
      <w:r>
        <w:t xml:space="preserve"> </w:t>
      </w:r>
      <w:r w:rsidR="00993930">
        <w:t xml:space="preserve">Supplemental </w:t>
      </w:r>
      <w:r>
        <w:t xml:space="preserve">Response to Letter of Inquiry, from </w:t>
      </w:r>
      <w:r w:rsidR="0051572D">
        <w:t>John E. Logan</w:t>
      </w:r>
      <w:r>
        <w:t xml:space="preserve">, Counsel to </w:t>
      </w:r>
      <w:r w:rsidR="0051572D">
        <w:t xml:space="preserve">W.W. Grainger, Inc. </w:t>
      </w:r>
      <w:r>
        <w:t xml:space="preserve">d/b/a </w:t>
      </w:r>
      <w:r w:rsidR="0051572D">
        <w:t>Grainger</w:t>
      </w:r>
      <w:r>
        <w:t>, to E</w:t>
      </w:r>
      <w:r w:rsidR="004E5465">
        <w:t>lizabeth Y. Mumaw</w:t>
      </w:r>
      <w:r>
        <w:t xml:space="preserve">, </w:t>
      </w:r>
      <w:r w:rsidR="004E5465">
        <w:t xml:space="preserve">Chief, </w:t>
      </w:r>
      <w:r>
        <w:t xml:space="preserve">Spectrum Enforcement Division, </w:t>
      </w:r>
      <w:r w:rsidR="00EB1ED8">
        <w:t xml:space="preserve">FCC </w:t>
      </w:r>
      <w:r>
        <w:t>Enforcement Bureau (</w:t>
      </w:r>
      <w:r w:rsidR="004E5465">
        <w:t>Nov</w:t>
      </w:r>
      <w:r>
        <w:t xml:space="preserve">. </w:t>
      </w:r>
      <w:r w:rsidR="004E5465">
        <w:t>8</w:t>
      </w:r>
      <w:r>
        <w:t>, 201</w:t>
      </w:r>
      <w:r w:rsidR="004E5465">
        <w:t>9</w:t>
      </w:r>
      <w:r>
        <w:t>) (Supplemental Response</w:t>
      </w:r>
      <w:r w:rsidR="00546E37">
        <w:t xml:space="preserve"> to Initial LOI</w:t>
      </w:r>
      <w:r>
        <w:t>)</w:t>
      </w:r>
      <w:r w:rsidR="00983DC8">
        <w:t>.</w:t>
      </w:r>
      <w:r>
        <w:t xml:space="preserve"> </w:t>
      </w:r>
    </w:p>
  </w:footnote>
  <w:footnote w:id="13">
    <w:p w:rsidR="00F12E01" w:rsidP="00F12E01" w14:paraId="718EF81A" w14:textId="42D2CDC1">
      <w:pPr>
        <w:pStyle w:val="FootnoteText"/>
      </w:pPr>
      <w:r>
        <w:rPr>
          <w:rStyle w:val="FootnoteReference"/>
        </w:rPr>
        <w:footnoteRef/>
      </w:r>
      <w:r>
        <w:t xml:space="preserve"> Supplemental Response</w:t>
      </w:r>
      <w:r w:rsidR="007670A8">
        <w:t xml:space="preserve"> to Initial LOI</w:t>
      </w:r>
      <w:r>
        <w:t>; Response to Follow-up Letter of Inquiry</w:t>
      </w:r>
      <w:r w:rsidR="009B73E6">
        <w:t>,</w:t>
      </w:r>
      <w:r>
        <w:t xml:space="preserve"> from John E. Logan, Counsel to W.W. Grainger, Inc. d/b/a Grainger, to Elizabeth Y. Mumaw, Chief, Spectrum Enforcement Division, FCC Enforcement Bureau (Mar. 19, 2020) (Follow-up Response) (all on file in </w:t>
      </w:r>
      <w:r w:rsidRPr="0021789E">
        <w:t>EB-SED-1</w:t>
      </w:r>
      <w:r>
        <w:t>9</w:t>
      </w:r>
      <w:r w:rsidRPr="0021789E">
        <w:t>-0002</w:t>
      </w:r>
      <w:r>
        <w:t>9062).</w:t>
      </w:r>
    </w:p>
  </w:footnote>
  <w:footnote w:id="14">
    <w:p w:rsidR="00E814DB" w14:paraId="09298194" w14:textId="6DDA9DE1">
      <w:pPr>
        <w:pStyle w:val="FootnoteText"/>
      </w:pPr>
      <w:r>
        <w:rPr>
          <w:rStyle w:val="FootnoteReference"/>
        </w:rPr>
        <w:footnoteRef/>
      </w:r>
      <w:r>
        <w:t xml:space="preserve"> </w:t>
      </w:r>
      <w:r w:rsidR="000250E9">
        <w:t xml:space="preserve">LOI Response at </w:t>
      </w:r>
      <w:r w:rsidR="00402541">
        <w:t>10</w:t>
      </w:r>
      <w:r w:rsidR="000250E9">
        <w:t>-</w:t>
      </w:r>
      <w:r w:rsidR="00402541">
        <w:t>11</w:t>
      </w:r>
      <w:r w:rsidR="001B1B85">
        <w:t xml:space="preserve">, </w:t>
      </w:r>
      <w:r w:rsidR="00BA3AAB">
        <w:t>18-19</w:t>
      </w:r>
      <w:r w:rsidR="001B1B85">
        <w:t xml:space="preserve">, Response to Question </w:t>
      </w:r>
      <w:r w:rsidR="00402541">
        <w:t>6</w:t>
      </w:r>
      <w:r w:rsidR="001B1B85">
        <w:t>.</w:t>
      </w:r>
    </w:p>
  </w:footnote>
  <w:footnote w:id="15">
    <w:p w:rsidR="00BA3AAB" w14:paraId="693E5B25" w14:textId="339FC9DC">
      <w:pPr>
        <w:pStyle w:val="FootnoteText"/>
      </w:pPr>
      <w:r>
        <w:rPr>
          <w:rStyle w:val="FootnoteReference"/>
        </w:rPr>
        <w:footnoteRef/>
      </w:r>
      <w:r>
        <w:t xml:space="preserve"> LOI Response at 11, 18-19, Response to Question 7.</w:t>
      </w:r>
    </w:p>
  </w:footnote>
  <w:footnote w:id="16">
    <w:p w:rsidR="00E814DB" w:rsidRPr="008D2965" w:rsidP="00276EF2" w14:paraId="398ADBBB" w14:textId="6A1A84D3">
      <w:pPr>
        <w:pStyle w:val="FootnoteText"/>
      </w:pPr>
      <w:r>
        <w:rPr>
          <w:rStyle w:val="FootnoteReference"/>
        </w:rPr>
        <w:footnoteRef/>
      </w:r>
      <w:r>
        <w:t xml:space="preserve"> </w:t>
      </w:r>
      <w:r w:rsidR="00BA3AAB">
        <w:t>LOI Response at 10-11, Response to Question 6</w:t>
      </w:r>
      <w:r w:rsidRPr="00B82582" w:rsidR="000250E9">
        <w:rPr>
          <w:i/>
        </w:rPr>
        <w:t>.</w:t>
      </w:r>
      <w:r w:rsidR="000250E9">
        <w:t xml:space="preserve"> </w:t>
      </w:r>
      <w:r>
        <w:t xml:space="preserve"> </w:t>
      </w:r>
    </w:p>
  </w:footnote>
  <w:footnote w:id="17">
    <w:p w:rsidR="00FF0C9D" w:rsidRPr="00787FAB" w:rsidP="00FF0C9D" w14:paraId="504C0090" w14:textId="77777777">
      <w:pPr>
        <w:pStyle w:val="FootnoteText"/>
      </w:pPr>
      <w:r>
        <w:rPr>
          <w:rStyle w:val="FootnoteReference"/>
        </w:rPr>
        <w:footnoteRef/>
      </w:r>
      <w:r>
        <w:t xml:space="preserve"> LOI Response at 10-11, 18-19, 26-41, Response to Questions 6-7.</w:t>
      </w:r>
    </w:p>
  </w:footnote>
  <w:footnote w:id="18">
    <w:p w:rsidR="00E814DB" w:rsidP="00B66C21" w14:paraId="4E73F8B8" w14:textId="4860D7C1">
      <w:pPr>
        <w:pStyle w:val="FootnoteText"/>
      </w:pPr>
      <w:r>
        <w:rPr>
          <w:rStyle w:val="FootnoteReference"/>
        </w:rPr>
        <w:footnoteRef/>
      </w:r>
      <w:r>
        <w:t xml:space="preserve"> </w:t>
      </w:r>
      <w:r w:rsidR="00B579C3">
        <w:rPr>
          <w:iCs/>
        </w:rPr>
        <w:t>E-mail</w:t>
      </w:r>
      <w:r w:rsidR="00B579C3">
        <w:t xml:space="preserve"> from John E. Logan, Counsel to W.W. Grainger, Inc. d/b/a Grainger, to Jane Kelly, Attorney Advisor, Spectrum Enforcement Division, </w:t>
      </w:r>
      <w:r w:rsidR="00983DC8">
        <w:t xml:space="preserve">FCC </w:t>
      </w:r>
      <w:r w:rsidR="00B579C3">
        <w:t xml:space="preserve">Enforcement Bureau (Aug. 19, 2019, 14:44 EDT).  </w:t>
      </w:r>
      <w:r w:rsidR="00B579C3">
        <w:rPr>
          <w:i/>
          <w:iCs/>
        </w:rPr>
        <w:t xml:space="preserve">See </w:t>
      </w:r>
      <w:r w:rsidR="005607E6">
        <w:t>LOI Response at 10-11, Response to Question 6.</w:t>
      </w:r>
    </w:p>
  </w:footnote>
  <w:footnote w:id="19">
    <w:p w:rsidR="00E814DB" w:rsidRPr="00D03601" w:rsidP="001C53E6" w14:paraId="68B286D7" w14:textId="77777777">
      <w:pPr>
        <w:pStyle w:val="FootnoteText"/>
        <w:widowControl w:val="0"/>
      </w:pPr>
      <w:r w:rsidRPr="00D03601">
        <w:rPr>
          <w:rStyle w:val="FootnoteReference"/>
        </w:rPr>
        <w:footnoteRef/>
      </w:r>
      <w:r w:rsidRPr="00D03601">
        <w:t xml:space="preserve"> </w:t>
      </w:r>
      <w:r w:rsidRPr="00D15419">
        <w:rPr>
          <w:rFonts w:cs="Calibri"/>
        </w:rPr>
        <w:t>47 U.S.C. § 302a(b).</w:t>
      </w:r>
    </w:p>
  </w:footnote>
  <w:footnote w:id="20">
    <w:p w:rsidR="00E814DB" w14:paraId="23EBE5C9" w14:textId="77777777">
      <w:pPr>
        <w:pStyle w:val="FootnoteText"/>
      </w:pPr>
      <w:r>
        <w:rPr>
          <w:rStyle w:val="FootnoteReference"/>
        </w:rPr>
        <w:footnoteRef/>
      </w:r>
      <w:r>
        <w:t xml:space="preserve"> 47 CFR</w:t>
      </w:r>
      <w:r w:rsidRPr="00D03601">
        <w:t xml:space="preserve"> </w:t>
      </w:r>
      <w:r w:rsidRPr="00D15419">
        <w:rPr>
          <w:rFonts w:cs="Calibri"/>
        </w:rPr>
        <w:t>§ 2.</w:t>
      </w:r>
      <w:r w:rsidRPr="00D03601">
        <w:t>803(</w:t>
      </w:r>
      <w:r>
        <w:t>b</w:t>
      </w:r>
      <w:r w:rsidRPr="00D03601">
        <w:t>).</w:t>
      </w:r>
    </w:p>
  </w:footnote>
  <w:footnote w:id="21">
    <w:p w:rsidR="005F4BFF" w:rsidP="005F4BFF" w14:paraId="44768FD3" w14:textId="77777777">
      <w:pPr>
        <w:pStyle w:val="FootnoteText"/>
      </w:pPr>
      <w:r>
        <w:rPr>
          <w:rStyle w:val="FootnoteReference"/>
        </w:rPr>
        <w:footnoteRef/>
      </w:r>
      <w:r>
        <w:t xml:space="preserve"> Some intentional radiators are exempt from the requirements under section 15.205(a) of the Commission’s rules.  </w:t>
      </w:r>
      <w:r w:rsidRPr="001801B0">
        <w:rPr>
          <w:i/>
        </w:rPr>
        <w:t xml:space="preserve">See </w:t>
      </w:r>
      <w:r w:rsidRPr="001801B0">
        <w:t>47 CFR § 15.205</w:t>
      </w:r>
      <w:r>
        <w:t xml:space="preserve">(d).  </w:t>
      </w:r>
    </w:p>
  </w:footnote>
  <w:footnote w:id="22">
    <w:p w:rsidR="005F4BFF" w:rsidP="005F4BFF" w14:paraId="137871DD" w14:textId="2F25729E">
      <w:pPr>
        <w:pStyle w:val="FootnoteText"/>
      </w:pPr>
      <w:r>
        <w:rPr>
          <w:rStyle w:val="FootnoteReference"/>
        </w:rPr>
        <w:footnoteRef/>
      </w:r>
      <w:r>
        <w:t xml:space="preserve"> Unlicensed r</w:t>
      </w:r>
      <w:r w:rsidRPr="00D24F7B">
        <w:t>adio frequency devices can operate anywhere outside of these restricted frequencies if they adhere to the general conducted and radiated emission limits set forth in sections 15.207 and 15.209 of the Commission’s rules or the band-specific operating conditions outlined in the remainder of Subpart C of Part 15.</w:t>
      </w:r>
      <w:r>
        <w:t xml:space="preserve"> </w:t>
      </w:r>
      <w:r w:rsidRPr="002F51CE">
        <w:rPr>
          <w:i/>
        </w:rPr>
        <w:t xml:space="preserve"> </w:t>
      </w:r>
      <w:r>
        <w:rPr>
          <w:i/>
          <w:iCs/>
        </w:rPr>
        <w:t>I</w:t>
      </w:r>
      <w:r>
        <w:rPr>
          <w:i/>
        </w:rPr>
        <w:t>d.</w:t>
      </w:r>
      <w:r w:rsidRPr="007528EA">
        <w:rPr>
          <w:i/>
        </w:rPr>
        <w:t xml:space="preserve"> </w:t>
      </w:r>
      <w:r w:rsidRPr="001801B0">
        <w:t>§§ 15.20</w:t>
      </w:r>
      <w:r>
        <w:t xml:space="preserve">7, 209.  </w:t>
      </w:r>
      <w:r>
        <w:rPr>
          <w:i/>
          <w:iCs/>
        </w:rPr>
        <w:t xml:space="preserve">See also </w:t>
      </w:r>
      <w:r>
        <w:t>47 CFR Part 15, Subpart C (intentional radiators).</w:t>
      </w:r>
      <w:r w:rsidRPr="009C4E73">
        <w:t xml:space="preserve"> </w:t>
      </w:r>
    </w:p>
  </w:footnote>
  <w:footnote w:id="23">
    <w:p w:rsidR="005F4BFF" w:rsidP="005F4BFF" w14:paraId="0EB4E775" w14:textId="346A2D4B">
      <w:pPr>
        <w:pStyle w:val="FootnoteText"/>
      </w:pPr>
      <w:r>
        <w:rPr>
          <w:rStyle w:val="FootnoteReference"/>
        </w:rPr>
        <w:footnoteRef/>
      </w:r>
      <w:r>
        <w:t xml:space="preserve"> C</w:t>
      </w:r>
      <w:r w:rsidRPr="6960B7FC">
        <w:t>ertain sensitive radio services</w:t>
      </w:r>
      <w:r>
        <w:t xml:space="preserve"> solely use restricted frequencies.  </w:t>
      </w:r>
      <w:r w:rsidRPr="007F6518">
        <w:t xml:space="preserve">For example, the </w:t>
      </w:r>
      <w:r w:rsidR="006E53DE">
        <w:t>S</w:t>
      </w:r>
      <w:r w:rsidRPr="007F6518">
        <w:t xml:space="preserve">atellite </w:t>
      </w:r>
      <w:r w:rsidR="006E53DE">
        <w:t>D</w:t>
      </w:r>
      <w:r w:rsidRPr="007F6518">
        <w:t xml:space="preserve">igital </w:t>
      </w:r>
      <w:r w:rsidR="006E53DE">
        <w:t>A</w:t>
      </w:r>
      <w:r w:rsidRPr="007F6518">
        <w:t xml:space="preserve">udio </w:t>
      </w:r>
      <w:r w:rsidR="006E53DE">
        <w:t>R</w:t>
      </w:r>
      <w:r w:rsidRPr="007F6518">
        <w:t xml:space="preserve">adio </w:t>
      </w:r>
      <w:r w:rsidR="006E53DE">
        <w:t>S</w:t>
      </w:r>
      <w:r w:rsidRPr="007F6518">
        <w:t xml:space="preserve">ervice (SDARS) band (2320-2345 MHz) falls under the 2310-2390 MHz restricted frequency band listed under </w:t>
      </w:r>
      <w:r>
        <w:t>s</w:t>
      </w:r>
      <w:r w:rsidRPr="007F6518">
        <w:t xml:space="preserve">ection 15.205(a).  </w:t>
      </w:r>
    </w:p>
  </w:footnote>
  <w:footnote w:id="24">
    <w:p w:rsidR="005F4BFF" w:rsidP="005F4BFF" w14:paraId="4D202182" w14:textId="693066BE">
      <w:pPr>
        <w:pStyle w:val="FootnoteText"/>
      </w:pPr>
      <w:r>
        <w:rPr>
          <w:rStyle w:val="FootnoteReference"/>
        </w:rPr>
        <w:footnoteRef/>
      </w:r>
      <w:r>
        <w:t xml:space="preserve"> </w:t>
      </w:r>
      <w:r w:rsidR="00406292">
        <w:rPr>
          <w:szCs w:val="22"/>
        </w:rPr>
        <w:t xml:space="preserve">Unlicensed devices are restricted from use in frequency bands allocated for public safety services.  </w:t>
      </w:r>
      <w:r w:rsidR="00406292">
        <w:rPr>
          <w:i/>
          <w:iCs/>
        </w:rPr>
        <w:t xml:space="preserve">See </w:t>
      </w:r>
      <w:r w:rsidR="00406292">
        <w:t xml:space="preserve">47 CFR § 90.20 (spectrum allocations for communications needs of police, firefighters, emergency medical services, and state and local government).  </w:t>
      </w:r>
      <w:r>
        <w:rPr>
          <w:i/>
          <w:color w:val="010101"/>
        </w:rPr>
        <w:t xml:space="preserve">See generally </w:t>
      </w:r>
      <w:r w:rsidRPr="004A6295">
        <w:rPr>
          <w:color w:val="010101"/>
        </w:rPr>
        <w:t>47 CFR</w:t>
      </w:r>
      <w:r>
        <w:rPr>
          <w:i/>
          <w:color w:val="010101"/>
        </w:rPr>
        <w:t xml:space="preserve"> </w:t>
      </w:r>
      <w:r>
        <w:rPr>
          <w:color w:val="010101"/>
        </w:rPr>
        <w:t>pt.</w:t>
      </w:r>
      <w:r w:rsidRPr="004A6295">
        <w:rPr>
          <w:color w:val="010101"/>
        </w:rPr>
        <w:t xml:space="preserve"> 15 (</w:t>
      </w:r>
      <w:r>
        <w:rPr>
          <w:color w:val="010101"/>
        </w:rPr>
        <w:t xml:space="preserve">rules governing </w:t>
      </w:r>
      <w:r w:rsidRPr="004A6295">
        <w:rPr>
          <w:color w:val="010101"/>
        </w:rPr>
        <w:t>operation of unlicensed devices)</w:t>
      </w:r>
      <w:r>
        <w:rPr>
          <w:color w:val="010101"/>
        </w:rPr>
        <w:t xml:space="preserve">.  </w:t>
      </w:r>
      <w:r>
        <w:rPr>
          <w:i/>
          <w:iCs/>
          <w:color w:val="010101"/>
        </w:rPr>
        <w:t>See id.</w:t>
      </w:r>
      <w:r w:rsidRPr="004C54C1">
        <w:rPr>
          <w:color w:val="010101"/>
        </w:rPr>
        <w:t xml:space="preserve"> </w:t>
      </w:r>
      <w:r w:rsidRPr="004A6295">
        <w:rPr>
          <w:color w:val="010101"/>
        </w:rPr>
        <w:t>§</w:t>
      </w:r>
      <w:r>
        <w:rPr>
          <w:color w:val="010101"/>
        </w:rPr>
        <w:t>§ 15.217-257 (providing alternatives for intentional radiators operating in specified frequency bands)</w:t>
      </w:r>
      <w:r>
        <w:rPr>
          <w:szCs w:val="22"/>
        </w:rPr>
        <w:t>.</w:t>
      </w:r>
      <w:r w:rsidRPr="00AA21A0" w:rsidR="00AA21A0">
        <w:t xml:space="preserve"> </w:t>
      </w:r>
    </w:p>
  </w:footnote>
  <w:footnote w:id="25">
    <w:p w:rsidR="00E814DB" w14:paraId="0F18CEAB" w14:textId="558CF0B1">
      <w:pPr>
        <w:pStyle w:val="FootnoteText"/>
      </w:pPr>
      <w:r>
        <w:rPr>
          <w:rStyle w:val="FootnoteReference"/>
        </w:rPr>
        <w:footnoteRef/>
      </w:r>
      <w:r>
        <w:t xml:space="preserve"> 47 CFR</w:t>
      </w:r>
      <w:r w:rsidRPr="00D03601">
        <w:t xml:space="preserve"> </w:t>
      </w:r>
      <w:r w:rsidRPr="00D15419">
        <w:rPr>
          <w:rFonts w:cs="Calibri"/>
        </w:rPr>
        <w:t>§ 15.201</w:t>
      </w:r>
      <w:r w:rsidRPr="00D03601">
        <w:t>(b).</w:t>
      </w:r>
      <w:r w:rsidRPr="00AA21A0" w:rsidR="00AA21A0">
        <w:t xml:space="preserve"> </w:t>
      </w:r>
      <w:r w:rsidR="00AA21A0">
        <w:t xml:space="preserve"> Intentional radiators are a category of unlicensed devices that must undergo such testing; in fact, one aspect of testing is to verify the devices do not operate in restricted bands.  </w:t>
      </w:r>
      <w:r w:rsidRPr="001801B0" w:rsidR="00AA21A0">
        <w:rPr>
          <w:szCs w:val="22"/>
        </w:rPr>
        <w:t xml:space="preserve">An intentional radiator is a device that </w:t>
      </w:r>
      <w:r w:rsidR="00AA21A0">
        <w:rPr>
          <w:szCs w:val="22"/>
        </w:rPr>
        <w:t>contains a transmitter</w:t>
      </w:r>
      <w:r w:rsidRPr="002B3382" w:rsidR="00AA21A0">
        <w:rPr>
          <w:szCs w:val="22"/>
        </w:rPr>
        <w:t>, i.e., it intentionally generates and emits radio frequency energy by radiation or induction</w:t>
      </w:r>
      <w:r w:rsidR="00AA21A0">
        <w:rPr>
          <w:szCs w:val="22"/>
        </w:rPr>
        <w:t xml:space="preserve">.  </w:t>
      </w:r>
      <w:r w:rsidRPr="001801B0" w:rsidR="00AA21A0">
        <w:rPr>
          <w:i/>
        </w:rPr>
        <w:t xml:space="preserve">See </w:t>
      </w:r>
      <w:r w:rsidRPr="001801B0" w:rsidR="00AA21A0">
        <w:t>47 CFR § 15.3(o).</w:t>
      </w:r>
    </w:p>
  </w:footnote>
  <w:footnote w:id="26">
    <w:p w:rsidR="00E1718C" w:rsidRPr="00F42C0C" w14:paraId="33E50175" w14:textId="5D242C66">
      <w:pPr>
        <w:pStyle w:val="FootnoteText"/>
      </w:pPr>
      <w:r>
        <w:rPr>
          <w:rStyle w:val="FootnoteReference"/>
        </w:rPr>
        <w:footnoteRef/>
      </w:r>
      <w:r>
        <w:t xml:space="preserve"> </w:t>
      </w:r>
      <w:r w:rsidR="00F42C0C">
        <w:rPr>
          <w:i/>
          <w:iCs/>
        </w:rPr>
        <w:t>Id</w:t>
      </w:r>
      <w:r w:rsidR="00F42C0C">
        <w:t>. at § 15.201 (equipment authorization requirement</w:t>
      </w:r>
      <w:r w:rsidR="00B04C49">
        <w:t>s</w:t>
      </w:r>
      <w:r w:rsidR="00F42C0C">
        <w:t>).</w:t>
      </w:r>
    </w:p>
  </w:footnote>
  <w:footnote w:id="27">
    <w:p w:rsidR="00B26098" w:rsidRPr="000301DF" w:rsidP="00B26098" w14:paraId="0E46BD53" w14:textId="33DC0634">
      <w:pPr>
        <w:pStyle w:val="FootnoteText"/>
      </w:pPr>
      <w:r>
        <w:rPr>
          <w:rStyle w:val="FootnoteReference"/>
        </w:rPr>
        <w:footnoteRef/>
      </w:r>
      <w:r>
        <w:t xml:space="preserve"> </w:t>
      </w:r>
      <w:r w:rsidRPr="005F3AB3" w:rsidR="006E53DE">
        <w:rPr>
          <w:i/>
          <w:iCs/>
        </w:rPr>
        <w:t xml:space="preserve">See </w:t>
      </w:r>
      <w:r w:rsidRPr="006E53DE" w:rsidR="006E53DE">
        <w:rPr>
          <w:i/>
          <w:iCs/>
        </w:rPr>
        <w:t>i</w:t>
      </w:r>
      <w:r w:rsidRPr="006E53DE">
        <w:rPr>
          <w:i/>
          <w:iCs/>
        </w:rPr>
        <w:t>d.</w:t>
      </w:r>
      <w:r w:rsidR="00A27C1A">
        <w:rPr>
          <w:i/>
          <w:iCs/>
        </w:rPr>
        <w:t xml:space="preserve"> </w:t>
      </w:r>
      <w:r>
        <w:t xml:space="preserve">at § </w:t>
      </w:r>
      <w:r w:rsidR="00A27C1A">
        <w:t>15.5(b) (general conditions of operation)</w:t>
      </w:r>
      <w:r w:rsidR="006E53DE">
        <w:t>;</w:t>
      </w:r>
      <w:r w:rsidR="00A27C1A">
        <w:t xml:space="preserve"> </w:t>
      </w:r>
      <w:r w:rsidRPr="006E53DE" w:rsidR="006E53DE">
        <w:rPr>
          <w:i/>
          <w:iCs/>
        </w:rPr>
        <w:t>s</w:t>
      </w:r>
      <w:r w:rsidRPr="006E53DE" w:rsidR="00A27C1A">
        <w:rPr>
          <w:i/>
          <w:iCs/>
        </w:rPr>
        <w:t xml:space="preserve">ee also </w:t>
      </w:r>
      <w:r w:rsidRPr="005F5276" w:rsidR="00A27C1A">
        <w:rPr>
          <w:i/>
          <w:iCs/>
        </w:rPr>
        <w:t>id.</w:t>
      </w:r>
      <w:r w:rsidR="00A27C1A">
        <w:t xml:space="preserve"> </w:t>
      </w:r>
      <w:r>
        <w:t>at § 15.19 (conditions of operations included in labeling requirements).</w:t>
      </w:r>
    </w:p>
  </w:footnote>
  <w:footnote w:id="28">
    <w:p w:rsidR="00E814DB" w14:paraId="301AEF9A" w14:textId="3CEB2C3B">
      <w:pPr>
        <w:pStyle w:val="FootnoteText"/>
      </w:pPr>
      <w:r>
        <w:rPr>
          <w:rStyle w:val="FootnoteReference"/>
        </w:rPr>
        <w:footnoteRef/>
      </w:r>
      <w:r>
        <w:t xml:space="preserve"> 47 U.S.C. </w:t>
      </w:r>
      <w:r w:rsidRPr="00F14821">
        <w:t>§</w:t>
      </w:r>
      <w:r>
        <w:t xml:space="preserve"> 302a(b); 47 CFR </w:t>
      </w:r>
      <w:r w:rsidRPr="00F14821">
        <w:t>§§</w:t>
      </w:r>
      <w:r>
        <w:t xml:space="preserve"> 2.803(b</w:t>
      </w:r>
      <w:r w:rsidR="00001A17">
        <w:t>), 15.205(a)</w:t>
      </w:r>
      <w:r>
        <w:t>.</w:t>
      </w:r>
    </w:p>
  </w:footnote>
  <w:footnote w:id="29">
    <w:p w:rsidR="00E814DB" w:rsidRPr="00390F01" w14:paraId="1466BF4A" w14:textId="4A7A4CC1">
      <w:pPr>
        <w:pStyle w:val="FootnoteText"/>
      </w:pPr>
      <w:r>
        <w:rPr>
          <w:rStyle w:val="FootnoteReference"/>
        </w:rPr>
        <w:footnoteRef/>
      </w:r>
      <w:r>
        <w:t xml:space="preserve"> </w:t>
      </w:r>
      <w:r w:rsidRPr="00085FD6">
        <w:rPr>
          <w:i/>
        </w:rPr>
        <w:t xml:space="preserve">See </w:t>
      </w:r>
      <w:r>
        <w:t xml:space="preserve">47 CFR </w:t>
      </w:r>
      <w:r w:rsidRPr="00D15419">
        <w:rPr>
          <w:rFonts w:cs="Calibri"/>
        </w:rPr>
        <w:t>§</w:t>
      </w:r>
      <w:r w:rsidR="00927277">
        <w:rPr>
          <w:rFonts w:cs="Calibri"/>
        </w:rPr>
        <w:t xml:space="preserve"> </w:t>
      </w:r>
      <w:r w:rsidR="008A4CF2">
        <w:rPr>
          <w:szCs w:val="22"/>
        </w:rPr>
        <w:t>15.205(a)</w:t>
      </w:r>
      <w:r>
        <w:rPr>
          <w:szCs w:val="22"/>
        </w:rPr>
        <w:t>.</w:t>
      </w:r>
      <w:r w:rsidR="00390F01">
        <w:rPr>
          <w:szCs w:val="22"/>
        </w:rPr>
        <w:t xml:space="preserve"> </w:t>
      </w:r>
      <w:r w:rsidR="002203D9">
        <w:rPr>
          <w:szCs w:val="22"/>
        </w:rPr>
        <w:t xml:space="preserve"> </w:t>
      </w:r>
      <w:r w:rsidR="00390F01">
        <w:rPr>
          <w:i/>
          <w:iCs/>
          <w:szCs w:val="22"/>
        </w:rPr>
        <w:t>See</w:t>
      </w:r>
      <w:r w:rsidR="00390F01">
        <w:rPr>
          <w:szCs w:val="22"/>
        </w:rPr>
        <w:t xml:space="preserve"> Grant of Equipment Authorization,  </w:t>
      </w:r>
      <w:hyperlink r:id="rId1" w:history="1">
        <w:r w:rsidR="00390F01">
          <w:rPr>
            <w:rStyle w:val="Hyperlink"/>
          </w:rPr>
          <w:t>https://apps.fcc.gov/oetcf/tcb/reports/Tcb731GrantForm.cfm?mode=COPY&amp;RequestTimeout=500&amp;tcb_code=&amp;application_id=JI09IWEPi5e6mvAtfvgBwg%3D%3D&amp;fcc_id=2AS9JSPECOAP24</w:t>
        </w:r>
      </w:hyperlink>
      <w:r w:rsidR="00390F01">
        <w:rPr>
          <w:szCs w:val="22"/>
        </w:rPr>
        <w:t xml:space="preserve">  (last visited Dec. 4, 2020).</w:t>
      </w:r>
    </w:p>
  </w:footnote>
  <w:footnote w:id="30">
    <w:p w:rsidR="008119AF" w14:paraId="1152F60C" w14:textId="08617FFA">
      <w:pPr>
        <w:pStyle w:val="FootnoteText"/>
      </w:pPr>
      <w:r>
        <w:rPr>
          <w:rStyle w:val="FootnoteReference"/>
        </w:rPr>
        <w:footnoteRef/>
      </w:r>
      <w:r>
        <w:t xml:space="preserve"> LOI Response at 10-11, Response to Question 6.</w:t>
      </w:r>
    </w:p>
  </w:footnote>
  <w:footnote w:id="31">
    <w:p w:rsidR="00E814DB" w14:paraId="1FB0D0F6" w14:textId="23A78A79">
      <w:pPr>
        <w:pStyle w:val="FootnoteText"/>
      </w:pPr>
      <w:r>
        <w:rPr>
          <w:rStyle w:val="FootnoteReference"/>
        </w:rPr>
        <w:footnoteRef/>
      </w:r>
      <w:r>
        <w:t xml:space="preserve"> </w:t>
      </w:r>
      <w:r w:rsidR="00927277">
        <w:t xml:space="preserve">47 U.S.C. </w:t>
      </w:r>
      <w:r w:rsidRPr="00F14821" w:rsidR="00927277">
        <w:t>§</w:t>
      </w:r>
      <w:r w:rsidR="00927277">
        <w:t xml:space="preserve"> 302a(b); </w:t>
      </w:r>
      <w:r>
        <w:t xml:space="preserve">47 CFR </w:t>
      </w:r>
      <w:r w:rsidRPr="00F14821">
        <w:t>§§</w:t>
      </w:r>
      <w:r>
        <w:t xml:space="preserve"> 2.803(b), </w:t>
      </w:r>
      <w:r w:rsidR="004416D4">
        <w:t>15.205(a)</w:t>
      </w:r>
      <w:r>
        <w:t>.</w:t>
      </w:r>
    </w:p>
  </w:footnote>
  <w:footnote w:id="32">
    <w:p w:rsidR="00E814DB" w14:paraId="5D4D28EF" w14:textId="306B180D">
      <w:pPr>
        <w:pStyle w:val="FootnoteText"/>
      </w:pPr>
      <w:r>
        <w:rPr>
          <w:rStyle w:val="FootnoteReference"/>
        </w:rPr>
        <w:footnoteRef/>
      </w:r>
      <w:r>
        <w:t xml:space="preserve"> </w:t>
      </w:r>
      <w:r w:rsidR="004416D4">
        <w:t>LOI Response at 10-11, Response to Question 6.</w:t>
      </w:r>
    </w:p>
  </w:footnote>
  <w:footnote w:id="33">
    <w:p w:rsidR="00E814DB" w14:paraId="5950A197" w14:textId="77777777">
      <w:pPr>
        <w:pStyle w:val="FootnoteText"/>
      </w:pPr>
      <w:r>
        <w:rPr>
          <w:rStyle w:val="FootnoteReference"/>
        </w:rPr>
        <w:footnoteRef/>
      </w:r>
      <w:r>
        <w:t xml:space="preserve"> </w:t>
      </w:r>
      <w:r w:rsidRPr="00BE70CC">
        <w:rPr>
          <w:szCs w:val="22"/>
        </w:rPr>
        <w:t xml:space="preserve">47 </w:t>
      </w:r>
      <w:r>
        <w:rPr>
          <w:szCs w:val="22"/>
        </w:rPr>
        <w:t>CFR</w:t>
      </w:r>
      <w:r w:rsidRPr="00BE70CC">
        <w:rPr>
          <w:szCs w:val="22"/>
        </w:rPr>
        <w:t xml:space="preserve"> § 1.17</w:t>
      </w:r>
      <w:r>
        <w:rPr>
          <w:szCs w:val="22"/>
        </w:rPr>
        <w:t>.</w:t>
      </w:r>
    </w:p>
  </w:footnote>
  <w:footnote w:id="34">
    <w:p w:rsidR="00E814DB" w14:paraId="0553FDC5"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35">
    <w:p w:rsidR="00E814DB" w14:paraId="023B25DE"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36">
    <w:p w:rsidR="001B5AA8" w:rsidP="001B5AA8" w14:paraId="3411B2A9" w14:textId="20104288">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r>
        <w:t xml:space="preserve">    </w:t>
      </w:r>
    </w:p>
  </w:footnote>
  <w:footnote w:id="37">
    <w:p w:rsidR="00E814DB" w:rsidRPr="002D63C3" w14:paraId="32286B13" w14:textId="7B1C0DEB">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t>CFR</w:t>
      </w:r>
      <w:r w:rsidRPr="002D63C3">
        <w:t xml:space="preserve"> § 1.80(b).  This amount is subject to further adjustment for inflation.  </w:t>
      </w:r>
      <w:r w:rsidRPr="002D63C3">
        <w:rPr>
          <w:i/>
        </w:rPr>
        <w:t xml:space="preserve">See </w:t>
      </w:r>
      <w:r w:rsidRPr="002D63C3">
        <w:t xml:space="preserve">47 </w:t>
      </w:r>
      <w:r>
        <w:t>CFR</w:t>
      </w:r>
      <w:r w:rsidRPr="002D63C3">
        <w:t xml:space="preserve"> §</w:t>
      </w:r>
      <w:r>
        <w:t> </w:t>
      </w:r>
      <w:r w:rsidRPr="002D63C3">
        <w:t xml:space="preserve">1.80(b)(9).    </w:t>
      </w:r>
    </w:p>
  </w:footnote>
  <w:footnote w:id="38">
    <w:p w:rsidR="00E814DB" w:rsidRPr="002D63C3" w14:paraId="53A07EF0" w14:textId="77777777">
      <w:pPr>
        <w:pStyle w:val="FootnoteText"/>
      </w:pPr>
      <w:r w:rsidRPr="002D63C3">
        <w:rPr>
          <w:rStyle w:val="FootnoteReference"/>
        </w:rPr>
        <w:footnoteRef/>
      </w:r>
      <w:r w:rsidRPr="002D63C3">
        <w:t xml:space="preserve"> </w:t>
      </w:r>
      <w:r w:rsidRPr="002D63C3">
        <w:rPr>
          <w:i/>
        </w:rPr>
        <w:t>See</w:t>
      </w:r>
      <w:r w:rsidRPr="002D63C3">
        <w:t xml:space="preserve"> 47 U.S.C. § 503(b)(2)(E); 47 </w:t>
      </w:r>
      <w:r>
        <w:t>CFR</w:t>
      </w:r>
      <w:r w:rsidRPr="002D63C3">
        <w:t xml:space="preserve"> § 1.80(b)(8).</w:t>
      </w:r>
    </w:p>
  </w:footnote>
  <w:footnote w:id="39">
    <w:p w:rsidR="00720FB8" w14:paraId="624ABFB2" w14:textId="0FB48AB0">
      <w:pPr>
        <w:pStyle w:val="FootnoteText"/>
      </w:pPr>
      <w:r>
        <w:rPr>
          <w:rStyle w:val="FootnoteReference"/>
        </w:rPr>
        <w:footnoteRef/>
      </w:r>
      <w:r>
        <w:t xml:space="preserve"> </w:t>
      </w:r>
      <w:r w:rsidRPr="007644B3">
        <w:rPr>
          <w:i/>
        </w:rPr>
        <w:t>See supra</w:t>
      </w:r>
      <w:r w:rsidRPr="007644B3">
        <w:t xml:space="preserve"> paragraph </w:t>
      </w:r>
      <w:r>
        <w:t>2.</w:t>
      </w:r>
    </w:p>
  </w:footnote>
  <w:footnote w:id="40">
    <w:p w:rsidR="00E814DB" w:rsidRPr="002D63C3" w14:paraId="61AAE6CB" w14:textId="77777777">
      <w:pPr>
        <w:pStyle w:val="FootnoteText"/>
      </w:pPr>
      <w:r w:rsidRPr="002D63C3">
        <w:rPr>
          <w:rStyle w:val="FootnoteReference"/>
        </w:rPr>
        <w:footnoteRef/>
      </w:r>
      <w:r w:rsidRPr="002D63C3">
        <w:t xml:space="preserve"> 47 U.S.C. §§ 154(</w:t>
      </w:r>
      <w:r w:rsidRPr="002D63C3">
        <w:t>i</w:t>
      </w:r>
      <w:r w:rsidRPr="002D63C3">
        <w:t>), 154(j).</w:t>
      </w:r>
    </w:p>
  </w:footnote>
  <w:footnote w:id="41">
    <w:p w:rsidR="00E814DB" w14:paraId="7464DDD9" w14:textId="66F5659F">
      <w:pPr>
        <w:pStyle w:val="FootnoteText"/>
      </w:pPr>
      <w:r>
        <w:rPr>
          <w:rStyle w:val="FootnoteReference"/>
        </w:rPr>
        <w:footnoteRef/>
      </w:r>
      <w:r>
        <w:t xml:space="preserve"> 47 U.S.C. </w:t>
      </w:r>
      <w:r w:rsidRPr="00F14821">
        <w:t>§</w:t>
      </w:r>
      <w:r>
        <w:t xml:space="preserve"> 302a(b); 47 CFR </w:t>
      </w:r>
      <w:r w:rsidRPr="00F14821">
        <w:t>§§</w:t>
      </w:r>
      <w:r>
        <w:t xml:space="preserve"> 2.803(b), </w:t>
      </w:r>
      <w:r w:rsidR="00366CB5">
        <w:t>15.205(a)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rsidRPr="001B048F" w:rsidP="001B048F" w14:paraId="5C9FC172" w14:textId="5D382FA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DA</w:t>
    </w:r>
    <w:r w:rsidR="007756D7">
      <w:rPr>
        <w:spacing w:val="-2"/>
      </w:rPr>
      <w:t xml:space="preserve"> 20-1538</w:t>
    </w:r>
    <w:r w:rsidRPr="00BE70CC">
      <w:rPr>
        <w:spacing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4DB" w:rsidRPr="001B048F" w:rsidP="001B048F" w14:paraId="602E9AA1" w14:textId="5DFE7EC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0863F5">
      <w:rPr>
        <w:spacing w:val="-2"/>
      </w:rPr>
      <w:t xml:space="preserve"> 20</w:t>
    </w:r>
    <w:r w:rsidRPr="00F50F55">
      <w:rPr>
        <w:spacing w:val="-2"/>
      </w:rPr>
      <w:t>-</w:t>
    </w:r>
    <w:r w:rsidR="000863F5">
      <w:rPr>
        <w:spacing w:val="-2"/>
      </w:rPr>
      <w:t>1538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66A158F"/>
    <w:multiLevelType w:val="multilevel"/>
    <w:tmpl w:val="83364676"/>
    <w:lvl w:ilvl="0">
      <w:start w:val="202"/>
      <w:numFmt w:val="decimal"/>
      <w:lvlText w:val="%1"/>
      <w:lvlJc w:val="left"/>
      <w:pPr>
        <w:ind w:left="1268" w:hanging="1268"/>
      </w:pPr>
      <w:rPr>
        <w:rFonts w:hint="default"/>
      </w:rPr>
    </w:lvl>
    <w:lvl w:ilvl="1">
      <w:start w:val="418"/>
      <w:numFmt w:val="decimal"/>
      <w:lvlText w:val="%1-%2"/>
      <w:lvlJc w:val="left"/>
      <w:pPr>
        <w:ind w:left="1988" w:hanging="1268"/>
      </w:pPr>
      <w:rPr>
        <w:rFonts w:hint="default"/>
      </w:rPr>
    </w:lvl>
    <w:lvl w:ilvl="2">
      <w:start w:val="530"/>
      <w:numFmt w:val="decimalZero"/>
      <w:lvlText w:val="%1-%2-%3"/>
      <w:lvlJc w:val="left"/>
      <w:pPr>
        <w:ind w:left="2708" w:hanging="1268"/>
      </w:pPr>
      <w:rPr>
        <w:rFonts w:hint="default"/>
      </w:rPr>
    </w:lvl>
    <w:lvl w:ilvl="3">
      <w:start w:val="1"/>
      <w:numFmt w:val="decimal"/>
      <w:lvlText w:val="%1-%2-%3.%4"/>
      <w:lvlJc w:val="left"/>
      <w:pPr>
        <w:ind w:left="3428" w:hanging="1268"/>
      </w:pPr>
      <w:rPr>
        <w:rFonts w:hint="default"/>
      </w:rPr>
    </w:lvl>
    <w:lvl w:ilvl="4">
      <w:start w:val="1"/>
      <w:numFmt w:val="decimal"/>
      <w:lvlText w:val="%1-%2-%3.%4.%5"/>
      <w:lvlJc w:val="left"/>
      <w:pPr>
        <w:ind w:left="4148" w:hanging="1268"/>
      </w:pPr>
      <w:rPr>
        <w:rFonts w:hint="default"/>
      </w:rPr>
    </w:lvl>
    <w:lvl w:ilvl="5">
      <w:start w:val="1"/>
      <w:numFmt w:val="decimal"/>
      <w:lvlText w:val="%1-%2-%3.%4.%5.%6"/>
      <w:lvlJc w:val="left"/>
      <w:pPr>
        <w:ind w:left="4868" w:hanging="126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A0F0554"/>
    <w:multiLevelType w:val="hybridMultilevel"/>
    <w:tmpl w:val="A816CD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lvlOverride w:ilvl="0">
      <w:lvl w:ilvl="0">
        <w:start w:val="0"/>
        <w:numFmt w:val="bullet"/>
        <w:pStyle w:val="par1"/>
        <w:lvlText w:val=""/>
        <w:legacy w:legacy="1" w:legacySpace="0" w:legacyIndent="360"/>
        <w:lvlJc w:val="left"/>
        <w:rPr>
          <w:rFonts w:ascii="Symbol" w:hAnsi="Symbol" w:hint="default"/>
        </w:rPr>
      </w:lvl>
    </w:lvlOverride>
  </w:num>
  <w:num w:numId="3">
    <w:abstractNumId w:val="5"/>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6"/>
  </w:num>
  <w:num w:numId="12">
    <w:abstractNumId w:val="9"/>
  </w:num>
  <w:num w:numId="13">
    <w:abstractNumId w:val="2"/>
  </w:num>
  <w:num w:numId="14">
    <w:abstractNumId w:val="7"/>
  </w:num>
  <w:num w:numId="15">
    <w:abstractNumId w:val="3"/>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1A17"/>
    <w:rsid w:val="000024CA"/>
    <w:rsid w:val="00003010"/>
    <w:rsid w:val="000033C8"/>
    <w:rsid w:val="00005148"/>
    <w:rsid w:val="00014462"/>
    <w:rsid w:val="000174F9"/>
    <w:rsid w:val="000175F6"/>
    <w:rsid w:val="000178A2"/>
    <w:rsid w:val="00022C58"/>
    <w:rsid w:val="000250E9"/>
    <w:rsid w:val="00025ABC"/>
    <w:rsid w:val="000264B4"/>
    <w:rsid w:val="00027D82"/>
    <w:rsid w:val="000301DF"/>
    <w:rsid w:val="00030862"/>
    <w:rsid w:val="00031AE8"/>
    <w:rsid w:val="00036D58"/>
    <w:rsid w:val="0004238A"/>
    <w:rsid w:val="00042936"/>
    <w:rsid w:val="00042A0B"/>
    <w:rsid w:val="00043A47"/>
    <w:rsid w:val="00043E42"/>
    <w:rsid w:val="0004427A"/>
    <w:rsid w:val="00045876"/>
    <w:rsid w:val="00046E05"/>
    <w:rsid w:val="00050C18"/>
    <w:rsid w:val="00050F45"/>
    <w:rsid w:val="0005126B"/>
    <w:rsid w:val="000516D6"/>
    <w:rsid w:val="00055101"/>
    <w:rsid w:val="00055DD2"/>
    <w:rsid w:val="0005723C"/>
    <w:rsid w:val="000604EB"/>
    <w:rsid w:val="00060C01"/>
    <w:rsid w:val="0006278C"/>
    <w:rsid w:val="00062948"/>
    <w:rsid w:val="00062C44"/>
    <w:rsid w:val="000649FE"/>
    <w:rsid w:val="00064F05"/>
    <w:rsid w:val="0006585B"/>
    <w:rsid w:val="00067836"/>
    <w:rsid w:val="00071A40"/>
    <w:rsid w:val="00071E3F"/>
    <w:rsid w:val="00072D7D"/>
    <w:rsid w:val="00072F2B"/>
    <w:rsid w:val="00073483"/>
    <w:rsid w:val="00074717"/>
    <w:rsid w:val="0007559F"/>
    <w:rsid w:val="00076F23"/>
    <w:rsid w:val="00077924"/>
    <w:rsid w:val="00080226"/>
    <w:rsid w:val="00080535"/>
    <w:rsid w:val="000824AC"/>
    <w:rsid w:val="0008476A"/>
    <w:rsid w:val="00084A40"/>
    <w:rsid w:val="000853AD"/>
    <w:rsid w:val="00085FD6"/>
    <w:rsid w:val="000863F5"/>
    <w:rsid w:val="00086824"/>
    <w:rsid w:val="00090E45"/>
    <w:rsid w:val="00091AE4"/>
    <w:rsid w:val="00092506"/>
    <w:rsid w:val="00095287"/>
    <w:rsid w:val="00095685"/>
    <w:rsid w:val="00095CAC"/>
    <w:rsid w:val="00095DF2"/>
    <w:rsid w:val="000962DF"/>
    <w:rsid w:val="00096F54"/>
    <w:rsid w:val="00097330"/>
    <w:rsid w:val="00097F37"/>
    <w:rsid w:val="00097F82"/>
    <w:rsid w:val="000A00BD"/>
    <w:rsid w:val="000A2118"/>
    <w:rsid w:val="000A3E68"/>
    <w:rsid w:val="000A40FF"/>
    <w:rsid w:val="000A4776"/>
    <w:rsid w:val="000A521A"/>
    <w:rsid w:val="000A6A6D"/>
    <w:rsid w:val="000B14C3"/>
    <w:rsid w:val="000B1BBF"/>
    <w:rsid w:val="000B1C2B"/>
    <w:rsid w:val="000B2355"/>
    <w:rsid w:val="000B29ED"/>
    <w:rsid w:val="000B7657"/>
    <w:rsid w:val="000C0BA3"/>
    <w:rsid w:val="000C331E"/>
    <w:rsid w:val="000C3C38"/>
    <w:rsid w:val="000C6050"/>
    <w:rsid w:val="000D1391"/>
    <w:rsid w:val="000D1421"/>
    <w:rsid w:val="000D1CD3"/>
    <w:rsid w:val="000D67FB"/>
    <w:rsid w:val="000E1951"/>
    <w:rsid w:val="000E2707"/>
    <w:rsid w:val="000E3600"/>
    <w:rsid w:val="000E4C50"/>
    <w:rsid w:val="000F1155"/>
    <w:rsid w:val="000F172F"/>
    <w:rsid w:val="000F3D2F"/>
    <w:rsid w:val="000F44D4"/>
    <w:rsid w:val="000F5EEF"/>
    <w:rsid w:val="000F63C6"/>
    <w:rsid w:val="00100646"/>
    <w:rsid w:val="001031C1"/>
    <w:rsid w:val="001053E1"/>
    <w:rsid w:val="00105A35"/>
    <w:rsid w:val="001117C0"/>
    <w:rsid w:val="00111822"/>
    <w:rsid w:val="00111A0D"/>
    <w:rsid w:val="0011337B"/>
    <w:rsid w:val="001164C6"/>
    <w:rsid w:val="0011687C"/>
    <w:rsid w:val="001205FE"/>
    <w:rsid w:val="0012258E"/>
    <w:rsid w:val="00122BB3"/>
    <w:rsid w:val="0012427E"/>
    <w:rsid w:val="0012450F"/>
    <w:rsid w:val="0012628B"/>
    <w:rsid w:val="001268C1"/>
    <w:rsid w:val="00126C88"/>
    <w:rsid w:val="0013051A"/>
    <w:rsid w:val="00130FA5"/>
    <w:rsid w:val="00132C3E"/>
    <w:rsid w:val="00134785"/>
    <w:rsid w:val="00135F7F"/>
    <w:rsid w:val="00136476"/>
    <w:rsid w:val="00137639"/>
    <w:rsid w:val="00140D78"/>
    <w:rsid w:val="0014152A"/>
    <w:rsid w:val="001426F0"/>
    <w:rsid w:val="00142B54"/>
    <w:rsid w:val="00142F16"/>
    <w:rsid w:val="001441C9"/>
    <w:rsid w:val="00144DD4"/>
    <w:rsid w:val="0014550E"/>
    <w:rsid w:val="00145E08"/>
    <w:rsid w:val="001510EB"/>
    <w:rsid w:val="001532B1"/>
    <w:rsid w:val="00153904"/>
    <w:rsid w:val="00153CE0"/>
    <w:rsid w:val="0016034C"/>
    <w:rsid w:val="00160ADB"/>
    <w:rsid w:val="00162161"/>
    <w:rsid w:val="00164D9B"/>
    <w:rsid w:val="001715BD"/>
    <w:rsid w:val="001740BB"/>
    <w:rsid w:val="00177E4B"/>
    <w:rsid w:val="00180026"/>
    <w:rsid w:val="001801B0"/>
    <w:rsid w:val="001819AF"/>
    <w:rsid w:val="00181EBF"/>
    <w:rsid w:val="001829BE"/>
    <w:rsid w:val="00184C0B"/>
    <w:rsid w:val="00185DCD"/>
    <w:rsid w:val="00190672"/>
    <w:rsid w:val="00192DF0"/>
    <w:rsid w:val="00193850"/>
    <w:rsid w:val="001963FF"/>
    <w:rsid w:val="001A29EF"/>
    <w:rsid w:val="001A2F40"/>
    <w:rsid w:val="001A38A4"/>
    <w:rsid w:val="001A4FBB"/>
    <w:rsid w:val="001A5A2F"/>
    <w:rsid w:val="001A5C46"/>
    <w:rsid w:val="001A5FE2"/>
    <w:rsid w:val="001A69BA"/>
    <w:rsid w:val="001A6E97"/>
    <w:rsid w:val="001A79FB"/>
    <w:rsid w:val="001B048F"/>
    <w:rsid w:val="001B08AF"/>
    <w:rsid w:val="001B0F3A"/>
    <w:rsid w:val="001B1B85"/>
    <w:rsid w:val="001B3FFC"/>
    <w:rsid w:val="001B5AA8"/>
    <w:rsid w:val="001B77D5"/>
    <w:rsid w:val="001C2EED"/>
    <w:rsid w:val="001C3053"/>
    <w:rsid w:val="001C3156"/>
    <w:rsid w:val="001C3AEE"/>
    <w:rsid w:val="001C3B35"/>
    <w:rsid w:val="001C42B3"/>
    <w:rsid w:val="001C53E6"/>
    <w:rsid w:val="001D0562"/>
    <w:rsid w:val="001D1CEF"/>
    <w:rsid w:val="001D2052"/>
    <w:rsid w:val="001D5143"/>
    <w:rsid w:val="001D58FC"/>
    <w:rsid w:val="001E075D"/>
    <w:rsid w:val="001E135C"/>
    <w:rsid w:val="001E1906"/>
    <w:rsid w:val="001E36CC"/>
    <w:rsid w:val="001E36EE"/>
    <w:rsid w:val="001E3E22"/>
    <w:rsid w:val="001E401B"/>
    <w:rsid w:val="001E42E8"/>
    <w:rsid w:val="001E787E"/>
    <w:rsid w:val="001E7F66"/>
    <w:rsid w:val="001F2B76"/>
    <w:rsid w:val="001F5AA4"/>
    <w:rsid w:val="001F5DE9"/>
    <w:rsid w:val="001F7BF4"/>
    <w:rsid w:val="001F7EE0"/>
    <w:rsid w:val="00206800"/>
    <w:rsid w:val="00207461"/>
    <w:rsid w:val="002078C5"/>
    <w:rsid w:val="00210BD9"/>
    <w:rsid w:val="00210CFA"/>
    <w:rsid w:val="0021315C"/>
    <w:rsid w:val="002146E2"/>
    <w:rsid w:val="00214C3E"/>
    <w:rsid w:val="0021789E"/>
    <w:rsid w:val="00217E78"/>
    <w:rsid w:val="002203D9"/>
    <w:rsid w:val="00220EAC"/>
    <w:rsid w:val="002212E5"/>
    <w:rsid w:val="002218A8"/>
    <w:rsid w:val="00223173"/>
    <w:rsid w:val="00224926"/>
    <w:rsid w:val="00225EB4"/>
    <w:rsid w:val="0022610B"/>
    <w:rsid w:val="00226191"/>
    <w:rsid w:val="0022665A"/>
    <w:rsid w:val="00232CAF"/>
    <w:rsid w:val="0023434B"/>
    <w:rsid w:val="00236820"/>
    <w:rsid w:val="00236A69"/>
    <w:rsid w:val="00240677"/>
    <w:rsid w:val="00241A5B"/>
    <w:rsid w:val="00243DF4"/>
    <w:rsid w:val="00245D03"/>
    <w:rsid w:val="00246222"/>
    <w:rsid w:val="00246BE2"/>
    <w:rsid w:val="00250029"/>
    <w:rsid w:val="00250EDF"/>
    <w:rsid w:val="002519F6"/>
    <w:rsid w:val="00252799"/>
    <w:rsid w:val="0025493E"/>
    <w:rsid w:val="00256862"/>
    <w:rsid w:val="00256904"/>
    <w:rsid w:val="00256B42"/>
    <w:rsid w:val="00256EE9"/>
    <w:rsid w:val="00257083"/>
    <w:rsid w:val="00263056"/>
    <w:rsid w:val="00264FF9"/>
    <w:rsid w:val="00265233"/>
    <w:rsid w:val="002659F3"/>
    <w:rsid w:val="00265D73"/>
    <w:rsid w:val="00265F43"/>
    <w:rsid w:val="00265FC9"/>
    <w:rsid w:val="00270CD1"/>
    <w:rsid w:val="002710C5"/>
    <w:rsid w:val="0027183B"/>
    <w:rsid w:val="002718D7"/>
    <w:rsid w:val="00273C8B"/>
    <w:rsid w:val="00273DE1"/>
    <w:rsid w:val="002769BF"/>
    <w:rsid w:val="00276EF2"/>
    <w:rsid w:val="00281092"/>
    <w:rsid w:val="0028254B"/>
    <w:rsid w:val="0028287F"/>
    <w:rsid w:val="00283002"/>
    <w:rsid w:val="0028380E"/>
    <w:rsid w:val="00283E59"/>
    <w:rsid w:val="00287564"/>
    <w:rsid w:val="00290184"/>
    <w:rsid w:val="0029119F"/>
    <w:rsid w:val="00295B9D"/>
    <w:rsid w:val="002966A1"/>
    <w:rsid w:val="00297424"/>
    <w:rsid w:val="002A1963"/>
    <w:rsid w:val="002A1A33"/>
    <w:rsid w:val="002A5BC5"/>
    <w:rsid w:val="002B0078"/>
    <w:rsid w:val="002B3382"/>
    <w:rsid w:val="002B7493"/>
    <w:rsid w:val="002B7A25"/>
    <w:rsid w:val="002C12AD"/>
    <w:rsid w:val="002C1F60"/>
    <w:rsid w:val="002C2218"/>
    <w:rsid w:val="002C3089"/>
    <w:rsid w:val="002C662C"/>
    <w:rsid w:val="002C66A2"/>
    <w:rsid w:val="002D1BDE"/>
    <w:rsid w:val="002D1CF5"/>
    <w:rsid w:val="002D399C"/>
    <w:rsid w:val="002D3A88"/>
    <w:rsid w:val="002D4CD9"/>
    <w:rsid w:val="002D5369"/>
    <w:rsid w:val="002D63C3"/>
    <w:rsid w:val="002D6A81"/>
    <w:rsid w:val="002D74C4"/>
    <w:rsid w:val="002E046E"/>
    <w:rsid w:val="002E1671"/>
    <w:rsid w:val="002E326C"/>
    <w:rsid w:val="002E3751"/>
    <w:rsid w:val="002E3CA2"/>
    <w:rsid w:val="002E3DE5"/>
    <w:rsid w:val="002E43B6"/>
    <w:rsid w:val="002E4D00"/>
    <w:rsid w:val="002E6027"/>
    <w:rsid w:val="002F142A"/>
    <w:rsid w:val="002F278C"/>
    <w:rsid w:val="002F2ACB"/>
    <w:rsid w:val="002F43B1"/>
    <w:rsid w:val="002F51CE"/>
    <w:rsid w:val="002F51D6"/>
    <w:rsid w:val="0030107A"/>
    <w:rsid w:val="003026F6"/>
    <w:rsid w:val="00304C95"/>
    <w:rsid w:val="00306C34"/>
    <w:rsid w:val="00306C50"/>
    <w:rsid w:val="0030787F"/>
    <w:rsid w:val="003109CB"/>
    <w:rsid w:val="003110AB"/>
    <w:rsid w:val="003152BA"/>
    <w:rsid w:val="00315ED8"/>
    <w:rsid w:val="00316C79"/>
    <w:rsid w:val="0032053D"/>
    <w:rsid w:val="0032244D"/>
    <w:rsid w:val="0032269C"/>
    <w:rsid w:val="00323E9D"/>
    <w:rsid w:val="00325463"/>
    <w:rsid w:val="00327908"/>
    <w:rsid w:val="00330FC1"/>
    <w:rsid w:val="0033167F"/>
    <w:rsid w:val="00331B47"/>
    <w:rsid w:val="00331D4E"/>
    <w:rsid w:val="003343CA"/>
    <w:rsid w:val="0033647A"/>
    <w:rsid w:val="003368A3"/>
    <w:rsid w:val="003368E2"/>
    <w:rsid w:val="003400E9"/>
    <w:rsid w:val="00340102"/>
    <w:rsid w:val="00340246"/>
    <w:rsid w:val="00340707"/>
    <w:rsid w:val="00341B40"/>
    <w:rsid w:val="00343AEA"/>
    <w:rsid w:val="00343BB8"/>
    <w:rsid w:val="0034467C"/>
    <w:rsid w:val="00344871"/>
    <w:rsid w:val="00345AA5"/>
    <w:rsid w:val="00345F40"/>
    <w:rsid w:val="00346DCB"/>
    <w:rsid w:val="003472A7"/>
    <w:rsid w:val="00347397"/>
    <w:rsid w:val="003476E3"/>
    <w:rsid w:val="00350389"/>
    <w:rsid w:val="003508AD"/>
    <w:rsid w:val="0035119B"/>
    <w:rsid w:val="003513AA"/>
    <w:rsid w:val="00353E9D"/>
    <w:rsid w:val="003558F2"/>
    <w:rsid w:val="00360BFB"/>
    <w:rsid w:val="00361B43"/>
    <w:rsid w:val="00361CEA"/>
    <w:rsid w:val="003623B1"/>
    <w:rsid w:val="003663FE"/>
    <w:rsid w:val="003666A7"/>
    <w:rsid w:val="00366CB5"/>
    <w:rsid w:val="00367723"/>
    <w:rsid w:val="0037143D"/>
    <w:rsid w:val="00371D7F"/>
    <w:rsid w:val="003736A4"/>
    <w:rsid w:val="003744FB"/>
    <w:rsid w:val="003751D6"/>
    <w:rsid w:val="00376656"/>
    <w:rsid w:val="00376A46"/>
    <w:rsid w:val="00377427"/>
    <w:rsid w:val="0038056D"/>
    <w:rsid w:val="003811C5"/>
    <w:rsid w:val="0038203F"/>
    <w:rsid w:val="00382E52"/>
    <w:rsid w:val="00383C2B"/>
    <w:rsid w:val="003900AE"/>
    <w:rsid w:val="00390F01"/>
    <w:rsid w:val="00391898"/>
    <w:rsid w:val="00394CEF"/>
    <w:rsid w:val="00396369"/>
    <w:rsid w:val="00396B4F"/>
    <w:rsid w:val="0039768C"/>
    <w:rsid w:val="00397D80"/>
    <w:rsid w:val="003A06CF"/>
    <w:rsid w:val="003A07BF"/>
    <w:rsid w:val="003A0A07"/>
    <w:rsid w:val="003A0B7F"/>
    <w:rsid w:val="003A2190"/>
    <w:rsid w:val="003A32C3"/>
    <w:rsid w:val="003A41C8"/>
    <w:rsid w:val="003A4346"/>
    <w:rsid w:val="003A4767"/>
    <w:rsid w:val="003A5509"/>
    <w:rsid w:val="003A5530"/>
    <w:rsid w:val="003A5F3C"/>
    <w:rsid w:val="003A675A"/>
    <w:rsid w:val="003A6F0A"/>
    <w:rsid w:val="003B18EB"/>
    <w:rsid w:val="003B35CF"/>
    <w:rsid w:val="003B4544"/>
    <w:rsid w:val="003B5341"/>
    <w:rsid w:val="003B5EF6"/>
    <w:rsid w:val="003B67AF"/>
    <w:rsid w:val="003B6F75"/>
    <w:rsid w:val="003C0BCF"/>
    <w:rsid w:val="003C159B"/>
    <w:rsid w:val="003C4AD3"/>
    <w:rsid w:val="003C6559"/>
    <w:rsid w:val="003D1454"/>
    <w:rsid w:val="003D4EDC"/>
    <w:rsid w:val="003D5B63"/>
    <w:rsid w:val="003D5BD6"/>
    <w:rsid w:val="003D638D"/>
    <w:rsid w:val="003E36EC"/>
    <w:rsid w:val="003E3782"/>
    <w:rsid w:val="003E4BA1"/>
    <w:rsid w:val="003E5CB1"/>
    <w:rsid w:val="003E6D39"/>
    <w:rsid w:val="003E7003"/>
    <w:rsid w:val="003F2F66"/>
    <w:rsid w:val="003F3F11"/>
    <w:rsid w:val="003F7C25"/>
    <w:rsid w:val="004016AD"/>
    <w:rsid w:val="00402541"/>
    <w:rsid w:val="0040293C"/>
    <w:rsid w:val="00402AA2"/>
    <w:rsid w:val="00403608"/>
    <w:rsid w:val="00403B86"/>
    <w:rsid w:val="00403D2F"/>
    <w:rsid w:val="00406292"/>
    <w:rsid w:val="00410569"/>
    <w:rsid w:val="0041104B"/>
    <w:rsid w:val="00413C6F"/>
    <w:rsid w:val="00414A95"/>
    <w:rsid w:val="00415670"/>
    <w:rsid w:val="00415EFE"/>
    <w:rsid w:val="00416F51"/>
    <w:rsid w:val="004177EE"/>
    <w:rsid w:val="004200CE"/>
    <w:rsid w:val="0042056B"/>
    <w:rsid w:val="004218A6"/>
    <w:rsid w:val="00424029"/>
    <w:rsid w:val="00424E2A"/>
    <w:rsid w:val="00426316"/>
    <w:rsid w:val="00430229"/>
    <w:rsid w:val="00431572"/>
    <w:rsid w:val="004357EE"/>
    <w:rsid w:val="00435C69"/>
    <w:rsid w:val="00436A9E"/>
    <w:rsid w:val="00436E88"/>
    <w:rsid w:val="00437C9C"/>
    <w:rsid w:val="004416D4"/>
    <w:rsid w:val="00442616"/>
    <w:rsid w:val="00444D55"/>
    <w:rsid w:val="00444EE1"/>
    <w:rsid w:val="00451266"/>
    <w:rsid w:val="00451414"/>
    <w:rsid w:val="00452C14"/>
    <w:rsid w:val="00456394"/>
    <w:rsid w:val="00457AE7"/>
    <w:rsid w:val="00461187"/>
    <w:rsid w:val="00461ADA"/>
    <w:rsid w:val="00461E23"/>
    <w:rsid w:val="00461FC7"/>
    <w:rsid w:val="00466CC6"/>
    <w:rsid w:val="00467066"/>
    <w:rsid w:val="00470C6F"/>
    <w:rsid w:val="00471C4A"/>
    <w:rsid w:val="00472129"/>
    <w:rsid w:val="0047221C"/>
    <w:rsid w:val="0047288E"/>
    <w:rsid w:val="004736A1"/>
    <w:rsid w:val="00474ED6"/>
    <w:rsid w:val="004750B9"/>
    <w:rsid w:val="004750F2"/>
    <w:rsid w:val="004806B5"/>
    <w:rsid w:val="00482946"/>
    <w:rsid w:val="00491874"/>
    <w:rsid w:val="004936D4"/>
    <w:rsid w:val="00494E42"/>
    <w:rsid w:val="00497276"/>
    <w:rsid w:val="004A3F69"/>
    <w:rsid w:val="004A6114"/>
    <w:rsid w:val="004A6295"/>
    <w:rsid w:val="004A6321"/>
    <w:rsid w:val="004C34F9"/>
    <w:rsid w:val="004C3EDB"/>
    <w:rsid w:val="004C4957"/>
    <w:rsid w:val="004C54C1"/>
    <w:rsid w:val="004C58E9"/>
    <w:rsid w:val="004C6444"/>
    <w:rsid w:val="004C6C77"/>
    <w:rsid w:val="004D02EA"/>
    <w:rsid w:val="004D3233"/>
    <w:rsid w:val="004D4C25"/>
    <w:rsid w:val="004D5557"/>
    <w:rsid w:val="004D650D"/>
    <w:rsid w:val="004D7048"/>
    <w:rsid w:val="004D7AB9"/>
    <w:rsid w:val="004E144A"/>
    <w:rsid w:val="004E218D"/>
    <w:rsid w:val="004E3A9A"/>
    <w:rsid w:val="004E4FD9"/>
    <w:rsid w:val="004E5064"/>
    <w:rsid w:val="004E5465"/>
    <w:rsid w:val="004E5D01"/>
    <w:rsid w:val="004F0990"/>
    <w:rsid w:val="004F1CBD"/>
    <w:rsid w:val="004F6A54"/>
    <w:rsid w:val="00500FF2"/>
    <w:rsid w:val="0050195E"/>
    <w:rsid w:val="00505616"/>
    <w:rsid w:val="00506083"/>
    <w:rsid w:val="00507BD2"/>
    <w:rsid w:val="00510463"/>
    <w:rsid w:val="0051134F"/>
    <w:rsid w:val="00512734"/>
    <w:rsid w:val="0051289D"/>
    <w:rsid w:val="00512A5C"/>
    <w:rsid w:val="00514466"/>
    <w:rsid w:val="00514B5F"/>
    <w:rsid w:val="005150AB"/>
    <w:rsid w:val="00515377"/>
    <w:rsid w:val="0051572D"/>
    <w:rsid w:val="005214C9"/>
    <w:rsid w:val="00522727"/>
    <w:rsid w:val="005234F9"/>
    <w:rsid w:val="00523A4B"/>
    <w:rsid w:val="00525BD1"/>
    <w:rsid w:val="00526086"/>
    <w:rsid w:val="00526174"/>
    <w:rsid w:val="00527518"/>
    <w:rsid w:val="005321F0"/>
    <w:rsid w:val="00532377"/>
    <w:rsid w:val="0053288E"/>
    <w:rsid w:val="00532D75"/>
    <w:rsid w:val="005353B7"/>
    <w:rsid w:val="00535D18"/>
    <w:rsid w:val="00535E66"/>
    <w:rsid w:val="00535F7C"/>
    <w:rsid w:val="005369DD"/>
    <w:rsid w:val="00537EE6"/>
    <w:rsid w:val="00540EAE"/>
    <w:rsid w:val="005415C8"/>
    <w:rsid w:val="0054183C"/>
    <w:rsid w:val="0054220C"/>
    <w:rsid w:val="005437A3"/>
    <w:rsid w:val="005440C1"/>
    <w:rsid w:val="00545839"/>
    <w:rsid w:val="00545EF8"/>
    <w:rsid w:val="00546E37"/>
    <w:rsid w:val="00547654"/>
    <w:rsid w:val="00550D76"/>
    <w:rsid w:val="00551ADF"/>
    <w:rsid w:val="00551B31"/>
    <w:rsid w:val="00552923"/>
    <w:rsid w:val="005533A9"/>
    <w:rsid w:val="00554C93"/>
    <w:rsid w:val="00556FAA"/>
    <w:rsid w:val="00557BF1"/>
    <w:rsid w:val="00560703"/>
    <w:rsid w:val="005607E6"/>
    <w:rsid w:val="005613EC"/>
    <w:rsid w:val="005646C7"/>
    <w:rsid w:val="00566B25"/>
    <w:rsid w:val="00566F06"/>
    <w:rsid w:val="0056704D"/>
    <w:rsid w:val="00567C95"/>
    <w:rsid w:val="00567D8D"/>
    <w:rsid w:val="00581E3D"/>
    <w:rsid w:val="0058304E"/>
    <w:rsid w:val="00583067"/>
    <w:rsid w:val="00583565"/>
    <w:rsid w:val="005873E7"/>
    <w:rsid w:val="00587F4C"/>
    <w:rsid w:val="00593DAA"/>
    <w:rsid w:val="005942FC"/>
    <w:rsid w:val="00596777"/>
    <w:rsid w:val="0059732E"/>
    <w:rsid w:val="005A4BC8"/>
    <w:rsid w:val="005A5D9F"/>
    <w:rsid w:val="005A6BA7"/>
    <w:rsid w:val="005A72DD"/>
    <w:rsid w:val="005B0CA8"/>
    <w:rsid w:val="005B1AA0"/>
    <w:rsid w:val="005B1C29"/>
    <w:rsid w:val="005B2D70"/>
    <w:rsid w:val="005B2F2E"/>
    <w:rsid w:val="005B3158"/>
    <w:rsid w:val="005B345F"/>
    <w:rsid w:val="005B4CEA"/>
    <w:rsid w:val="005B640F"/>
    <w:rsid w:val="005B67ED"/>
    <w:rsid w:val="005B753D"/>
    <w:rsid w:val="005C0343"/>
    <w:rsid w:val="005C1F61"/>
    <w:rsid w:val="005C2A5A"/>
    <w:rsid w:val="005C30D4"/>
    <w:rsid w:val="005C4A48"/>
    <w:rsid w:val="005D0345"/>
    <w:rsid w:val="005D12D1"/>
    <w:rsid w:val="005D1BA6"/>
    <w:rsid w:val="005D1E33"/>
    <w:rsid w:val="005D250F"/>
    <w:rsid w:val="005D25E5"/>
    <w:rsid w:val="005D263E"/>
    <w:rsid w:val="005D364B"/>
    <w:rsid w:val="005D413A"/>
    <w:rsid w:val="005D4F7D"/>
    <w:rsid w:val="005D53C3"/>
    <w:rsid w:val="005D7BE8"/>
    <w:rsid w:val="005E16A7"/>
    <w:rsid w:val="005E2803"/>
    <w:rsid w:val="005E2B29"/>
    <w:rsid w:val="005E30FF"/>
    <w:rsid w:val="005E3D9F"/>
    <w:rsid w:val="005E4805"/>
    <w:rsid w:val="005E6096"/>
    <w:rsid w:val="005E6F60"/>
    <w:rsid w:val="005F1320"/>
    <w:rsid w:val="005F3AB3"/>
    <w:rsid w:val="005F4BFF"/>
    <w:rsid w:val="005F5276"/>
    <w:rsid w:val="005F581A"/>
    <w:rsid w:val="005F7995"/>
    <w:rsid w:val="00600EA1"/>
    <w:rsid w:val="006020E8"/>
    <w:rsid w:val="00603106"/>
    <w:rsid w:val="00610957"/>
    <w:rsid w:val="006168A4"/>
    <w:rsid w:val="00620F18"/>
    <w:rsid w:val="00622396"/>
    <w:rsid w:val="0062277A"/>
    <w:rsid w:val="0062311F"/>
    <w:rsid w:val="00624721"/>
    <w:rsid w:val="0062486F"/>
    <w:rsid w:val="00624EEA"/>
    <w:rsid w:val="0063038A"/>
    <w:rsid w:val="00630B7C"/>
    <w:rsid w:val="00630CA0"/>
    <w:rsid w:val="00634F84"/>
    <w:rsid w:val="006353A9"/>
    <w:rsid w:val="0063597E"/>
    <w:rsid w:val="0063621B"/>
    <w:rsid w:val="006369D0"/>
    <w:rsid w:val="00637D3F"/>
    <w:rsid w:val="006401C5"/>
    <w:rsid w:val="00640422"/>
    <w:rsid w:val="00640EAA"/>
    <w:rsid w:val="00641EB5"/>
    <w:rsid w:val="006444CF"/>
    <w:rsid w:val="00644983"/>
    <w:rsid w:val="0064498D"/>
    <w:rsid w:val="006472F4"/>
    <w:rsid w:val="00647AC4"/>
    <w:rsid w:val="00650430"/>
    <w:rsid w:val="00650C92"/>
    <w:rsid w:val="00653DFB"/>
    <w:rsid w:val="00654D13"/>
    <w:rsid w:val="006557D7"/>
    <w:rsid w:val="00656239"/>
    <w:rsid w:val="00656653"/>
    <w:rsid w:val="0065677C"/>
    <w:rsid w:val="006606A3"/>
    <w:rsid w:val="00661DE5"/>
    <w:rsid w:val="00663384"/>
    <w:rsid w:val="00664BE9"/>
    <w:rsid w:val="00664F69"/>
    <w:rsid w:val="00664FFF"/>
    <w:rsid w:val="006650E5"/>
    <w:rsid w:val="0066537F"/>
    <w:rsid w:val="006653F3"/>
    <w:rsid w:val="0066709A"/>
    <w:rsid w:val="00670576"/>
    <w:rsid w:val="0067067F"/>
    <w:rsid w:val="00670B2A"/>
    <w:rsid w:val="00671666"/>
    <w:rsid w:val="00672014"/>
    <w:rsid w:val="00672315"/>
    <w:rsid w:val="006733A8"/>
    <w:rsid w:val="00673674"/>
    <w:rsid w:val="00674B18"/>
    <w:rsid w:val="006805F0"/>
    <w:rsid w:val="00681370"/>
    <w:rsid w:val="00682A2B"/>
    <w:rsid w:val="00682E7C"/>
    <w:rsid w:val="00683E53"/>
    <w:rsid w:val="0068637F"/>
    <w:rsid w:val="00686968"/>
    <w:rsid w:val="006877E7"/>
    <w:rsid w:val="00690AE3"/>
    <w:rsid w:val="00690EDB"/>
    <w:rsid w:val="006956FE"/>
    <w:rsid w:val="006A2449"/>
    <w:rsid w:val="006A505F"/>
    <w:rsid w:val="006A6E81"/>
    <w:rsid w:val="006A6FD0"/>
    <w:rsid w:val="006B04D0"/>
    <w:rsid w:val="006B080E"/>
    <w:rsid w:val="006B1ADF"/>
    <w:rsid w:val="006B5F82"/>
    <w:rsid w:val="006B730D"/>
    <w:rsid w:val="006B73E8"/>
    <w:rsid w:val="006B7BD3"/>
    <w:rsid w:val="006C05D9"/>
    <w:rsid w:val="006C1DED"/>
    <w:rsid w:val="006C377A"/>
    <w:rsid w:val="006C3D82"/>
    <w:rsid w:val="006C43E2"/>
    <w:rsid w:val="006C7E72"/>
    <w:rsid w:val="006D01C1"/>
    <w:rsid w:val="006D2212"/>
    <w:rsid w:val="006D550A"/>
    <w:rsid w:val="006D73F2"/>
    <w:rsid w:val="006D7A22"/>
    <w:rsid w:val="006D7FF3"/>
    <w:rsid w:val="006E15B7"/>
    <w:rsid w:val="006E1A1A"/>
    <w:rsid w:val="006E38A1"/>
    <w:rsid w:val="006E3B0D"/>
    <w:rsid w:val="006E53DE"/>
    <w:rsid w:val="006E6234"/>
    <w:rsid w:val="006E728E"/>
    <w:rsid w:val="006F2827"/>
    <w:rsid w:val="006F2D89"/>
    <w:rsid w:val="006F6889"/>
    <w:rsid w:val="006F69D2"/>
    <w:rsid w:val="00701103"/>
    <w:rsid w:val="00702504"/>
    <w:rsid w:val="0070296E"/>
    <w:rsid w:val="00703938"/>
    <w:rsid w:val="00704843"/>
    <w:rsid w:val="00710957"/>
    <w:rsid w:val="007115F7"/>
    <w:rsid w:val="00712CD6"/>
    <w:rsid w:val="00714FD7"/>
    <w:rsid w:val="00715666"/>
    <w:rsid w:val="00716266"/>
    <w:rsid w:val="0071648A"/>
    <w:rsid w:val="00716E89"/>
    <w:rsid w:val="00720FB8"/>
    <w:rsid w:val="0072148D"/>
    <w:rsid w:val="00721DB4"/>
    <w:rsid w:val="0072391F"/>
    <w:rsid w:val="00724262"/>
    <w:rsid w:val="0072776E"/>
    <w:rsid w:val="00727F4F"/>
    <w:rsid w:val="00731211"/>
    <w:rsid w:val="00731542"/>
    <w:rsid w:val="007323B4"/>
    <w:rsid w:val="0073326F"/>
    <w:rsid w:val="00734A69"/>
    <w:rsid w:val="00743300"/>
    <w:rsid w:val="00743885"/>
    <w:rsid w:val="00743CDB"/>
    <w:rsid w:val="00745AB4"/>
    <w:rsid w:val="007470E1"/>
    <w:rsid w:val="0074777A"/>
    <w:rsid w:val="007479D6"/>
    <w:rsid w:val="00750214"/>
    <w:rsid w:val="0075155D"/>
    <w:rsid w:val="007528EA"/>
    <w:rsid w:val="00752D0E"/>
    <w:rsid w:val="00753BD2"/>
    <w:rsid w:val="00755564"/>
    <w:rsid w:val="00757E63"/>
    <w:rsid w:val="0076142F"/>
    <w:rsid w:val="007644B3"/>
    <w:rsid w:val="00765619"/>
    <w:rsid w:val="00766101"/>
    <w:rsid w:val="007670A8"/>
    <w:rsid w:val="00767DD5"/>
    <w:rsid w:val="007705C0"/>
    <w:rsid w:val="0077073F"/>
    <w:rsid w:val="0077103F"/>
    <w:rsid w:val="00771BD7"/>
    <w:rsid w:val="0077224C"/>
    <w:rsid w:val="00774542"/>
    <w:rsid w:val="007756D7"/>
    <w:rsid w:val="00780209"/>
    <w:rsid w:val="00782257"/>
    <w:rsid w:val="007823C8"/>
    <w:rsid w:val="007827E0"/>
    <w:rsid w:val="00784D5A"/>
    <w:rsid w:val="00785772"/>
    <w:rsid w:val="00785910"/>
    <w:rsid w:val="00785927"/>
    <w:rsid w:val="0078601F"/>
    <w:rsid w:val="00786981"/>
    <w:rsid w:val="0078700F"/>
    <w:rsid w:val="00787DBC"/>
    <w:rsid w:val="00787EA8"/>
    <w:rsid w:val="00787FAB"/>
    <w:rsid w:val="00790029"/>
    <w:rsid w:val="0079031A"/>
    <w:rsid w:val="00791577"/>
    <w:rsid w:val="00792CD1"/>
    <w:rsid w:val="00793723"/>
    <w:rsid w:val="007968B1"/>
    <w:rsid w:val="00797195"/>
    <w:rsid w:val="007A007E"/>
    <w:rsid w:val="007A096E"/>
    <w:rsid w:val="007A0AB7"/>
    <w:rsid w:val="007A1362"/>
    <w:rsid w:val="007A1DD9"/>
    <w:rsid w:val="007A2213"/>
    <w:rsid w:val="007A2551"/>
    <w:rsid w:val="007A2AF2"/>
    <w:rsid w:val="007A4004"/>
    <w:rsid w:val="007A400F"/>
    <w:rsid w:val="007B0E80"/>
    <w:rsid w:val="007B18E8"/>
    <w:rsid w:val="007B1B20"/>
    <w:rsid w:val="007B1C3F"/>
    <w:rsid w:val="007B2014"/>
    <w:rsid w:val="007B25BE"/>
    <w:rsid w:val="007B30F7"/>
    <w:rsid w:val="007B507C"/>
    <w:rsid w:val="007B7456"/>
    <w:rsid w:val="007C05AD"/>
    <w:rsid w:val="007C06AE"/>
    <w:rsid w:val="007C197B"/>
    <w:rsid w:val="007C3555"/>
    <w:rsid w:val="007C3802"/>
    <w:rsid w:val="007C3FB4"/>
    <w:rsid w:val="007C416C"/>
    <w:rsid w:val="007C596A"/>
    <w:rsid w:val="007D2BBE"/>
    <w:rsid w:val="007D4D02"/>
    <w:rsid w:val="007D5298"/>
    <w:rsid w:val="007D5BA0"/>
    <w:rsid w:val="007D766F"/>
    <w:rsid w:val="007E1D7E"/>
    <w:rsid w:val="007E25B1"/>
    <w:rsid w:val="007E39BB"/>
    <w:rsid w:val="007E5B5C"/>
    <w:rsid w:val="007F07EF"/>
    <w:rsid w:val="007F0ED4"/>
    <w:rsid w:val="007F32B6"/>
    <w:rsid w:val="007F3C22"/>
    <w:rsid w:val="007F6138"/>
    <w:rsid w:val="007F63B9"/>
    <w:rsid w:val="007F6518"/>
    <w:rsid w:val="007F76F4"/>
    <w:rsid w:val="0080144D"/>
    <w:rsid w:val="00803DE2"/>
    <w:rsid w:val="00804AA7"/>
    <w:rsid w:val="00805DB2"/>
    <w:rsid w:val="00806AEF"/>
    <w:rsid w:val="00807239"/>
    <w:rsid w:val="00810287"/>
    <w:rsid w:val="008119AF"/>
    <w:rsid w:val="0081224E"/>
    <w:rsid w:val="00812AE5"/>
    <w:rsid w:val="00813C3D"/>
    <w:rsid w:val="00815214"/>
    <w:rsid w:val="00817123"/>
    <w:rsid w:val="00817490"/>
    <w:rsid w:val="00820639"/>
    <w:rsid w:val="008218CC"/>
    <w:rsid w:val="00821D1F"/>
    <w:rsid w:val="00823395"/>
    <w:rsid w:val="00832895"/>
    <w:rsid w:val="00834192"/>
    <w:rsid w:val="00835377"/>
    <w:rsid w:val="00836DF6"/>
    <w:rsid w:val="00840B30"/>
    <w:rsid w:val="00840F76"/>
    <w:rsid w:val="00841AA0"/>
    <w:rsid w:val="008467D5"/>
    <w:rsid w:val="0084691E"/>
    <w:rsid w:val="00854130"/>
    <w:rsid w:val="00854197"/>
    <w:rsid w:val="00857C8A"/>
    <w:rsid w:val="0086293F"/>
    <w:rsid w:val="00862B6D"/>
    <w:rsid w:val="008635E6"/>
    <w:rsid w:val="00863CD4"/>
    <w:rsid w:val="008661A4"/>
    <w:rsid w:val="0086668C"/>
    <w:rsid w:val="008666BC"/>
    <w:rsid w:val="008738A3"/>
    <w:rsid w:val="00874CFC"/>
    <w:rsid w:val="00874F98"/>
    <w:rsid w:val="00882BB6"/>
    <w:rsid w:val="008850FE"/>
    <w:rsid w:val="00886C3A"/>
    <w:rsid w:val="00887CAD"/>
    <w:rsid w:val="00890649"/>
    <w:rsid w:val="00890DC3"/>
    <w:rsid w:val="008946EF"/>
    <w:rsid w:val="00897D71"/>
    <w:rsid w:val="008A199F"/>
    <w:rsid w:val="008A1A2C"/>
    <w:rsid w:val="008A4CF2"/>
    <w:rsid w:val="008A5404"/>
    <w:rsid w:val="008A6BBC"/>
    <w:rsid w:val="008B1964"/>
    <w:rsid w:val="008B20CB"/>
    <w:rsid w:val="008B27C1"/>
    <w:rsid w:val="008B328E"/>
    <w:rsid w:val="008B4877"/>
    <w:rsid w:val="008B7FFE"/>
    <w:rsid w:val="008C0FB2"/>
    <w:rsid w:val="008C22CD"/>
    <w:rsid w:val="008C2F85"/>
    <w:rsid w:val="008C31EB"/>
    <w:rsid w:val="008C47A6"/>
    <w:rsid w:val="008C5472"/>
    <w:rsid w:val="008C55AC"/>
    <w:rsid w:val="008D2965"/>
    <w:rsid w:val="008D377B"/>
    <w:rsid w:val="008D4F79"/>
    <w:rsid w:val="008D5993"/>
    <w:rsid w:val="008D6AFE"/>
    <w:rsid w:val="008D7584"/>
    <w:rsid w:val="008E0D87"/>
    <w:rsid w:val="008E2010"/>
    <w:rsid w:val="008E3069"/>
    <w:rsid w:val="008E4800"/>
    <w:rsid w:val="008E58DE"/>
    <w:rsid w:val="008E6F4E"/>
    <w:rsid w:val="008F0F79"/>
    <w:rsid w:val="008F1173"/>
    <w:rsid w:val="008F1D72"/>
    <w:rsid w:val="008F21BF"/>
    <w:rsid w:val="008F2651"/>
    <w:rsid w:val="008F2B18"/>
    <w:rsid w:val="008F3480"/>
    <w:rsid w:val="008F60D8"/>
    <w:rsid w:val="009012DC"/>
    <w:rsid w:val="00901CE2"/>
    <w:rsid w:val="00901EA9"/>
    <w:rsid w:val="0090510E"/>
    <w:rsid w:val="00905B2F"/>
    <w:rsid w:val="00906210"/>
    <w:rsid w:val="00913674"/>
    <w:rsid w:val="009150E9"/>
    <w:rsid w:val="00915FE4"/>
    <w:rsid w:val="009168F6"/>
    <w:rsid w:val="00917D0E"/>
    <w:rsid w:val="00920FB9"/>
    <w:rsid w:val="00921E4E"/>
    <w:rsid w:val="009220AA"/>
    <w:rsid w:val="009221B3"/>
    <w:rsid w:val="00922BC7"/>
    <w:rsid w:val="00924198"/>
    <w:rsid w:val="009244F0"/>
    <w:rsid w:val="00927277"/>
    <w:rsid w:val="0092792B"/>
    <w:rsid w:val="00932309"/>
    <w:rsid w:val="0093638C"/>
    <w:rsid w:val="00937A4E"/>
    <w:rsid w:val="00942CE1"/>
    <w:rsid w:val="00946905"/>
    <w:rsid w:val="009547E7"/>
    <w:rsid w:val="00954E9D"/>
    <w:rsid w:val="00955661"/>
    <w:rsid w:val="00955A9F"/>
    <w:rsid w:val="00956738"/>
    <w:rsid w:val="00957EAF"/>
    <w:rsid w:val="00964A21"/>
    <w:rsid w:val="0096616A"/>
    <w:rsid w:val="0096616C"/>
    <w:rsid w:val="0096675D"/>
    <w:rsid w:val="00970770"/>
    <w:rsid w:val="009714F0"/>
    <w:rsid w:val="0097377D"/>
    <w:rsid w:val="0097633D"/>
    <w:rsid w:val="00980AA0"/>
    <w:rsid w:val="00981A39"/>
    <w:rsid w:val="00982557"/>
    <w:rsid w:val="00983DC8"/>
    <w:rsid w:val="009842D4"/>
    <w:rsid w:val="00985084"/>
    <w:rsid w:val="009868EF"/>
    <w:rsid w:val="009875C6"/>
    <w:rsid w:val="00991509"/>
    <w:rsid w:val="00992324"/>
    <w:rsid w:val="00992487"/>
    <w:rsid w:val="00992A29"/>
    <w:rsid w:val="00993930"/>
    <w:rsid w:val="009979FE"/>
    <w:rsid w:val="009A01CF"/>
    <w:rsid w:val="009A09C6"/>
    <w:rsid w:val="009A166E"/>
    <w:rsid w:val="009A31E8"/>
    <w:rsid w:val="009A323D"/>
    <w:rsid w:val="009A3AE5"/>
    <w:rsid w:val="009A4206"/>
    <w:rsid w:val="009A4C09"/>
    <w:rsid w:val="009B1061"/>
    <w:rsid w:val="009B2C59"/>
    <w:rsid w:val="009B33A0"/>
    <w:rsid w:val="009B3E58"/>
    <w:rsid w:val="009B6F55"/>
    <w:rsid w:val="009B73E6"/>
    <w:rsid w:val="009B78FB"/>
    <w:rsid w:val="009C2411"/>
    <w:rsid w:val="009C268B"/>
    <w:rsid w:val="009C3321"/>
    <w:rsid w:val="009C46AB"/>
    <w:rsid w:val="009C4E73"/>
    <w:rsid w:val="009C5D6A"/>
    <w:rsid w:val="009C5E0C"/>
    <w:rsid w:val="009C6AD9"/>
    <w:rsid w:val="009C6DFC"/>
    <w:rsid w:val="009C7C56"/>
    <w:rsid w:val="009D0C63"/>
    <w:rsid w:val="009D1488"/>
    <w:rsid w:val="009D233D"/>
    <w:rsid w:val="009D5355"/>
    <w:rsid w:val="009D5542"/>
    <w:rsid w:val="009E44EE"/>
    <w:rsid w:val="009E53A5"/>
    <w:rsid w:val="009E708F"/>
    <w:rsid w:val="009E73FC"/>
    <w:rsid w:val="009F4542"/>
    <w:rsid w:val="009F702D"/>
    <w:rsid w:val="00A002F4"/>
    <w:rsid w:val="00A00AE0"/>
    <w:rsid w:val="00A00D4B"/>
    <w:rsid w:val="00A01D1A"/>
    <w:rsid w:val="00A01D39"/>
    <w:rsid w:val="00A047AF"/>
    <w:rsid w:val="00A04FDE"/>
    <w:rsid w:val="00A0567A"/>
    <w:rsid w:val="00A05DDE"/>
    <w:rsid w:val="00A0742A"/>
    <w:rsid w:val="00A10460"/>
    <w:rsid w:val="00A149DB"/>
    <w:rsid w:val="00A14E35"/>
    <w:rsid w:val="00A174D4"/>
    <w:rsid w:val="00A2003A"/>
    <w:rsid w:val="00A204BA"/>
    <w:rsid w:val="00A20570"/>
    <w:rsid w:val="00A206BD"/>
    <w:rsid w:val="00A20C19"/>
    <w:rsid w:val="00A20FED"/>
    <w:rsid w:val="00A223C9"/>
    <w:rsid w:val="00A22E18"/>
    <w:rsid w:val="00A230E1"/>
    <w:rsid w:val="00A24CD1"/>
    <w:rsid w:val="00A25819"/>
    <w:rsid w:val="00A26BEF"/>
    <w:rsid w:val="00A26C54"/>
    <w:rsid w:val="00A27C1A"/>
    <w:rsid w:val="00A311F4"/>
    <w:rsid w:val="00A31526"/>
    <w:rsid w:val="00A33433"/>
    <w:rsid w:val="00A35D97"/>
    <w:rsid w:val="00A3605B"/>
    <w:rsid w:val="00A3796D"/>
    <w:rsid w:val="00A4014C"/>
    <w:rsid w:val="00A41565"/>
    <w:rsid w:val="00A41D51"/>
    <w:rsid w:val="00A42341"/>
    <w:rsid w:val="00A42F5E"/>
    <w:rsid w:val="00A44914"/>
    <w:rsid w:val="00A45420"/>
    <w:rsid w:val="00A455B0"/>
    <w:rsid w:val="00A45FAD"/>
    <w:rsid w:val="00A50C00"/>
    <w:rsid w:val="00A52CEE"/>
    <w:rsid w:val="00A54337"/>
    <w:rsid w:val="00A5779A"/>
    <w:rsid w:val="00A57EE8"/>
    <w:rsid w:val="00A614C3"/>
    <w:rsid w:val="00A6580E"/>
    <w:rsid w:val="00A65A53"/>
    <w:rsid w:val="00A72D37"/>
    <w:rsid w:val="00A83EFC"/>
    <w:rsid w:val="00A855A8"/>
    <w:rsid w:val="00A85BF7"/>
    <w:rsid w:val="00A8604A"/>
    <w:rsid w:val="00A9096B"/>
    <w:rsid w:val="00A92C53"/>
    <w:rsid w:val="00A94C20"/>
    <w:rsid w:val="00A95983"/>
    <w:rsid w:val="00A96B40"/>
    <w:rsid w:val="00AA0894"/>
    <w:rsid w:val="00AA19E7"/>
    <w:rsid w:val="00AA1C42"/>
    <w:rsid w:val="00AA21A0"/>
    <w:rsid w:val="00AA4A9A"/>
    <w:rsid w:val="00AA50C4"/>
    <w:rsid w:val="00AA614F"/>
    <w:rsid w:val="00AB229D"/>
    <w:rsid w:val="00AB2A81"/>
    <w:rsid w:val="00AB304A"/>
    <w:rsid w:val="00AB39F0"/>
    <w:rsid w:val="00AB3EA4"/>
    <w:rsid w:val="00AB3F95"/>
    <w:rsid w:val="00AB3FF0"/>
    <w:rsid w:val="00AB49A2"/>
    <w:rsid w:val="00AB6490"/>
    <w:rsid w:val="00AB70F5"/>
    <w:rsid w:val="00AC08EF"/>
    <w:rsid w:val="00AC0A30"/>
    <w:rsid w:val="00AC262E"/>
    <w:rsid w:val="00AC5C6A"/>
    <w:rsid w:val="00AC6F5E"/>
    <w:rsid w:val="00AC7682"/>
    <w:rsid w:val="00AC7905"/>
    <w:rsid w:val="00AD01E1"/>
    <w:rsid w:val="00AD22BF"/>
    <w:rsid w:val="00AD2627"/>
    <w:rsid w:val="00AD3069"/>
    <w:rsid w:val="00AD35D3"/>
    <w:rsid w:val="00AD395B"/>
    <w:rsid w:val="00AD4B1F"/>
    <w:rsid w:val="00AD525D"/>
    <w:rsid w:val="00AD7D66"/>
    <w:rsid w:val="00AE1C59"/>
    <w:rsid w:val="00AE4E71"/>
    <w:rsid w:val="00AE5AE1"/>
    <w:rsid w:val="00AE6894"/>
    <w:rsid w:val="00AE6CDF"/>
    <w:rsid w:val="00AE7603"/>
    <w:rsid w:val="00AF152C"/>
    <w:rsid w:val="00AF2483"/>
    <w:rsid w:val="00AF50C3"/>
    <w:rsid w:val="00AF6122"/>
    <w:rsid w:val="00B01569"/>
    <w:rsid w:val="00B025B3"/>
    <w:rsid w:val="00B046DF"/>
    <w:rsid w:val="00B04925"/>
    <w:rsid w:val="00B04C49"/>
    <w:rsid w:val="00B0601B"/>
    <w:rsid w:val="00B102D9"/>
    <w:rsid w:val="00B106C6"/>
    <w:rsid w:val="00B122C3"/>
    <w:rsid w:val="00B12C7E"/>
    <w:rsid w:val="00B158B0"/>
    <w:rsid w:val="00B20811"/>
    <w:rsid w:val="00B21753"/>
    <w:rsid w:val="00B23E5D"/>
    <w:rsid w:val="00B246DD"/>
    <w:rsid w:val="00B24EA1"/>
    <w:rsid w:val="00B2542C"/>
    <w:rsid w:val="00B26098"/>
    <w:rsid w:val="00B26603"/>
    <w:rsid w:val="00B307A4"/>
    <w:rsid w:val="00B3295A"/>
    <w:rsid w:val="00B33B14"/>
    <w:rsid w:val="00B3545B"/>
    <w:rsid w:val="00B41E0E"/>
    <w:rsid w:val="00B44653"/>
    <w:rsid w:val="00B4713F"/>
    <w:rsid w:val="00B4751E"/>
    <w:rsid w:val="00B47D27"/>
    <w:rsid w:val="00B506F1"/>
    <w:rsid w:val="00B516FC"/>
    <w:rsid w:val="00B52F5E"/>
    <w:rsid w:val="00B5724C"/>
    <w:rsid w:val="00B579C3"/>
    <w:rsid w:val="00B60338"/>
    <w:rsid w:val="00B60707"/>
    <w:rsid w:val="00B63EE1"/>
    <w:rsid w:val="00B661C1"/>
    <w:rsid w:val="00B66C21"/>
    <w:rsid w:val="00B67B4A"/>
    <w:rsid w:val="00B70A0B"/>
    <w:rsid w:val="00B72A6B"/>
    <w:rsid w:val="00B7385F"/>
    <w:rsid w:val="00B8042F"/>
    <w:rsid w:val="00B80E32"/>
    <w:rsid w:val="00B82582"/>
    <w:rsid w:val="00B82620"/>
    <w:rsid w:val="00B84BF8"/>
    <w:rsid w:val="00B84C38"/>
    <w:rsid w:val="00B84DAA"/>
    <w:rsid w:val="00B857F8"/>
    <w:rsid w:val="00B8583F"/>
    <w:rsid w:val="00B85F3E"/>
    <w:rsid w:val="00B86A8D"/>
    <w:rsid w:val="00B908A9"/>
    <w:rsid w:val="00B91A96"/>
    <w:rsid w:val="00B9237A"/>
    <w:rsid w:val="00B92D88"/>
    <w:rsid w:val="00B95CC2"/>
    <w:rsid w:val="00B96494"/>
    <w:rsid w:val="00B96AC9"/>
    <w:rsid w:val="00BA0DEA"/>
    <w:rsid w:val="00BA3266"/>
    <w:rsid w:val="00BA3AAB"/>
    <w:rsid w:val="00BA3F1B"/>
    <w:rsid w:val="00BA4A4C"/>
    <w:rsid w:val="00BA4EC7"/>
    <w:rsid w:val="00BA772A"/>
    <w:rsid w:val="00BB06E8"/>
    <w:rsid w:val="00BB0983"/>
    <w:rsid w:val="00BB18C9"/>
    <w:rsid w:val="00BB2B10"/>
    <w:rsid w:val="00BB3A65"/>
    <w:rsid w:val="00BB4888"/>
    <w:rsid w:val="00BB548A"/>
    <w:rsid w:val="00BB5B90"/>
    <w:rsid w:val="00BB6D6F"/>
    <w:rsid w:val="00BC00B5"/>
    <w:rsid w:val="00BC09DE"/>
    <w:rsid w:val="00BC0A15"/>
    <w:rsid w:val="00BC0DB0"/>
    <w:rsid w:val="00BC0F93"/>
    <w:rsid w:val="00BC17B0"/>
    <w:rsid w:val="00BC3C88"/>
    <w:rsid w:val="00BC3FB6"/>
    <w:rsid w:val="00BC4F98"/>
    <w:rsid w:val="00BD0B73"/>
    <w:rsid w:val="00BD4D73"/>
    <w:rsid w:val="00BD5C10"/>
    <w:rsid w:val="00BD747D"/>
    <w:rsid w:val="00BE183A"/>
    <w:rsid w:val="00BE6DF1"/>
    <w:rsid w:val="00BE70CC"/>
    <w:rsid w:val="00BE7F01"/>
    <w:rsid w:val="00BF0CB5"/>
    <w:rsid w:val="00BF39AF"/>
    <w:rsid w:val="00BF594C"/>
    <w:rsid w:val="00BF6F04"/>
    <w:rsid w:val="00BF790E"/>
    <w:rsid w:val="00C01B2F"/>
    <w:rsid w:val="00C024C4"/>
    <w:rsid w:val="00C02572"/>
    <w:rsid w:val="00C02A6A"/>
    <w:rsid w:val="00C036D0"/>
    <w:rsid w:val="00C0604A"/>
    <w:rsid w:val="00C063BE"/>
    <w:rsid w:val="00C07DC3"/>
    <w:rsid w:val="00C106AA"/>
    <w:rsid w:val="00C11CF4"/>
    <w:rsid w:val="00C128B3"/>
    <w:rsid w:val="00C135FF"/>
    <w:rsid w:val="00C1433F"/>
    <w:rsid w:val="00C14EBB"/>
    <w:rsid w:val="00C175F3"/>
    <w:rsid w:val="00C211BD"/>
    <w:rsid w:val="00C22E21"/>
    <w:rsid w:val="00C2400C"/>
    <w:rsid w:val="00C25354"/>
    <w:rsid w:val="00C2636D"/>
    <w:rsid w:val="00C265E7"/>
    <w:rsid w:val="00C26770"/>
    <w:rsid w:val="00C26850"/>
    <w:rsid w:val="00C27AB1"/>
    <w:rsid w:val="00C30219"/>
    <w:rsid w:val="00C309AB"/>
    <w:rsid w:val="00C30B5C"/>
    <w:rsid w:val="00C31BC9"/>
    <w:rsid w:val="00C323B6"/>
    <w:rsid w:val="00C32B5E"/>
    <w:rsid w:val="00C3302C"/>
    <w:rsid w:val="00C33A23"/>
    <w:rsid w:val="00C424C2"/>
    <w:rsid w:val="00C42A81"/>
    <w:rsid w:val="00C42D39"/>
    <w:rsid w:val="00C528E7"/>
    <w:rsid w:val="00C5575E"/>
    <w:rsid w:val="00C5598E"/>
    <w:rsid w:val="00C559CB"/>
    <w:rsid w:val="00C56DF8"/>
    <w:rsid w:val="00C57391"/>
    <w:rsid w:val="00C63381"/>
    <w:rsid w:val="00C63F6B"/>
    <w:rsid w:val="00C662A0"/>
    <w:rsid w:val="00C66C2A"/>
    <w:rsid w:val="00C7001F"/>
    <w:rsid w:val="00C710A4"/>
    <w:rsid w:val="00C7140A"/>
    <w:rsid w:val="00C72DA9"/>
    <w:rsid w:val="00C74F4A"/>
    <w:rsid w:val="00C750C9"/>
    <w:rsid w:val="00C7583B"/>
    <w:rsid w:val="00C75B71"/>
    <w:rsid w:val="00C7762A"/>
    <w:rsid w:val="00C8027D"/>
    <w:rsid w:val="00C80AB7"/>
    <w:rsid w:val="00C8120D"/>
    <w:rsid w:val="00C81248"/>
    <w:rsid w:val="00C81DFC"/>
    <w:rsid w:val="00C82A24"/>
    <w:rsid w:val="00C835A2"/>
    <w:rsid w:val="00C83B2A"/>
    <w:rsid w:val="00C840F7"/>
    <w:rsid w:val="00C85371"/>
    <w:rsid w:val="00C855E5"/>
    <w:rsid w:val="00C86D13"/>
    <w:rsid w:val="00C937BF"/>
    <w:rsid w:val="00C93DFC"/>
    <w:rsid w:val="00C9559E"/>
    <w:rsid w:val="00C9673A"/>
    <w:rsid w:val="00C97F25"/>
    <w:rsid w:val="00CA1519"/>
    <w:rsid w:val="00CA44F7"/>
    <w:rsid w:val="00CA6937"/>
    <w:rsid w:val="00CA74A0"/>
    <w:rsid w:val="00CB1425"/>
    <w:rsid w:val="00CB3880"/>
    <w:rsid w:val="00CB6E37"/>
    <w:rsid w:val="00CB7506"/>
    <w:rsid w:val="00CB7FE8"/>
    <w:rsid w:val="00CC0EF9"/>
    <w:rsid w:val="00CC24CE"/>
    <w:rsid w:val="00CC660D"/>
    <w:rsid w:val="00CC6B2D"/>
    <w:rsid w:val="00CC6D82"/>
    <w:rsid w:val="00CD008F"/>
    <w:rsid w:val="00CD04E1"/>
    <w:rsid w:val="00CD06F4"/>
    <w:rsid w:val="00CD1143"/>
    <w:rsid w:val="00CD2323"/>
    <w:rsid w:val="00CD5E89"/>
    <w:rsid w:val="00CD7A1B"/>
    <w:rsid w:val="00CE019A"/>
    <w:rsid w:val="00CE0290"/>
    <w:rsid w:val="00CE24B0"/>
    <w:rsid w:val="00CE3004"/>
    <w:rsid w:val="00CE3A2E"/>
    <w:rsid w:val="00CE5039"/>
    <w:rsid w:val="00CE71E7"/>
    <w:rsid w:val="00CF0BCD"/>
    <w:rsid w:val="00CF2340"/>
    <w:rsid w:val="00CF35AE"/>
    <w:rsid w:val="00CF537E"/>
    <w:rsid w:val="00CF6B67"/>
    <w:rsid w:val="00CF6C3C"/>
    <w:rsid w:val="00D0075E"/>
    <w:rsid w:val="00D02601"/>
    <w:rsid w:val="00D02D00"/>
    <w:rsid w:val="00D03601"/>
    <w:rsid w:val="00D03F6B"/>
    <w:rsid w:val="00D0419A"/>
    <w:rsid w:val="00D05B66"/>
    <w:rsid w:val="00D1161C"/>
    <w:rsid w:val="00D12680"/>
    <w:rsid w:val="00D137D5"/>
    <w:rsid w:val="00D138C9"/>
    <w:rsid w:val="00D140FE"/>
    <w:rsid w:val="00D14324"/>
    <w:rsid w:val="00D15419"/>
    <w:rsid w:val="00D15C2F"/>
    <w:rsid w:val="00D17868"/>
    <w:rsid w:val="00D178DC"/>
    <w:rsid w:val="00D20072"/>
    <w:rsid w:val="00D220D6"/>
    <w:rsid w:val="00D23943"/>
    <w:rsid w:val="00D23A8A"/>
    <w:rsid w:val="00D249F3"/>
    <w:rsid w:val="00D24F7B"/>
    <w:rsid w:val="00D25E0B"/>
    <w:rsid w:val="00D3472C"/>
    <w:rsid w:val="00D34F07"/>
    <w:rsid w:val="00D372A5"/>
    <w:rsid w:val="00D417DA"/>
    <w:rsid w:val="00D42607"/>
    <w:rsid w:val="00D4440B"/>
    <w:rsid w:val="00D4443E"/>
    <w:rsid w:val="00D44F04"/>
    <w:rsid w:val="00D451C2"/>
    <w:rsid w:val="00D51005"/>
    <w:rsid w:val="00D510A9"/>
    <w:rsid w:val="00D53734"/>
    <w:rsid w:val="00D55192"/>
    <w:rsid w:val="00D55856"/>
    <w:rsid w:val="00D55A06"/>
    <w:rsid w:val="00D603A8"/>
    <w:rsid w:val="00D65006"/>
    <w:rsid w:val="00D6545C"/>
    <w:rsid w:val="00D65E15"/>
    <w:rsid w:val="00D705DB"/>
    <w:rsid w:val="00D70675"/>
    <w:rsid w:val="00D708C9"/>
    <w:rsid w:val="00D7094A"/>
    <w:rsid w:val="00D70FC6"/>
    <w:rsid w:val="00D733B3"/>
    <w:rsid w:val="00D73846"/>
    <w:rsid w:val="00D747CF"/>
    <w:rsid w:val="00D7585D"/>
    <w:rsid w:val="00D75881"/>
    <w:rsid w:val="00D75D1C"/>
    <w:rsid w:val="00D77881"/>
    <w:rsid w:val="00D8032C"/>
    <w:rsid w:val="00D81CD5"/>
    <w:rsid w:val="00D82A8B"/>
    <w:rsid w:val="00D82AC8"/>
    <w:rsid w:val="00D8323A"/>
    <w:rsid w:val="00D87E6F"/>
    <w:rsid w:val="00D956D5"/>
    <w:rsid w:val="00D96BB8"/>
    <w:rsid w:val="00D96C8A"/>
    <w:rsid w:val="00D97752"/>
    <w:rsid w:val="00DA0828"/>
    <w:rsid w:val="00DA110D"/>
    <w:rsid w:val="00DA141E"/>
    <w:rsid w:val="00DA1CBC"/>
    <w:rsid w:val="00DA2389"/>
    <w:rsid w:val="00DA3F60"/>
    <w:rsid w:val="00DA5ED5"/>
    <w:rsid w:val="00DB04B0"/>
    <w:rsid w:val="00DB091B"/>
    <w:rsid w:val="00DB110F"/>
    <w:rsid w:val="00DB209B"/>
    <w:rsid w:val="00DB41B0"/>
    <w:rsid w:val="00DB484A"/>
    <w:rsid w:val="00DB4E11"/>
    <w:rsid w:val="00DB5196"/>
    <w:rsid w:val="00DB7E4A"/>
    <w:rsid w:val="00DC211B"/>
    <w:rsid w:val="00DC278E"/>
    <w:rsid w:val="00DC5678"/>
    <w:rsid w:val="00DC68F5"/>
    <w:rsid w:val="00DD066D"/>
    <w:rsid w:val="00DD0CE4"/>
    <w:rsid w:val="00DD0DBF"/>
    <w:rsid w:val="00DD17B4"/>
    <w:rsid w:val="00DD268E"/>
    <w:rsid w:val="00DD355E"/>
    <w:rsid w:val="00DD507E"/>
    <w:rsid w:val="00DD639B"/>
    <w:rsid w:val="00DD6DD6"/>
    <w:rsid w:val="00DE05E1"/>
    <w:rsid w:val="00DE17A0"/>
    <w:rsid w:val="00DE27E7"/>
    <w:rsid w:val="00DE45C6"/>
    <w:rsid w:val="00DE4730"/>
    <w:rsid w:val="00DE6222"/>
    <w:rsid w:val="00DE75B6"/>
    <w:rsid w:val="00DF0747"/>
    <w:rsid w:val="00DF1337"/>
    <w:rsid w:val="00DF231D"/>
    <w:rsid w:val="00DF2FC3"/>
    <w:rsid w:val="00DF3512"/>
    <w:rsid w:val="00DF461A"/>
    <w:rsid w:val="00DF467B"/>
    <w:rsid w:val="00DF49AA"/>
    <w:rsid w:val="00DF49C5"/>
    <w:rsid w:val="00DF6A96"/>
    <w:rsid w:val="00E0024F"/>
    <w:rsid w:val="00E0104B"/>
    <w:rsid w:val="00E01499"/>
    <w:rsid w:val="00E01D17"/>
    <w:rsid w:val="00E01DF0"/>
    <w:rsid w:val="00E02043"/>
    <w:rsid w:val="00E03C5E"/>
    <w:rsid w:val="00E0401A"/>
    <w:rsid w:val="00E044AC"/>
    <w:rsid w:val="00E047A9"/>
    <w:rsid w:val="00E06E1D"/>
    <w:rsid w:val="00E10693"/>
    <w:rsid w:val="00E11F85"/>
    <w:rsid w:val="00E136B4"/>
    <w:rsid w:val="00E16CC5"/>
    <w:rsid w:val="00E1718C"/>
    <w:rsid w:val="00E2040C"/>
    <w:rsid w:val="00E20614"/>
    <w:rsid w:val="00E216B3"/>
    <w:rsid w:val="00E21A4A"/>
    <w:rsid w:val="00E243F4"/>
    <w:rsid w:val="00E24988"/>
    <w:rsid w:val="00E25C10"/>
    <w:rsid w:val="00E273E3"/>
    <w:rsid w:val="00E300AA"/>
    <w:rsid w:val="00E32B89"/>
    <w:rsid w:val="00E33455"/>
    <w:rsid w:val="00E33637"/>
    <w:rsid w:val="00E341BE"/>
    <w:rsid w:val="00E34250"/>
    <w:rsid w:val="00E34B4C"/>
    <w:rsid w:val="00E353D9"/>
    <w:rsid w:val="00E357A5"/>
    <w:rsid w:val="00E35FB5"/>
    <w:rsid w:val="00E37301"/>
    <w:rsid w:val="00E37EA9"/>
    <w:rsid w:val="00E40344"/>
    <w:rsid w:val="00E4095A"/>
    <w:rsid w:val="00E41348"/>
    <w:rsid w:val="00E432B7"/>
    <w:rsid w:val="00E44BA5"/>
    <w:rsid w:val="00E508D7"/>
    <w:rsid w:val="00E509AD"/>
    <w:rsid w:val="00E51553"/>
    <w:rsid w:val="00E51F9F"/>
    <w:rsid w:val="00E547B4"/>
    <w:rsid w:val="00E54C3D"/>
    <w:rsid w:val="00E5508C"/>
    <w:rsid w:val="00E57ED1"/>
    <w:rsid w:val="00E61780"/>
    <w:rsid w:val="00E61888"/>
    <w:rsid w:val="00E62529"/>
    <w:rsid w:val="00E633F8"/>
    <w:rsid w:val="00E64D28"/>
    <w:rsid w:val="00E650AE"/>
    <w:rsid w:val="00E65A81"/>
    <w:rsid w:val="00E66B1C"/>
    <w:rsid w:val="00E672B7"/>
    <w:rsid w:val="00E67327"/>
    <w:rsid w:val="00E6792A"/>
    <w:rsid w:val="00E71B56"/>
    <w:rsid w:val="00E74600"/>
    <w:rsid w:val="00E75E29"/>
    <w:rsid w:val="00E77E12"/>
    <w:rsid w:val="00E814DB"/>
    <w:rsid w:val="00E824EC"/>
    <w:rsid w:val="00E84079"/>
    <w:rsid w:val="00E847D0"/>
    <w:rsid w:val="00E87690"/>
    <w:rsid w:val="00E90009"/>
    <w:rsid w:val="00E92887"/>
    <w:rsid w:val="00E9402D"/>
    <w:rsid w:val="00E95342"/>
    <w:rsid w:val="00E957FB"/>
    <w:rsid w:val="00E97B8F"/>
    <w:rsid w:val="00EA00C1"/>
    <w:rsid w:val="00EA0714"/>
    <w:rsid w:val="00EA4DDB"/>
    <w:rsid w:val="00EA74EA"/>
    <w:rsid w:val="00EA7BC5"/>
    <w:rsid w:val="00EB0D39"/>
    <w:rsid w:val="00EB1ED8"/>
    <w:rsid w:val="00EB5C8E"/>
    <w:rsid w:val="00EB5D61"/>
    <w:rsid w:val="00EB622A"/>
    <w:rsid w:val="00EB6BFB"/>
    <w:rsid w:val="00EB73B3"/>
    <w:rsid w:val="00EC01C8"/>
    <w:rsid w:val="00EC06E8"/>
    <w:rsid w:val="00EC2330"/>
    <w:rsid w:val="00EC314D"/>
    <w:rsid w:val="00EC389E"/>
    <w:rsid w:val="00EC43A5"/>
    <w:rsid w:val="00EC59F7"/>
    <w:rsid w:val="00EC5BAB"/>
    <w:rsid w:val="00EC6192"/>
    <w:rsid w:val="00ED001A"/>
    <w:rsid w:val="00ED0675"/>
    <w:rsid w:val="00ED49E2"/>
    <w:rsid w:val="00ED523A"/>
    <w:rsid w:val="00ED543E"/>
    <w:rsid w:val="00ED5A07"/>
    <w:rsid w:val="00ED66C7"/>
    <w:rsid w:val="00ED7F11"/>
    <w:rsid w:val="00EE0371"/>
    <w:rsid w:val="00EE05DB"/>
    <w:rsid w:val="00EE194C"/>
    <w:rsid w:val="00EE36BE"/>
    <w:rsid w:val="00EE3EF0"/>
    <w:rsid w:val="00EE6E00"/>
    <w:rsid w:val="00EE7407"/>
    <w:rsid w:val="00EF03A1"/>
    <w:rsid w:val="00EF1FDD"/>
    <w:rsid w:val="00EF23E9"/>
    <w:rsid w:val="00EF2D22"/>
    <w:rsid w:val="00EF3412"/>
    <w:rsid w:val="00EF49F0"/>
    <w:rsid w:val="00EF5B91"/>
    <w:rsid w:val="00EF7230"/>
    <w:rsid w:val="00EF7A32"/>
    <w:rsid w:val="00F008E5"/>
    <w:rsid w:val="00F01CD7"/>
    <w:rsid w:val="00F0262C"/>
    <w:rsid w:val="00F028DE"/>
    <w:rsid w:val="00F02991"/>
    <w:rsid w:val="00F03DF9"/>
    <w:rsid w:val="00F047C8"/>
    <w:rsid w:val="00F110FD"/>
    <w:rsid w:val="00F122FD"/>
    <w:rsid w:val="00F12E01"/>
    <w:rsid w:val="00F145AF"/>
    <w:rsid w:val="00F14821"/>
    <w:rsid w:val="00F14E34"/>
    <w:rsid w:val="00F156C3"/>
    <w:rsid w:val="00F15ADE"/>
    <w:rsid w:val="00F15AF2"/>
    <w:rsid w:val="00F15E74"/>
    <w:rsid w:val="00F16485"/>
    <w:rsid w:val="00F210F9"/>
    <w:rsid w:val="00F21A76"/>
    <w:rsid w:val="00F22E6D"/>
    <w:rsid w:val="00F2515A"/>
    <w:rsid w:val="00F25AF7"/>
    <w:rsid w:val="00F2708F"/>
    <w:rsid w:val="00F323A3"/>
    <w:rsid w:val="00F334F3"/>
    <w:rsid w:val="00F3428F"/>
    <w:rsid w:val="00F35991"/>
    <w:rsid w:val="00F36549"/>
    <w:rsid w:val="00F40E0E"/>
    <w:rsid w:val="00F41405"/>
    <w:rsid w:val="00F42C0C"/>
    <w:rsid w:val="00F43C3A"/>
    <w:rsid w:val="00F4419F"/>
    <w:rsid w:val="00F44CC6"/>
    <w:rsid w:val="00F45DB7"/>
    <w:rsid w:val="00F46BFC"/>
    <w:rsid w:val="00F46CE9"/>
    <w:rsid w:val="00F50F55"/>
    <w:rsid w:val="00F51AF3"/>
    <w:rsid w:val="00F51C87"/>
    <w:rsid w:val="00F51CF8"/>
    <w:rsid w:val="00F52842"/>
    <w:rsid w:val="00F53A65"/>
    <w:rsid w:val="00F55D4D"/>
    <w:rsid w:val="00F57117"/>
    <w:rsid w:val="00F5717F"/>
    <w:rsid w:val="00F57459"/>
    <w:rsid w:val="00F636FD"/>
    <w:rsid w:val="00F6754D"/>
    <w:rsid w:val="00F716EE"/>
    <w:rsid w:val="00F733FD"/>
    <w:rsid w:val="00F75908"/>
    <w:rsid w:val="00F80BCB"/>
    <w:rsid w:val="00F83456"/>
    <w:rsid w:val="00F8379B"/>
    <w:rsid w:val="00F83951"/>
    <w:rsid w:val="00F84343"/>
    <w:rsid w:val="00F85D8D"/>
    <w:rsid w:val="00F8613C"/>
    <w:rsid w:val="00F87946"/>
    <w:rsid w:val="00F87FC0"/>
    <w:rsid w:val="00F90362"/>
    <w:rsid w:val="00F906EF"/>
    <w:rsid w:val="00F92574"/>
    <w:rsid w:val="00F93126"/>
    <w:rsid w:val="00F9326A"/>
    <w:rsid w:val="00F93319"/>
    <w:rsid w:val="00F93C9D"/>
    <w:rsid w:val="00F97A24"/>
    <w:rsid w:val="00FA0181"/>
    <w:rsid w:val="00FA0751"/>
    <w:rsid w:val="00FA08E3"/>
    <w:rsid w:val="00FA2A91"/>
    <w:rsid w:val="00FA2BC9"/>
    <w:rsid w:val="00FA2D29"/>
    <w:rsid w:val="00FA3150"/>
    <w:rsid w:val="00FA3463"/>
    <w:rsid w:val="00FA39BD"/>
    <w:rsid w:val="00FA581C"/>
    <w:rsid w:val="00FA60B4"/>
    <w:rsid w:val="00FA6798"/>
    <w:rsid w:val="00FB09BF"/>
    <w:rsid w:val="00FB450C"/>
    <w:rsid w:val="00FB561C"/>
    <w:rsid w:val="00FB6791"/>
    <w:rsid w:val="00FC0E1C"/>
    <w:rsid w:val="00FC1C58"/>
    <w:rsid w:val="00FC4245"/>
    <w:rsid w:val="00FC6449"/>
    <w:rsid w:val="00FC6EB6"/>
    <w:rsid w:val="00FC7FFE"/>
    <w:rsid w:val="00FD0A5B"/>
    <w:rsid w:val="00FD20A8"/>
    <w:rsid w:val="00FD2585"/>
    <w:rsid w:val="00FD5C1F"/>
    <w:rsid w:val="00FD683D"/>
    <w:rsid w:val="00FE1AC4"/>
    <w:rsid w:val="00FE3A32"/>
    <w:rsid w:val="00FE5245"/>
    <w:rsid w:val="00FE74AF"/>
    <w:rsid w:val="00FE7640"/>
    <w:rsid w:val="00FF0865"/>
    <w:rsid w:val="00FF0C9D"/>
    <w:rsid w:val="00FF10F5"/>
    <w:rsid w:val="00FF4127"/>
    <w:rsid w:val="00FF4249"/>
    <w:rsid w:val="00FF4F88"/>
    <w:rsid w:val="00FF7C8D"/>
    <w:rsid w:val="21041506"/>
    <w:rsid w:val="6960B7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7C"/>
    <w:pPr>
      <w:widowControl w:val="0"/>
    </w:pPr>
    <w:rPr>
      <w:snapToGrid w:val="0"/>
      <w:kern w:val="28"/>
      <w:sz w:val="22"/>
    </w:rPr>
  </w:style>
  <w:style w:type="paragraph" w:styleId="Heading1">
    <w:name w:val="heading 1"/>
    <w:basedOn w:val="Normal"/>
    <w:next w:val="ParaNum"/>
    <w:link w:val="Heading1Char"/>
    <w:qFormat/>
    <w:rsid w:val="00630B7C"/>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0B7C"/>
    <w:pPr>
      <w:keepNext/>
      <w:numPr>
        <w:ilvl w:val="1"/>
        <w:numId w:val="1"/>
      </w:numPr>
      <w:spacing w:after="120"/>
      <w:outlineLvl w:val="1"/>
    </w:pPr>
    <w:rPr>
      <w:b/>
    </w:rPr>
  </w:style>
  <w:style w:type="paragraph" w:styleId="Heading3">
    <w:name w:val="heading 3"/>
    <w:basedOn w:val="Normal"/>
    <w:next w:val="ParaNum"/>
    <w:link w:val="Heading3Char"/>
    <w:qFormat/>
    <w:rsid w:val="00630B7C"/>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630B7C"/>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630B7C"/>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630B7C"/>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630B7C"/>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630B7C"/>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30B7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0B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B7C"/>
  </w:style>
  <w:style w:type="character" w:customStyle="1" w:styleId="Heading1Char">
    <w:name w:val="Heading 1 Char"/>
    <w:link w:val="Heading1"/>
    <w:locked/>
    <w:rsid w:val="0011687C"/>
    <w:rPr>
      <w:rFonts w:ascii="Times New Roman Bold" w:hAnsi="Times New Roman Bold"/>
      <w:b/>
      <w:caps/>
      <w:snapToGrid w:val="0"/>
      <w:kern w:val="28"/>
      <w:sz w:val="22"/>
    </w:rPr>
  </w:style>
  <w:style w:type="character" w:customStyle="1" w:styleId="Heading2Char">
    <w:name w:val="Heading 2 Char"/>
    <w:link w:val="Heading2"/>
    <w:locked/>
    <w:rsid w:val="00086824"/>
    <w:rPr>
      <w:b/>
      <w:snapToGrid w:val="0"/>
      <w:kern w:val="28"/>
      <w:sz w:val="22"/>
    </w:rPr>
  </w:style>
  <w:style w:type="character" w:customStyle="1" w:styleId="Heading3Char">
    <w:name w:val="Heading 3 Char"/>
    <w:link w:val="Heading3"/>
    <w:locked/>
    <w:rsid w:val="0011687C"/>
    <w:rPr>
      <w:b/>
      <w:snapToGrid w:val="0"/>
      <w:kern w:val="28"/>
      <w:sz w:val="22"/>
    </w:rPr>
  </w:style>
  <w:style w:type="character" w:customStyle="1" w:styleId="Heading4Char">
    <w:name w:val="Heading 4 Char"/>
    <w:link w:val="Heading4"/>
    <w:locked/>
    <w:rsid w:val="0011687C"/>
    <w:rPr>
      <w:b/>
      <w:snapToGrid w:val="0"/>
      <w:kern w:val="28"/>
      <w:sz w:val="22"/>
    </w:rPr>
  </w:style>
  <w:style w:type="character" w:customStyle="1" w:styleId="Heading5Char">
    <w:name w:val="Heading 5 Char"/>
    <w:link w:val="Heading5"/>
    <w:locked/>
    <w:rsid w:val="0011687C"/>
    <w:rPr>
      <w:b/>
      <w:snapToGrid w:val="0"/>
      <w:kern w:val="28"/>
      <w:sz w:val="22"/>
    </w:rPr>
  </w:style>
  <w:style w:type="character" w:customStyle="1" w:styleId="Heading6Char">
    <w:name w:val="Heading 6 Char"/>
    <w:link w:val="Heading6"/>
    <w:locked/>
    <w:rsid w:val="0011687C"/>
    <w:rPr>
      <w:b/>
      <w:snapToGrid w:val="0"/>
      <w:kern w:val="28"/>
      <w:sz w:val="22"/>
    </w:rPr>
  </w:style>
  <w:style w:type="character" w:customStyle="1" w:styleId="Heading7Char">
    <w:name w:val="Heading 7 Char"/>
    <w:link w:val="Heading7"/>
    <w:locked/>
    <w:rsid w:val="0011687C"/>
    <w:rPr>
      <w:b/>
      <w:snapToGrid w:val="0"/>
      <w:kern w:val="28"/>
      <w:sz w:val="22"/>
    </w:rPr>
  </w:style>
  <w:style w:type="character" w:customStyle="1" w:styleId="Heading8Char">
    <w:name w:val="Heading 8 Char"/>
    <w:link w:val="Heading8"/>
    <w:locked/>
    <w:rsid w:val="0011687C"/>
    <w:rPr>
      <w:b/>
      <w:snapToGrid w:val="0"/>
      <w:kern w:val="28"/>
      <w:sz w:val="22"/>
    </w:rPr>
  </w:style>
  <w:style w:type="character" w:customStyle="1" w:styleId="Heading9Char">
    <w:name w:val="Heading 9 Char"/>
    <w:link w:val="Heading9"/>
    <w:locked/>
    <w:rsid w:val="0011687C"/>
    <w:rPr>
      <w:b/>
      <w:snapToGrid w:val="0"/>
      <w:kern w:val="28"/>
      <w:sz w:val="22"/>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link w:val="BalloonText"/>
    <w:uiPriority w:val="99"/>
    <w:semiHidden/>
    <w:locked/>
    <w:rsid w:val="0011687C"/>
    <w:rPr>
      <w:rFonts w:cs="Times New Roman"/>
      <w:kern w:val="28"/>
      <w:sz w:val="2"/>
    </w:rPr>
  </w:style>
  <w:style w:type="paragraph" w:customStyle="1" w:styleId="ParaNum">
    <w:name w:val="ParaNum"/>
    <w:basedOn w:val="Normal"/>
    <w:link w:val="ParaNumChar"/>
    <w:rsid w:val="00630B7C"/>
    <w:pPr>
      <w:numPr>
        <w:numId w:val="4"/>
      </w:numPr>
      <w:tabs>
        <w:tab w:val="clear" w:pos="1080"/>
        <w:tab w:val="num" w:pos="1440"/>
      </w:tabs>
      <w:spacing w:after="120"/>
    </w:pPr>
  </w:style>
  <w:style w:type="paragraph" w:styleId="EndnoteText">
    <w:name w:val="endnote text"/>
    <w:basedOn w:val="Normal"/>
    <w:link w:val="EndnoteTextChar"/>
    <w:semiHidden/>
    <w:rsid w:val="00630B7C"/>
    <w:rPr>
      <w:sz w:val="20"/>
    </w:rPr>
  </w:style>
  <w:style w:type="character" w:customStyle="1" w:styleId="EndnoteTextChar">
    <w:name w:val="Endnote Text Char"/>
    <w:link w:val="EndnoteText"/>
    <w:semiHidden/>
    <w:locked/>
    <w:rsid w:val="0011687C"/>
    <w:rPr>
      <w:snapToGrid w:val="0"/>
      <w:kern w:val="28"/>
    </w:rPr>
  </w:style>
  <w:style w:type="character" w:styleId="EndnoteReference">
    <w:name w:val="endnote reference"/>
    <w:semiHidden/>
    <w:rsid w:val="00630B7C"/>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630B7C"/>
    <w:pPr>
      <w:spacing w:after="120"/>
    </w:p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9B2C59"/>
  </w:style>
  <w:style w:type="character" w:styleId="FootnoteReference">
    <w:name w:val="footnote reference"/>
    <w:aliases w:val="(NECG) Footnote Reference,Appel note de bas de p,FR,Footnote Reference/,Footnote Reference1,Style 12,Style 124,Style 13,Style 17,Style 3,Style 4,Style 6,fr,o"/>
    <w:rsid w:val="00630B7C"/>
    <w:rPr>
      <w:rFonts w:ascii="Times New Roman" w:hAnsi="Times New Roman"/>
      <w:dstrike w:val="0"/>
      <w:color w:val="auto"/>
      <w:sz w:val="20"/>
      <w:vertAlign w:val="superscript"/>
    </w:rPr>
  </w:style>
  <w:style w:type="paragraph" w:styleId="TOC1">
    <w:name w:val="toc 1"/>
    <w:basedOn w:val="Normal"/>
    <w:next w:val="Normal"/>
    <w:rsid w:val="00630B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0B7C"/>
    <w:pPr>
      <w:tabs>
        <w:tab w:val="left" w:pos="720"/>
        <w:tab w:val="right" w:leader="dot" w:pos="9360"/>
      </w:tabs>
      <w:suppressAutoHyphens/>
      <w:ind w:left="720" w:right="720" w:hanging="360"/>
    </w:pPr>
    <w:rPr>
      <w:noProof/>
    </w:rPr>
  </w:style>
  <w:style w:type="paragraph" w:styleId="TOC3">
    <w:name w:val="toc 3"/>
    <w:basedOn w:val="Normal"/>
    <w:next w:val="Normal"/>
    <w:semiHidden/>
    <w:rsid w:val="00630B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0B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0B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0B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0B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0B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0B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0B7C"/>
    <w:pPr>
      <w:tabs>
        <w:tab w:val="right" w:pos="9360"/>
      </w:tabs>
      <w:suppressAutoHyphens/>
    </w:pPr>
  </w:style>
  <w:style w:type="character" w:customStyle="1" w:styleId="EquationCaption">
    <w:name w:val="_Equation Caption"/>
    <w:rsid w:val="00630B7C"/>
  </w:style>
  <w:style w:type="paragraph" w:styleId="Header">
    <w:name w:val="header"/>
    <w:basedOn w:val="Normal"/>
    <w:link w:val="HeaderChar"/>
    <w:autoRedefine/>
    <w:rsid w:val="00630B7C"/>
    <w:pPr>
      <w:tabs>
        <w:tab w:val="center" w:pos="4680"/>
        <w:tab w:val="right" w:pos="9360"/>
      </w:tabs>
    </w:pPr>
    <w:rPr>
      <w:b/>
    </w:rPr>
  </w:style>
  <w:style w:type="character" w:customStyle="1" w:styleId="HeaderChar">
    <w:name w:val="Header Char"/>
    <w:link w:val="Header"/>
    <w:locked/>
    <w:rsid w:val="0011687C"/>
    <w:rPr>
      <w:b/>
      <w:snapToGrid w:val="0"/>
      <w:kern w:val="28"/>
      <w:sz w:val="22"/>
    </w:rPr>
  </w:style>
  <w:style w:type="paragraph" w:styleId="Footer">
    <w:name w:val="footer"/>
    <w:basedOn w:val="Normal"/>
    <w:link w:val="FooterChar"/>
    <w:uiPriority w:val="99"/>
    <w:rsid w:val="00630B7C"/>
    <w:pPr>
      <w:tabs>
        <w:tab w:val="center" w:pos="4320"/>
        <w:tab w:val="right" w:pos="8640"/>
      </w:tabs>
    </w:pPr>
  </w:style>
  <w:style w:type="character" w:customStyle="1" w:styleId="FooterChar">
    <w:name w:val="Footer Char"/>
    <w:link w:val="Footer"/>
    <w:uiPriority w:val="99"/>
    <w:locked/>
    <w:rsid w:val="00630B7C"/>
    <w:rPr>
      <w:snapToGrid w:val="0"/>
      <w:kern w:val="28"/>
      <w:sz w:val="22"/>
    </w:rPr>
  </w:style>
  <w:style w:type="character" w:styleId="PageNumber">
    <w:name w:val="page number"/>
    <w:basedOn w:val="DefaultParagraphFont"/>
    <w:rsid w:val="00630B7C"/>
  </w:style>
  <w:style w:type="paragraph" w:styleId="BlockText">
    <w:name w:val="Block Text"/>
    <w:basedOn w:val="Normal"/>
    <w:rsid w:val="00630B7C"/>
    <w:pPr>
      <w:spacing w:after="240"/>
      <w:ind w:left="1440" w:right="1440"/>
    </w:pPr>
  </w:style>
  <w:style w:type="paragraph" w:customStyle="1" w:styleId="Paratitle">
    <w:name w:val="Para title"/>
    <w:basedOn w:val="Normal"/>
    <w:rsid w:val="00630B7C"/>
    <w:pPr>
      <w:tabs>
        <w:tab w:val="center" w:pos="9270"/>
      </w:tabs>
      <w:spacing w:after="240"/>
    </w:pPr>
    <w:rPr>
      <w:spacing w:val="-2"/>
    </w:rPr>
  </w:style>
  <w:style w:type="paragraph" w:customStyle="1" w:styleId="Bullet">
    <w:name w:val="Bullet"/>
    <w:basedOn w:val="Normal"/>
    <w:rsid w:val="00630B7C"/>
    <w:pPr>
      <w:tabs>
        <w:tab w:val="left" w:pos="2160"/>
      </w:tabs>
      <w:spacing w:after="220"/>
      <w:ind w:left="2160" w:hanging="720"/>
    </w:pPr>
  </w:style>
  <w:style w:type="paragraph" w:customStyle="1" w:styleId="TableFormat">
    <w:name w:val="TableFormat"/>
    <w:basedOn w:val="Bullet"/>
    <w:rsid w:val="00630B7C"/>
    <w:pPr>
      <w:tabs>
        <w:tab w:val="clear" w:pos="2160"/>
        <w:tab w:val="left" w:pos="5040"/>
      </w:tabs>
      <w:ind w:left="5040" w:hanging="3600"/>
    </w:pPr>
  </w:style>
  <w:style w:type="paragraph" w:customStyle="1" w:styleId="TOCTitle">
    <w:name w:val="TOC Title"/>
    <w:basedOn w:val="Normal"/>
    <w:rsid w:val="00630B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0B7C"/>
    <w:pPr>
      <w:jc w:val="center"/>
    </w:pPr>
    <w:rPr>
      <w:rFonts w:ascii="Times New Roman Bold" w:hAnsi="Times New Roman Bold"/>
      <w:b/>
      <w:bCs/>
      <w:caps/>
      <w:szCs w:val="22"/>
    </w:rPr>
  </w:style>
  <w:style w:type="character" w:styleId="Hyperlink">
    <w:name w:val="Hyperlink"/>
    <w:rsid w:val="00630B7C"/>
    <w:rPr>
      <w:color w:val="0000FF"/>
      <w:u w:val="single"/>
    </w:rPr>
  </w:style>
  <w:style w:type="character" w:styleId="FollowedHyperlink">
    <w:name w:val="FollowedHyperlink"/>
    <w:uiPriority w:val="99"/>
    <w:rsid w:val="009B2C59"/>
    <w:rPr>
      <w:rFonts w:cs="Times New Roman"/>
      <w:color w:val="800080"/>
      <w:u w:val="single"/>
    </w:rPr>
  </w:style>
  <w:style w:type="character" w:customStyle="1" w:styleId="ParaNumChar">
    <w:name w:val="ParaNum Char"/>
    <w:link w:val="ParaNum"/>
    <w:locked/>
    <w:rsid w:val="00226191"/>
    <w:rPr>
      <w:snapToGrid w:val="0"/>
      <w:kern w:val="28"/>
      <w:sz w:val="22"/>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rsid w:val="009B2C59"/>
    <w:rPr>
      <w:rFonts w:cs="Times New Roman"/>
    </w:rPr>
  </w:style>
  <w:style w:type="character" w:customStyle="1" w:styleId="searchterm">
    <w:name w:val="searchterm"/>
    <w:uiPriority w:val="99"/>
    <w:rsid w:val="009B2C59"/>
    <w:rPr>
      <w:rFonts w:cs="Times New Roman"/>
    </w:rPr>
  </w:style>
  <w:style w:type="character" w:styleId="CommentReference">
    <w:name w:val="annotation reference"/>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2"/>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cosearchterm">
    <w:name w:val="co_searchterm"/>
    <w:basedOn w:val="DefaultParagraphFont"/>
    <w:rsid w:val="00D55856"/>
  </w:style>
  <w:style w:type="character" w:customStyle="1" w:styleId="rrfootnoteCharCharChar">
    <w:name w:val="rrfootnote Char Char Char"/>
    <w:aliases w:val="Styl Char,Style 5 Char Char Char,fn Char"/>
    <w:uiPriority w:val="99"/>
    <w:rsid w:val="00A25819"/>
    <w:rPr>
      <w:sz w:val="20"/>
      <w:szCs w:val="20"/>
    </w:rPr>
  </w:style>
  <w:style w:type="character" w:customStyle="1" w:styleId="UnresolvedMention">
    <w:name w:val="Unresolved Mention"/>
    <w:uiPriority w:val="99"/>
    <w:semiHidden/>
    <w:unhideWhenUsed/>
    <w:rsid w:val="00DA1CBC"/>
    <w:rPr>
      <w:color w:val="605E5C"/>
      <w:shd w:val="clear" w:color="auto" w:fill="E1DFDD"/>
    </w:rPr>
  </w:style>
  <w:style w:type="paragraph" w:styleId="Revision">
    <w:name w:val="Revision"/>
    <w:hidden/>
    <w:uiPriority w:val="99"/>
    <w:semiHidden/>
    <w:rsid w:val="00551ADF"/>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niela.arregui@fcc.gov" TargetMode="External" /><Relationship Id="rId6" Type="http://schemas.openxmlformats.org/officeDocument/2006/relationships/hyperlink" Target="mailto:EB-SED-Respons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oetcf/tcb/reports/Tcb731GrantForm.cfm?mode=COPY&amp;RequestTimeout=500&amp;tcb_code=&amp;application_id=JI09IWEPi5e6mvAtfvgBwg%3D%3D&amp;fcc_id=2AS9JSPECOAP24"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