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273E3" w:rsidRPr="00151901" w:rsidP="0095507B" w14:paraId="3861426E" w14:textId="77777777">
      <w:pPr>
        <w:jc w:val="center"/>
        <w:rPr>
          <w:b/>
        </w:rPr>
      </w:pPr>
      <w:r w:rsidRPr="00151901">
        <w:rPr>
          <w:b/>
        </w:rPr>
        <w:t>Before the</w:t>
      </w:r>
    </w:p>
    <w:p w:rsidR="00E273E3" w:rsidRPr="00151901" w:rsidP="0095507B" w14:paraId="063E37AD" w14:textId="77777777">
      <w:pPr>
        <w:pStyle w:val="StyleBoldCentered"/>
        <w:rPr>
          <w:rFonts w:ascii="Times New Roman" w:hAnsi="Times New Roman"/>
        </w:rPr>
      </w:pPr>
      <w:r w:rsidRPr="00151901">
        <w:rPr>
          <w:rFonts w:ascii="Times New Roman" w:hAnsi="Times New Roman"/>
        </w:rPr>
        <w:t>F</w:t>
      </w:r>
      <w:r w:rsidRPr="00151901">
        <w:rPr>
          <w:rFonts w:ascii="Times New Roman" w:hAnsi="Times New Roman"/>
          <w:caps w:val="0"/>
        </w:rPr>
        <w:t>ederal Communications Commission</w:t>
      </w:r>
    </w:p>
    <w:p w:rsidR="00E273E3" w:rsidRPr="00151901" w:rsidP="0095507B" w14:paraId="1BEAA6CA" w14:textId="77777777">
      <w:pPr>
        <w:pStyle w:val="StyleBoldCentered"/>
        <w:rPr>
          <w:rFonts w:ascii="Times New Roman" w:hAnsi="Times New Roman"/>
        </w:rPr>
      </w:pPr>
      <w:r w:rsidRPr="00151901">
        <w:rPr>
          <w:rFonts w:ascii="Times New Roman" w:hAnsi="Times New Roman"/>
          <w:caps w:val="0"/>
        </w:rPr>
        <w:t>Washington</w:t>
      </w:r>
      <w:r w:rsidRPr="00151901" w:rsidR="00BD0B73">
        <w:rPr>
          <w:rFonts w:ascii="Times New Roman" w:hAnsi="Times New Roman"/>
        </w:rPr>
        <w:t>, DC</w:t>
      </w:r>
      <w:r w:rsidRPr="00151901">
        <w:rPr>
          <w:rFonts w:ascii="Times New Roman" w:hAnsi="Times New Roman"/>
        </w:rPr>
        <w:t xml:space="preserve"> 20554</w:t>
      </w:r>
    </w:p>
    <w:p w:rsidR="00E273E3" w:rsidRPr="00151901" w:rsidP="0095507B" w14:paraId="140D5D0A" w14:textId="77777777"/>
    <w:tbl>
      <w:tblPr>
        <w:tblW w:w="0" w:type="auto"/>
        <w:tblLayout w:type="fixed"/>
        <w:tblLook w:val="0000"/>
      </w:tblPr>
      <w:tblGrid>
        <w:gridCol w:w="4698"/>
        <w:gridCol w:w="630"/>
        <w:gridCol w:w="4248"/>
      </w:tblGrid>
      <w:tr w14:paraId="3EB0337E" w14:textId="77777777">
        <w:tblPrEx>
          <w:tblW w:w="0" w:type="auto"/>
          <w:tblLayout w:type="fixed"/>
          <w:tblLook w:val="0000"/>
        </w:tblPrEx>
        <w:tc>
          <w:tcPr>
            <w:tcW w:w="4698" w:type="dxa"/>
          </w:tcPr>
          <w:p w:rsidR="00E273E3" w:rsidRPr="00151901" w:rsidP="0095507B" w14:paraId="5FB71150" w14:textId="77777777">
            <w:pPr>
              <w:suppressAutoHyphens/>
              <w:rPr>
                <w:spacing w:val="-2"/>
              </w:rPr>
            </w:pPr>
            <w:r w:rsidRPr="00151901">
              <w:rPr>
                <w:spacing w:val="-2"/>
              </w:rPr>
              <w:t>In the Matter of</w:t>
            </w:r>
          </w:p>
          <w:p w:rsidR="00E273E3" w:rsidRPr="00151901" w:rsidP="0095507B" w14:paraId="0D200B3F" w14:textId="77777777">
            <w:pPr>
              <w:suppressAutoHyphens/>
              <w:rPr>
                <w:spacing w:val="-2"/>
              </w:rPr>
            </w:pPr>
          </w:p>
          <w:p w:rsidR="00E273E3" w:rsidRPr="00151901" w:rsidP="0095507B" w14:paraId="215C39EB" w14:textId="77777777">
            <w:pPr>
              <w:suppressAutoHyphens/>
              <w:rPr>
                <w:spacing w:val="-2"/>
              </w:rPr>
            </w:pPr>
            <w:r w:rsidRPr="00151901">
              <w:rPr>
                <w:spacing w:val="-2"/>
              </w:rPr>
              <w:t>Premier Communications Corp. d/b/a Pryme Radio Products</w:t>
            </w:r>
            <w:r w:rsidRPr="00151901">
              <w:rPr>
                <w:spacing w:val="-2"/>
              </w:rPr>
              <w:t xml:space="preserve"> </w:t>
            </w:r>
          </w:p>
        </w:tc>
        <w:tc>
          <w:tcPr>
            <w:tcW w:w="630" w:type="dxa"/>
          </w:tcPr>
          <w:p w:rsidR="00417EDD" w:rsidRPr="00417EDD" w:rsidP="0095507B" w14:paraId="5A989CDC" w14:textId="77777777">
            <w:pPr>
              <w:suppressAutoHyphens/>
              <w:rPr>
                <w:b/>
                <w:spacing w:val="-2"/>
              </w:rPr>
            </w:pPr>
            <w:r w:rsidRPr="00417EDD">
              <w:rPr>
                <w:b/>
                <w:spacing w:val="-2"/>
              </w:rPr>
              <w:t>)</w:t>
            </w:r>
          </w:p>
          <w:p w:rsidR="00E273E3" w:rsidRPr="00417EDD" w:rsidP="0095507B" w14:paraId="69757AFB" w14:textId="2576D365">
            <w:pPr>
              <w:suppressAutoHyphens/>
              <w:rPr>
                <w:b/>
                <w:spacing w:val="-2"/>
              </w:rPr>
            </w:pPr>
            <w:r w:rsidRPr="00417EDD">
              <w:rPr>
                <w:b/>
                <w:spacing w:val="-2"/>
              </w:rPr>
              <w:t>)</w:t>
            </w:r>
          </w:p>
          <w:p w:rsidR="00E273E3" w:rsidRPr="00417EDD" w:rsidP="0095507B" w14:paraId="5AFBE173" w14:textId="77777777">
            <w:pPr>
              <w:suppressAutoHyphens/>
              <w:rPr>
                <w:b/>
                <w:spacing w:val="-2"/>
              </w:rPr>
            </w:pPr>
            <w:r w:rsidRPr="00417EDD">
              <w:rPr>
                <w:b/>
                <w:spacing w:val="-2"/>
              </w:rPr>
              <w:t>)</w:t>
            </w:r>
          </w:p>
          <w:p w:rsidR="00E273E3" w:rsidRPr="00417EDD" w:rsidP="0095507B" w14:paraId="0C04D2B2" w14:textId="77777777">
            <w:pPr>
              <w:suppressAutoHyphens/>
              <w:rPr>
                <w:b/>
                <w:spacing w:val="-2"/>
              </w:rPr>
            </w:pPr>
            <w:r w:rsidRPr="00417EDD">
              <w:rPr>
                <w:b/>
                <w:spacing w:val="-2"/>
              </w:rPr>
              <w:t>)</w:t>
            </w:r>
          </w:p>
          <w:p w:rsidR="002C30C3" w:rsidRPr="00417EDD" w:rsidP="0095507B" w14:paraId="6405C48D" w14:textId="77777777">
            <w:pPr>
              <w:suppressAutoHyphens/>
              <w:rPr>
                <w:b/>
                <w:spacing w:val="-2"/>
              </w:rPr>
            </w:pPr>
            <w:r w:rsidRPr="00417EDD">
              <w:rPr>
                <w:b/>
                <w:spacing w:val="-2"/>
              </w:rPr>
              <w:t>)</w:t>
            </w:r>
          </w:p>
          <w:p w:rsidR="00E273E3" w:rsidRPr="00417EDD" w:rsidP="0095507B" w14:paraId="3013A8F1" w14:textId="77777777">
            <w:pPr>
              <w:suppressAutoHyphens/>
              <w:rPr>
                <w:b/>
                <w:spacing w:val="-2"/>
              </w:rPr>
            </w:pPr>
          </w:p>
        </w:tc>
        <w:tc>
          <w:tcPr>
            <w:tcW w:w="4248" w:type="dxa"/>
          </w:tcPr>
          <w:p w:rsidR="00E273E3" w:rsidRPr="00151901" w:rsidP="0095507B" w14:paraId="7D44FAD1" w14:textId="77777777">
            <w:pPr>
              <w:suppressAutoHyphens/>
              <w:rPr>
                <w:spacing w:val="-2"/>
              </w:rPr>
            </w:pPr>
          </w:p>
          <w:p w:rsidR="00E273E3" w:rsidRPr="00151901" w:rsidP="0095507B" w14:paraId="5A5718E3" w14:textId="77777777">
            <w:pPr>
              <w:suppressAutoHyphens/>
              <w:rPr>
                <w:spacing w:val="-2"/>
              </w:rPr>
            </w:pPr>
          </w:p>
          <w:p w:rsidR="00E273E3" w:rsidRPr="00151901" w:rsidP="0095507B" w14:paraId="5A62AB22" w14:textId="77777777">
            <w:pPr>
              <w:suppressAutoHyphens/>
              <w:ind w:left="432"/>
              <w:rPr>
                <w:spacing w:val="-2"/>
              </w:rPr>
            </w:pPr>
            <w:r w:rsidRPr="00151901">
              <w:rPr>
                <w:spacing w:val="-2"/>
              </w:rPr>
              <w:t>File No.:  EB-</w:t>
            </w:r>
            <w:r w:rsidRPr="00151901" w:rsidR="005E3AB7">
              <w:rPr>
                <w:spacing w:val="-2"/>
              </w:rPr>
              <w:t>SED</w:t>
            </w:r>
            <w:r w:rsidRPr="00151901">
              <w:rPr>
                <w:spacing w:val="-2"/>
              </w:rPr>
              <w:t>-</w:t>
            </w:r>
            <w:r w:rsidRPr="00151901" w:rsidR="005E3AB7">
              <w:rPr>
                <w:spacing w:val="-2"/>
              </w:rPr>
              <w:t>19</w:t>
            </w:r>
            <w:r w:rsidRPr="00151901">
              <w:rPr>
                <w:spacing w:val="-2"/>
              </w:rPr>
              <w:t>-</w:t>
            </w:r>
            <w:r w:rsidRPr="00151901" w:rsidR="005E3AB7">
              <w:rPr>
                <w:spacing w:val="-2"/>
              </w:rPr>
              <w:t>00028740</w:t>
            </w:r>
          </w:p>
          <w:p w:rsidR="00E273E3" w:rsidRPr="00151901" w:rsidP="0095507B" w14:paraId="164C1C0F" w14:textId="77777777">
            <w:pPr>
              <w:suppressAutoHyphens/>
              <w:ind w:left="432"/>
              <w:rPr>
                <w:spacing w:val="-2"/>
              </w:rPr>
            </w:pPr>
            <w:r w:rsidRPr="00151901">
              <w:rPr>
                <w:spacing w:val="-2"/>
              </w:rPr>
              <w:t xml:space="preserve">  </w:t>
            </w:r>
          </w:p>
          <w:p w:rsidR="00E273E3" w:rsidP="0095507B" w14:paraId="71B8A139" w14:textId="77777777">
            <w:pPr>
              <w:suppressAutoHyphens/>
              <w:ind w:left="432"/>
              <w:rPr>
                <w:spacing w:val="-2"/>
              </w:rPr>
            </w:pPr>
          </w:p>
          <w:p w:rsidR="0095507B" w:rsidRPr="00151901" w:rsidP="0095507B" w14:paraId="00DD23B9" w14:textId="4FBF1C97">
            <w:pPr>
              <w:suppressAutoHyphens/>
              <w:ind w:left="432"/>
              <w:rPr>
                <w:spacing w:val="-2"/>
              </w:rPr>
            </w:pPr>
          </w:p>
        </w:tc>
      </w:tr>
    </w:tbl>
    <w:p w:rsidR="00E273E3" w:rsidRPr="00151901" w:rsidP="0095507B" w14:paraId="08B446F7" w14:textId="77777777">
      <w:pPr>
        <w:pStyle w:val="StyleBoldCentered"/>
        <w:rPr>
          <w:rFonts w:ascii="Times New Roman" w:hAnsi="Times New Roman"/>
        </w:rPr>
      </w:pPr>
      <w:r w:rsidRPr="00151901">
        <w:rPr>
          <w:rFonts w:ascii="Times New Roman" w:hAnsi="Times New Roman"/>
        </w:rPr>
        <w:t xml:space="preserve">CITATION AND </w:t>
      </w:r>
      <w:r w:rsidRPr="00151901">
        <w:rPr>
          <w:rFonts w:ascii="Times New Roman" w:hAnsi="Times New Roman"/>
        </w:rPr>
        <w:t>ORDER</w:t>
      </w:r>
    </w:p>
    <w:p w:rsidR="005321F0" w:rsidRPr="00151901" w:rsidP="0095507B" w14:paraId="071316AD" w14:textId="77777777">
      <w:pPr>
        <w:spacing w:after="240"/>
        <w:jc w:val="center"/>
        <w:rPr>
          <w:b/>
        </w:rPr>
      </w:pPr>
      <w:r w:rsidRPr="00151901">
        <w:rPr>
          <w:b/>
        </w:rPr>
        <w:t>ILLEGAL MARKETING OF UNAUTHORIZED RADIO FREQUENCY DEVICES</w:t>
      </w:r>
    </w:p>
    <w:p w:rsidR="00E273E3" w:rsidRPr="00151901" w:rsidP="0095507B" w14:paraId="02598D05" w14:textId="465E31D0">
      <w:pPr>
        <w:tabs>
          <w:tab w:val="right" w:pos="9360"/>
        </w:tabs>
        <w:suppressAutoHyphens/>
        <w:rPr>
          <w:spacing w:val="-2"/>
        </w:rPr>
      </w:pPr>
      <w:r w:rsidRPr="00151901">
        <w:rPr>
          <w:b/>
          <w:spacing w:val="-2"/>
        </w:rPr>
        <w:t xml:space="preserve">Adopted:  </w:t>
      </w:r>
      <w:r w:rsidR="007F59CE">
        <w:rPr>
          <w:b/>
          <w:spacing w:val="-2"/>
        </w:rPr>
        <w:t>December 2</w:t>
      </w:r>
      <w:r w:rsidR="00785F08">
        <w:rPr>
          <w:b/>
          <w:spacing w:val="-2"/>
        </w:rPr>
        <w:t>9</w:t>
      </w:r>
      <w:r w:rsidR="007F59CE">
        <w:rPr>
          <w:b/>
          <w:spacing w:val="-2"/>
        </w:rPr>
        <w:t>, 2020</w:t>
      </w:r>
      <w:r w:rsidRPr="00151901" w:rsidR="006D2212">
        <w:rPr>
          <w:b/>
          <w:spacing w:val="-2"/>
        </w:rPr>
        <w:tab/>
        <w:t xml:space="preserve">Released:  </w:t>
      </w:r>
      <w:r w:rsidR="007F59CE">
        <w:rPr>
          <w:b/>
          <w:spacing w:val="-2"/>
        </w:rPr>
        <w:t>December 2</w:t>
      </w:r>
      <w:r w:rsidR="00785F08">
        <w:rPr>
          <w:b/>
          <w:spacing w:val="-2"/>
        </w:rPr>
        <w:t>9</w:t>
      </w:r>
      <w:r w:rsidR="007F59CE">
        <w:rPr>
          <w:b/>
          <w:spacing w:val="-2"/>
        </w:rPr>
        <w:t>, 2020</w:t>
      </w:r>
    </w:p>
    <w:p w:rsidR="00E273E3" w:rsidRPr="00151901" w:rsidP="0095507B" w14:paraId="4083A5B3" w14:textId="77777777">
      <w:pPr>
        <w:jc w:val="center"/>
      </w:pPr>
    </w:p>
    <w:p w:rsidR="00E273E3" w:rsidRPr="00151901" w:rsidP="0095507B" w14:paraId="4E2AE362" w14:textId="2E5A42D3">
      <w:pPr>
        <w:spacing w:after="240"/>
        <w:rPr>
          <w:spacing w:val="-2"/>
        </w:rPr>
      </w:pPr>
      <w:r w:rsidRPr="00151901">
        <w:t xml:space="preserve">By the </w:t>
      </w:r>
      <w:r w:rsidRPr="00151901" w:rsidR="00011E88">
        <w:t xml:space="preserve">Division </w:t>
      </w:r>
      <w:r w:rsidRPr="00151901" w:rsidR="00EE36BE">
        <w:rPr>
          <w:spacing w:val="-2"/>
        </w:rPr>
        <w:t>Chief</w:t>
      </w:r>
      <w:r w:rsidRPr="00151901" w:rsidR="005E3AB7">
        <w:rPr>
          <w:spacing w:val="-2"/>
        </w:rPr>
        <w:t>, Spectrum Enforcement Division</w:t>
      </w:r>
      <w:r w:rsidRPr="00151901" w:rsidR="00011E88">
        <w:rPr>
          <w:spacing w:val="-2"/>
        </w:rPr>
        <w:t>, Enforcement Bureau</w:t>
      </w:r>
      <w:r w:rsidRPr="00151901" w:rsidR="00EE36BE">
        <w:rPr>
          <w:spacing w:val="-2"/>
        </w:rPr>
        <w:t>:</w:t>
      </w:r>
    </w:p>
    <w:p w:rsidR="00E273E3" w:rsidRPr="00151901" w:rsidP="0095507B" w14:paraId="5E621784" w14:textId="77777777">
      <w:pPr>
        <w:pStyle w:val="Heading1"/>
        <w:rPr>
          <w:rFonts w:ascii="Times New Roman" w:hAnsi="Times New Roman"/>
        </w:rPr>
      </w:pPr>
      <w:bookmarkStart w:id="0" w:name="_Toc379288998"/>
      <w:bookmarkStart w:id="1" w:name="_Toc379365499"/>
      <w:r w:rsidRPr="00151901">
        <w:rPr>
          <w:rFonts w:ascii="Times New Roman" w:hAnsi="Times New Roman"/>
        </w:rPr>
        <w:t>NOTICE OF CITATION</w:t>
      </w:r>
      <w:bookmarkEnd w:id="0"/>
      <w:bookmarkEnd w:id="1"/>
    </w:p>
    <w:p w:rsidR="007C3555" w:rsidRPr="00151901" w:rsidP="0095507B" w14:paraId="742D18E3" w14:textId="4A36FEAE">
      <w:pPr>
        <w:pStyle w:val="ParaNum"/>
        <w:numPr>
          <w:ilvl w:val="0"/>
          <w:numId w:val="4"/>
        </w:numPr>
        <w:tabs>
          <w:tab w:val="clear" w:pos="1080"/>
        </w:tabs>
      </w:pPr>
      <w:r w:rsidRPr="00151901">
        <w:t>T</w:t>
      </w:r>
      <w:r w:rsidRPr="00151901" w:rsidR="00500FF2">
        <w:t xml:space="preserve">his </w:t>
      </w:r>
      <w:r w:rsidRPr="00151901" w:rsidR="00500FF2">
        <w:rPr>
          <w:b/>
        </w:rPr>
        <w:t>CITATION AND ORDER</w:t>
      </w:r>
      <w:r w:rsidRPr="00151901" w:rsidR="00716E89">
        <w:rPr>
          <w:b/>
        </w:rPr>
        <w:t xml:space="preserve"> </w:t>
      </w:r>
      <w:r w:rsidRPr="00151901" w:rsidR="00716E89">
        <w:t>(Citation)</w:t>
      </w:r>
      <w:r w:rsidRPr="00151901">
        <w:t>, notifies</w:t>
      </w:r>
      <w:r w:rsidRPr="00151901" w:rsidR="00500FF2">
        <w:t xml:space="preserve"> </w:t>
      </w:r>
      <w:bookmarkStart w:id="2" w:name="_Hlk56156752"/>
      <w:r w:rsidRPr="00151901" w:rsidR="00645AB5">
        <w:t>Premier Communications Corporation d/b/a Pryme Radio Products</w:t>
      </w:r>
      <w:r w:rsidRPr="00151901" w:rsidR="0099722B">
        <w:t xml:space="preserve"> (</w:t>
      </w:r>
      <w:bookmarkEnd w:id="2"/>
      <w:r w:rsidRPr="00151901" w:rsidR="0099722B">
        <w:t>Pryme or Company)</w:t>
      </w:r>
      <w:r w:rsidRPr="00151901" w:rsidR="00E273E3">
        <w:t xml:space="preserve"> </w:t>
      </w:r>
      <w:r w:rsidRPr="00151901" w:rsidR="00500FF2">
        <w:t>that it</w:t>
      </w:r>
      <w:r w:rsidRPr="00151901" w:rsidR="0099722B">
        <w:t xml:space="preserve"> </w:t>
      </w:r>
      <w:r w:rsidRPr="00151901" w:rsidR="00D21410">
        <w:t xml:space="preserve">unlawfully </w:t>
      </w:r>
      <w:r w:rsidRPr="00151901" w:rsidR="0099722B">
        <w:t>marketed</w:t>
      </w:r>
      <w:r>
        <w:rPr>
          <w:rStyle w:val="FootnoteReference"/>
          <w:sz w:val="22"/>
        </w:rPr>
        <w:footnoteReference w:id="3"/>
      </w:r>
      <w:r w:rsidRPr="00151901" w:rsidR="0099722B">
        <w:t xml:space="preserve"> radio frequency devices in the United States in violation of the Commission’s equipment authorization and labeling requirements</w:t>
      </w:r>
      <w:r w:rsidRPr="00151901" w:rsidR="00500FF2">
        <w:t xml:space="preserve">.  </w:t>
      </w:r>
      <w:r w:rsidRPr="00151901" w:rsidR="00C74064">
        <w:t xml:space="preserve">Specifically, Pryme marketed models </w:t>
      </w:r>
      <w:r w:rsidRPr="00151901" w:rsidR="0029116D">
        <w:t xml:space="preserve">BTH-600, BTH-500, BTH-300, BT-PTT-U, </w:t>
      </w:r>
      <w:r w:rsidRPr="00151901" w:rsidR="00525537">
        <w:t>BT</w:t>
      </w:r>
      <w:r w:rsidRPr="00151901" w:rsidR="008E0A6E">
        <w:t>-</w:t>
      </w:r>
      <w:r w:rsidRPr="00151901" w:rsidR="00525537">
        <w:t xml:space="preserve">PTT-Z, </w:t>
      </w:r>
      <w:r w:rsidRPr="00151901" w:rsidR="0029116D">
        <w:t>BT-PTT-ZU, BT-PTT-M, and BT-PTT2</w:t>
      </w:r>
      <w:r w:rsidRPr="00151901" w:rsidR="008E0A6E">
        <w:t xml:space="preserve"> </w:t>
      </w:r>
      <w:r w:rsidRPr="00151901" w:rsidR="00C74064">
        <w:t xml:space="preserve">in violation of </w:t>
      </w:r>
      <w:r w:rsidRPr="00151901" w:rsidR="008E0A6E">
        <w:t>s</w:t>
      </w:r>
      <w:r w:rsidRPr="00151901" w:rsidR="00C74064">
        <w:t>ection 302(b) of the Communications Act, as amended (Act),</w:t>
      </w:r>
      <w:r>
        <w:rPr>
          <w:rStyle w:val="FootnoteReference"/>
        </w:rPr>
        <w:footnoteReference w:id="4"/>
      </w:r>
      <w:r w:rsidRPr="00151901" w:rsidR="00C74064">
        <w:t xml:space="preserve"> and sections 2.803, </w:t>
      </w:r>
      <w:bookmarkStart w:id="3" w:name="_Hlk55477922"/>
      <w:r w:rsidRPr="00151901" w:rsidR="00C74064">
        <w:t>2.925, 15.19</w:t>
      </w:r>
      <w:r w:rsidR="00B60614">
        <w:t>, and 15.201</w:t>
      </w:r>
      <w:r w:rsidRPr="00151901" w:rsidR="00C74064">
        <w:t xml:space="preserve"> of the Commission’s rules</w:t>
      </w:r>
      <w:bookmarkEnd w:id="3"/>
      <w:r w:rsidRPr="00151901" w:rsidR="00C74064">
        <w:t>, as applicable.</w:t>
      </w:r>
      <w:r>
        <w:rPr>
          <w:rStyle w:val="FootnoteReference"/>
          <w:sz w:val="22"/>
        </w:rPr>
        <w:footnoteReference w:id="5"/>
      </w:r>
      <w:r w:rsidRPr="00151901" w:rsidR="00C74064">
        <w:t xml:space="preserve">  </w:t>
      </w:r>
      <w:r w:rsidRPr="00151901" w:rsidR="00500FF2">
        <w:t xml:space="preserve">We therefore direct </w:t>
      </w:r>
      <w:r w:rsidRPr="00151901" w:rsidR="0099722B">
        <w:t>Pryme</w:t>
      </w:r>
      <w:r w:rsidRPr="00151901" w:rsidR="00500FF2">
        <w:t xml:space="preserve"> to take immediate steps to comply with</w:t>
      </w:r>
      <w:r w:rsidRPr="00151901" w:rsidR="00BF0775">
        <w:t xml:space="preserve"> the Commission’s equipment authorization and labeling requirements and </w:t>
      </w:r>
      <w:r w:rsidRPr="00151901" w:rsidR="00C74064">
        <w:t xml:space="preserve">to </w:t>
      </w:r>
      <w:r w:rsidRPr="00151901" w:rsidR="00BF0775">
        <w:t xml:space="preserve">cease marketing any </w:t>
      </w:r>
      <w:r w:rsidRPr="00151901" w:rsidR="008E0A6E">
        <w:t xml:space="preserve">noncompliant </w:t>
      </w:r>
      <w:r w:rsidRPr="00151901" w:rsidR="0046052E">
        <w:t>radio frequency</w:t>
      </w:r>
      <w:r w:rsidRPr="00151901" w:rsidR="00BF0775">
        <w:t xml:space="preserve"> devices in the United States.</w:t>
      </w:r>
      <w:r w:rsidRPr="00151901" w:rsidR="00500FF2">
        <w:t xml:space="preserve">  If </w:t>
      </w:r>
      <w:r w:rsidRPr="00151901" w:rsidR="0046052E">
        <w:t>the Company</w:t>
      </w:r>
      <w:r w:rsidRPr="00151901" w:rsidR="00BF0775">
        <w:t xml:space="preserve"> </w:t>
      </w:r>
      <w:r w:rsidRPr="00151901" w:rsidR="00500FF2">
        <w:t>fails to comply with these laws, it may be liable for significant fines</w:t>
      </w:r>
      <w:r w:rsidRPr="00151901" w:rsidR="008B27C1">
        <w:t xml:space="preserve"> of up to $</w:t>
      </w:r>
      <w:r w:rsidRPr="00151901" w:rsidR="00BF0775">
        <w:t>20</w:t>
      </w:r>
      <w:r w:rsidRPr="00151901" w:rsidR="008B27C1">
        <w:t>,</w:t>
      </w:r>
      <w:r w:rsidR="00B60614">
        <w:t>489</w:t>
      </w:r>
      <w:r w:rsidRPr="00151901" w:rsidR="008B27C1">
        <w:t xml:space="preserve"> per day</w:t>
      </w:r>
      <w:r w:rsidRPr="00151901" w:rsidR="00BF0775">
        <w:t xml:space="preserve"> </w:t>
      </w:r>
      <w:r w:rsidR="00CA1722">
        <w:t xml:space="preserve">for each unauthorized model marketed, </w:t>
      </w:r>
      <w:r w:rsidRPr="00151901" w:rsidR="008B27C1">
        <w:t>and other sanctions.</w:t>
      </w:r>
      <w:r>
        <w:rPr>
          <w:rStyle w:val="FootnoteReference"/>
        </w:rPr>
        <w:footnoteReference w:id="6"/>
      </w:r>
      <w:r w:rsidRPr="00151901" w:rsidR="008B27C1">
        <w:t xml:space="preserve"> </w:t>
      </w:r>
    </w:p>
    <w:p w:rsidR="008B27C1" w:rsidRPr="00151901" w:rsidP="0095507B" w14:paraId="0120B8ED" w14:textId="12672EA3">
      <w:pPr>
        <w:pStyle w:val="ParaNum"/>
        <w:keepNext/>
        <w:numPr>
          <w:ilvl w:val="0"/>
          <w:numId w:val="4"/>
        </w:numPr>
        <w:tabs>
          <w:tab w:val="clear" w:pos="1080"/>
          <w:tab w:val="num" w:pos="1440"/>
        </w:tabs>
      </w:pPr>
      <w:r w:rsidRPr="00151901">
        <w:rPr>
          <w:b/>
          <w:i/>
        </w:rPr>
        <w:t xml:space="preserve">Notice of Duty to Comply with </w:t>
      </w:r>
      <w:r w:rsidRPr="00151901" w:rsidR="00F6754D">
        <w:rPr>
          <w:b/>
          <w:i/>
        </w:rPr>
        <w:t>the Law</w:t>
      </w:r>
      <w:r w:rsidRPr="00151901">
        <w:t xml:space="preserve">:  </w:t>
      </w:r>
      <w:r w:rsidRPr="00151901" w:rsidR="00716E89">
        <w:t xml:space="preserve">We issue this Citation pursuant to </w:t>
      </w:r>
      <w:r w:rsidRPr="00151901" w:rsidR="00761767">
        <w:t>s</w:t>
      </w:r>
      <w:r w:rsidRPr="00151901" w:rsidR="00716E89">
        <w:t xml:space="preserve">ection 503(b)(5) of the Act, which </w:t>
      </w:r>
      <w:r w:rsidRPr="00151901" w:rsidR="00727F4F">
        <w:t xml:space="preserve">states that the Commission may not impose </w:t>
      </w:r>
      <w:r w:rsidRPr="00151901" w:rsidR="00716E89">
        <w:t xml:space="preserve">monetary forfeitures against non-regulatees </w:t>
      </w:r>
      <w:r w:rsidRPr="00151901" w:rsidR="0046052E">
        <w:t>that</w:t>
      </w:r>
      <w:r w:rsidRPr="00151901" w:rsidR="00716E89">
        <w:t xml:space="preserve"> violate Commission rules or the Act</w:t>
      </w:r>
      <w:r w:rsidRPr="00151901" w:rsidR="00727F4F">
        <w:t xml:space="preserve"> </w:t>
      </w:r>
      <w:r w:rsidRPr="00151901" w:rsidR="00C42D39">
        <w:t>unless and until</w:t>
      </w:r>
      <w:r w:rsidRPr="00151901" w:rsidR="00BF39AF">
        <w:t xml:space="preserve">: </w:t>
      </w:r>
      <w:r w:rsidRPr="00151901" w:rsidR="00716E89">
        <w:t xml:space="preserve"> (a)</w:t>
      </w:r>
      <w:r w:rsidRPr="00151901" w:rsidR="00C42D39">
        <w:t xml:space="preserve"> the Commission</w:t>
      </w:r>
      <w:r w:rsidRPr="00151901" w:rsidR="00716E89">
        <w:t xml:space="preserve"> issues a citation to the violator</w:t>
      </w:r>
      <w:r w:rsidRPr="00151901" w:rsidR="00C42D39">
        <w:t xml:space="preserve">; (b) the Commission </w:t>
      </w:r>
      <w:r w:rsidRPr="00151901" w:rsidR="00716E89">
        <w:t>provides the violator a reasonable opportunity to respond; and (c) the violator subsequently engages in conduct described in the citation.</w:t>
      </w:r>
      <w:r>
        <w:rPr>
          <w:rStyle w:val="FootnoteReference"/>
          <w:kern w:val="2"/>
          <w:sz w:val="22"/>
        </w:rPr>
        <w:footnoteReference w:id="7"/>
      </w:r>
      <w:r w:rsidRPr="00151901" w:rsidR="00716E89">
        <w:t xml:space="preserve">  </w:t>
      </w:r>
      <w:r w:rsidRPr="00151901" w:rsidR="006E6234">
        <w:t xml:space="preserve">Accordingly, </w:t>
      </w:r>
      <w:r w:rsidRPr="00151901" w:rsidR="00BF0775">
        <w:t>Pryme</w:t>
      </w:r>
      <w:r w:rsidRPr="00151901" w:rsidR="00BF790E">
        <w:t xml:space="preserve"> </w:t>
      </w:r>
      <w:r w:rsidRPr="00151901" w:rsidR="00BF790E">
        <w:rPr>
          <w:kern w:val="2"/>
        </w:rPr>
        <w:t xml:space="preserve">is hereby on notice that it must comply with </w:t>
      </w:r>
      <w:r w:rsidRPr="00151901" w:rsidR="008E0A6E">
        <w:t>s</w:t>
      </w:r>
      <w:r w:rsidRPr="00151901" w:rsidR="00D154A7">
        <w:t>ection 302(b) of the Act</w:t>
      </w:r>
      <w:r>
        <w:rPr>
          <w:rStyle w:val="FootnoteReference"/>
        </w:rPr>
        <w:footnoteReference w:id="8"/>
      </w:r>
      <w:r w:rsidRPr="00151901" w:rsidR="00D154A7">
        <w:rPr>
          <w:kern w:val="2"/>
        </w:rPr>
        <w:t xml:space="preserve"> </w:t>
      </w:r>
      <w:r w:rsidRPr="00151901" w:rsidR="00BF1744">
        <w:rPr>
          <w:kern w:val="2"/>
        </w:rPr>
        <w:t xml:space="preserve">and </w:t>
      </w:r>
      <w:r w:rsidRPr="00151901" w:rsidR="008E0A6E">
        <w:rPr>
          <w:kern w:val="2"/>
        </w:rPr>
        <w:t>s</w:t>
      </w:r>
      <w:r w:rsidRPr="00151901" w:rsidR="0027183B">
        <w:rPr>
          <w:kern w:val="2"/>
        </w:rPr>
        <w:t>ection</w:t>
      </w:r>
      <w:r w:rsidRPr="00151901" w:rsidR="00BF0775">
        <w:rPr>
          <w:kern w:val="2"/>
        </w:rPr>
        <w:t>s 2.803, 2.9</w:t>
      </w:r>
      <w:r w:rsidRPr="00151901" w:rsidR="00047537">
        <w:rPr>
          <w:kern w:val="2"/>
        </w:rPr>
        <w:t>2</w:t>
      </w:r>
      <w:r w:rsidRPr="00151901" w:rsidR="00BF0775">
        <w:rPr>
          <w:kern w:val="2"/>
        </w:rPr>
        <w:t>5, 15.19</w:t>
      </w:r>
      <w:r w:rsidR="00A2302F">
        <w:rPr>
          <w:kern w:val="2"/>
        </w:rPr>
        <w:t>, and 15.201</w:t>
      </w:r>
      <w:r w:rsidRPr="00151901" w:rsidR="0027183B">
        <w:rPr>
          <w:color w:val="000000"/>
          <w:kern w:val="2"/>
        </w:rPr>
        <w:t xml:space="preserve"> of </w:t>
      </w:r>
      <w:r w:rsidRPr="00151901" w:rsidR="0027183B">
        <w:rPr>
          <w:color w:val="000000"/>
          <w:kern w:val="2"/>
        </w:rPr>
        <w:t xml:space="preserve">the </w:t>
      </w:r>
      <w:r w:rsidRPr="00151901" w:rsidR="00C42D39">
        <w:rPr>
          <w:color w:val="000000"/>
          <w:kern w:val="2"/>
        </w:rPr>
        <w:t>Commission’s rules</w:t>
      </w:r>
      <w:r w:rsidRPr="00151901" w:rsidR="00BF790E">
        <w:rPr>
          <w:color w:val="000000"/>
          <w:kern w:val="2"/>
        </w:rPr>
        <w:t>.</w:t>
      </w:r>
      <w:r>
        <w:rPr>
          <w:rStyle w:val="FootnoteReference"/>
          <w:kern w:val="2"/>
          <w:sz w:val="22"/>
        </w:rPr>
        <w:footnoteReference w:id="9"/>
      </w:r>
      <w:r w:rsidRPr="00151901" w:rsidR="00BF790E">
        <w:rPr>
          <w:color w:val="000000"/>
          <w:kern w:val="2"/>
        </w:rPr>
        <w:t xml:space="preserve">  I</w:t>
      </w:r>
      <w:r w:rsidRPr="00151901" w:rsidR="00BF790E">
        <w:t xml:space="preserve">f </w:t>
      </w:r>
      <w:r w:rsidR="007D14CE">
        <w:t>the Company</w:t>
      </w:r>
      <w:r w:rsidRPr="00151901" w:rsidR="00BF790E">
        <w:t xml:space="preserve"> </w:t>
      </w:r>
      <w:r w:rsidRPr="00151901" w:rsidR="00BF790E">
        <w:rPr>
          <w:kern w:val="2"/>
        </w:rPr>
        <w:t xml:space="preserve">subsequently engages in any conduct of the type </w:t>
      </w:r>
      <w:r w:rsidRPr="00151901" w:rsidR="00C42D39">
        <w:rPr>
          <w:kern w:val="2"/>
        </w:rPr>
        <w:t>this Citation describes</w:t>
      </w:r>
      <w:r w:rsidRPr="00151901" w:rsidR="00BF790E">
        <w:rPr>
          <w:kern w:val="2"/>
        </w:rPr>
        <w:t xml:space="preserve"> —</w:t>
      </w:r>
      <w:r w:rsidRPr="00151901" w:rsidR="00C42D39">
        <w:rPr>
          <w:kern w:val="2"/>
        </w:rPr>
        <w:t xml:space="preserve"> </w:t>
      </w:r>
      <w:r w:rsidRPr="00151901" w:rsidR="00BF790E">
        <w:rPr>
          <w:kern w:val="2"/>
        </w:rPr>
        <w:t xml:space="preserve">specifically any violation of </w:t>
      </w:r>
      <w:r w:rsidRPr="00151901" w:rsidR="00BF0775">
        <w:rPr>
          <w:kern w:val="2"/>
        </w:rPr>
        <w:t>the Commission’s equipment authorization or labeling rules</w:t>
      </w:r>
      <w:r w:rsidRPr="00151901" w:rsidR="00C42D39">
        <w:t xml:space="preserve"> </w:t>
      </w:r>
      <w:r w:rsidRPr="00151901" w:rsidR="00BF790E">
        <w:t>—</w:t>
      </w:r>
      <w:r w:rsidRPr="00151901" w:rsidR="00C42D39">
        <w:t xml:space="preserve"> </w:t>
      </w:r>
      <w:r w:rsidRPr="00151901" w:rsidR="00BA60B2">
        <w:t>it</w:t>
      </w:r>
      <w:r w:rsidRPr="00151901" w:rsidR="00BF790E">
        <w:rPr>
          <w:kern w:val="2"/>
        </w:rPr>
        <w:t xml:space="preserve"> may be subject to civil penalties, including but not limi</w:t>
      </w:r>
      <w:bookmarkStart w:id="4" w:name="_GoBack"/>
      <w:bookmarkEnd w:id="4"/>
      <w:r w:rsidRPr="00151901" w:rsidR="00BF790E">
        <w:rPr>
          <w:kern w:val="2"/>
        </w:rPr>
        <w:t>ted to substantial monetary forfeitures.  In assessing such forfeitures, the Commission may consider both the conduct that led to this Citation and the conduct following it.</w:t>
      </w:r>
      <w:r>
        <w:rPr>
          <w:kern w:val="2"/>
          <w:vertAlign w:val="superscript"/>
        </w:rPr>
        <w:footnoteReference w:id="10"/>
      </w:r>
      <w:r w:rsidRPr="00151901" w:rsidR="00F6754D">
        <w:rPr>
          <w:i/>
        </w:rPr>
        <w:t xml:space="preserve">  </w:t>
      </w:r>
      <w:r w:rsidRPr="00151901" w:rsidR="00097330">
        <w:rPr>
          <w:i/>
        </w:rPr>
        <w:t xml:space="preserve"> </w:t>
      </w:r>
      <w:r w:rsidRPr="00151901">
        <w:rPr>
          <w:i/>
        </w:rPr>
        <w:t xml:space="preserve">  </w:t>
      </w:r>
    </w:p>
    <w:p w:rsidR="0090510E" w:rsidRPr="00151901" w:rsidP="0095507B" w14:paraId="5F630455" w14:textId="77777777">
      <w:pPr>
        <w:pStyle w:val="Heading1"/>
        <w:rPr>
          <w:rFonts w:ascii="Times New Roman" w:hAnsi="Times New Roman"/>
        </w:rPr>
      </w:pPr>
      <w:bookmarkStart w:id="5" w:name="_Toc379288999"/>
      <w:bookmarkStart w:id="6" w:name="_Toc379365500"/>
      <w:r w:rsidRPr="00151901">
        <w:rPr>
          <w:rFonts w:ascii="Times New Roman" w:hAnsi="Times New Roman"/>
        </w:rPr>
        <w:t>BACKGROUND</w:t>
      </w:r>
      <w:bookmarkEnd w:id="5"/>
      <w:bookmarkEnd w:id="6"/>
      <w:r w:rsidRPr="00151901" w:rsidR="00A8604A">
        <w:rPr>
          <w:rFonts w:ascii="Times New Roman" w:hAnsi="Times New Roman"/>
        </w:rPr>
        <w:t xml:space="preserve"> </w:t>
      </w:r>
    </w:p>
    <w:p w:rsidR="001A5AD7" w:rsidRPr="00151901" w:rsidP="0095507B" w14:paraId="74AA1F79" w14:textId="1818A9B3">
      <w:pPr>
        <w:pStyle w:val="ParaNum"/>
      </w:pPr>
      <w:r w:rsidRPr="00151901">
        <w:t>Under the Commission’s rules, radio frequency devices marketed in the United States must operate within certain technical parameters</w:t>
      </w:r>
      <w:r w:rsidRPr="00151901" w:rsidR="00BA60B2">
        <w:t>, otherwise</w:t>
      </w:r>
      <w:r w:rsidRPr="00151901">
        <w:t xml:space="preserve"> they </w:t>
      </w:r>
      <w:r w:rsidRPr="00151901" w:rsidR="00BA60B2">
        <w:t>may</w:t>
      </w:r>
      <w:r w:rsidRPr="00151901">
        <w:t xml:space="preserve"> interfere </w:t>
      </w:r>
      <w:r w:rsidRPr="00151901" w:rsidR="00BA60B2">
        <w:t>with</w:t>
      </w:r>
      <w:r w:rsidRPr="00151901">
        <w:t xml:space="preserve"> </w:t>
      </w:r>
      <w:r w:rsidRPr="00151901" w:rsidR="00BA60B2">
        <w:t xml:space="preserve">authorized </w:t>
      </w:r>
      <w:r w:rsidRPr="00151901">
        <w:t xml:space="preserve">communications systems. </w:t>
      </w:r>
      <w:r w:rsidRPr="00151901" w:rsidR="00BA60B2">
        <w:t xml:space="preserve"> </w:t>
      </w:r>
      <w:r w:rsidRPr="00151901">
        <w:t xml:space="preserve">Consistent with these rules, the Commission has established an equipment authorization program, which </w:t>
      </w:r>
      <w:r w:rsidRPr="00151901" w:rsidR="007A6B82">
        <w:t xml:space="preserve">generally </w:t>
      </w:r>
      <w:r w:rsidRPr="00151901">
        <w:t xml:space="preserve">requires </w:t>
      </w:r>
      <w:r w:rsidRPr="00151901" w:rsidR="007A6B82">
        <w:t>that</w:t>
      </w:r>
      <w:r w:rsidRPr="00151901">
        <w:t xml:space="preserve"> </w:t>
      </w:r>
      <w:r w:rsidRPr="00151901" w:rsidR="007A6B82">
        <w:t>radio frequency</w:t>
      </w:r>
      <w:r w:rsidRPr="00151901">
        <w:t xml:space="preserve"> devices </w:t>
      </w:r>
      <w:r w:rsidRPr="00151901" w:rsidR="007A6B82">
        <w:t>undergo</w:t>
      </w:r>
      <w:r w:rsidRPr="00151901">
        <w:t xml:space="preserve"> test</w:t>
      </w:r>
      <w:r w:rsidRPr="00151901" w:rsidR="007A6B82">
        <w:t>ing</w:t>
      </w:r>
      <w:r w:rsidRPr="00151901">
        <w:t xml:space="preserve"> </w:t>
      </w:r>
      <w:r w:rsidRPr="00151901" w:rsidR="007A6B82">
        <w:t xml:space="preserve">to </w:t>
      </w:r>
      <w:r w:rsidRPr="00151901">
        <w:t xml:space="preserve">verify that they comply with FCC-prescribed technical requirements before such devices can be marketed in the United States. </w:t>
      </w:r>
      <w:r w:rsidR="00B24CAF">
        <w:t xml:space="preserve"> </w:t>
      </w:r>
      <w:r w:rsidRPr="00151901" w:rsidR="009540CD">
        <w:t>The Commission’s equipment authorization and labeling rules ensure that</w:t>
      </w:r>
      <w:r w:rsidRPr="00151901" w:rsidR="002C7214">
        <w:t xml:space="preserve"> </w:t>
      </w:r>
      <w:r w:rsidRPr="00151901" w:rsidR="007A6B82">
        <w:t>radio frequency</w:t>
      </w:r>
      <w:r w:rsidRPr="00151901" w:rsidR="002C7214">
        <w:t xml:space="preserve"> devices</w:t>
      </w:r>
      <w:r w:rsidRPr="00151901" w:rsidR="009540CD">
        <w:t xml:space="preserve"> </w:t>
      </w:r>
      <w:r w:rsidRPr="00151901" w:rsidR="002C7214">
        <w:t xml:space="preserve">meet </w:t>
      </w:r>
      <w:r w:rsidRPr="00151901" w:rsidR="009540CD">
        <w:t>the Commission’s technical requirements</w:t>
      </w:r>
      <w:r w:rsidRPr="00151901" w:rsidR="002C7214">
        <w:t>.</w:t>
      </w:r>
      <w:r w:rsidRPr="00151901">
        <w:t xml:space="preserve"> </w:t>
      </w:r>
      <w:r w:rsidR="008820D7">
        <w:t xml:space="preserve"> </w:t>
      </w:r>
      <w:r w:rsidRPr="00151901">
        <w:t>As such, m</w:t>
      </w:r>
      <w:r w:rsidRPr="00151901">
        <w:t xml:space="preserve">arketers must ensure that </w:t>
      </w:r>
      <w:r w:rsidRPr="00151901" w:rsidR="007A6B82">
        <w:t>radio frequen</w:t>
      </w:r>
      <w:r w:rsidR="00783D94">
        <w:t>c</w:t>
      </w:r>
      <w:r w:rsidRPr="00151901" w:rsidR="007A6B82">
        <w:t>y</w:t>
      </w:r>
      <w:r w:rsidR="008820D7">
        <w:t xml:space="preserve"> </w:t>
      </w:r>
      <w:r w:rsidRPr="00151901">
        <w:t xml:space="preserve">devices are properly authorized and comply with all applicable </w:t>
      </w:r>
      <w:r w:rsidRPr="00151901" w:rsidR="006716C0">
        <w:t xml:space="preserve">technical, </w:t>
      </w:r>
      <w:r w:rsidRPr="00151901">
        <w:t>labeling</w:t>
      </w:r>
      <w:r w:rsidRPr="00151901" w:rsidR="006716C0">
        <w:t>,</w:t>
      </w:r>
      <w:r w:rsidRPr="00151901">
        <w:t xml:space="preserve"> and identification requirements prior to being offered for sale in the United States.</w:t>
      </w:r>
    </w:p>
    <w:p w:rsidR="00EE6E00" w:rsidRPr="00151901" w:rsidP="0095507B" w14:paraId="3D864E28" w14:textId="0F7AE7DE">
      <w:pPr>
        <w:pStyle w:val="ParaNum"/>
      </w:pPr>
      <w:r w:rsidRPr="00151901">
        <w:t>P</w:t>
      </w:r>
      <w:r w:rsidRPr="00151901" w:rsidR="00F714A9">
        <w:t>ryme is</w:t>
      </w:r>
      <w:r w:rsidRPr="00151901">
        <w:t xml:space="preserve"> a privately</w:t>
      </w:r>
      <w:r w:rsidR="007D14CE">
        <w:t xml:space="preserve"> </w:t>
      </w:r>
      <w:r w:rsidRPr="00151901">
        <w:t xml:space="preserve">held California </w:t>
      </w:r>
      <w:r w:rsidRPr="00151901" w:rsidR="00F714A9">
        <w:t>c</w:t>
      </w:r>
      <w:r w:rsidRPr="00151901">
        <w:t>orporation, incorporated in 1995.</w:t>
      </w:r>
      <w:r>
        <w:rPr>
          <w:rStyle w:val="FootnoteReference"/>
          <w:sz w:val="22"/>
        </w:rPr>
        <w:footnoteReference w:id="11"/>
      </w:r>
      <w:r w:rsidRPr="00151901">
        <w:t xml:space="preserve"> </w:t>
      </w:r>
      <w:r w:rsidR="002B3299">
        <w:t xml:space="preserve"> </w:t>
      </w:r>
      <w:r w:rsidR="007D14CE">
        <w:t xml:space="preserve">The Company </w:t>
      </w:r>
      <w:r w:rsidRPr="00151901" w:rsidR="00F714A9">
        <w:t xml:space="preserve">markets </w:t>
      </w:r>
      <w:r w:rsidRPr="00151901">
        <w:t>wired and wireless Bluetooth-enabled accessories throughout the U</w:t>
      </w:r>
      <w:r w:rsidRPr="00151901" w:rsidR="00B92C5E">
        <w:t xml:space="preserve">nited </w:t>
      </w:r>
      <w:r w:rsidRPr="00151901">
        <w:t>S</w:t>
      </w:r>
      <w:r w:rsidRPr="00151901" w:rsidR="00B92C5E">
        <w:t>tates</w:t>
      </w:r>
      <w:r w:rsidRPr="00151901" w:rsidR="00F714A9">
        <w:t xml:space="preserve"> </w:t>
      </w:r>
      <w:r w:rsidRPr="00151901" w:rsidR="008E0A6E">
        <w:t xml:space="preserve">through </w:t>
      </w:r>
      <w:r w:rsidRPr="00151901" w:rsidR="006F7457">
        <w:t>its</w:t>
      </w:r>
      <w:r w:rsidRPr="00151901" w:rsidR="00F714A9">
        <w:t xml:space="preserve"> webs</w:t>
      </w:r>
      <w:r w:rsidRPr="00151901" w:rsidR="00B40B35">
        <w:t>ite</w:t>
      </w:r>
      <w:r w:rsidRPr="00151901" w:rsidR="006F7457">
        <w:t>, pryme.com</w:t>
      </w:r>
      <w:r w:rsidRPr="00151901">
        <w:t>.</w:t>
      </w:r>
      <w:r>
        <w:rPr>
          <w:rStyle w:val="FootnoteReference"/>
          <w:sz w:val="22"/>
        </w:rPr>
        <w:footnoteReference w:id="12"/>
      </w:r>
      <w:r w:rsidRPr="00151901">
        <w:t xml:space="preserve">  </w:t>
      </w:r>
    </w:p>
    <w:p w:rsidR="00803F83" w:rsidP="0095507B" w14:paraId="124E3B2F" w14:textId="6540F60F">
      <w:pPr>
        <w:pStyle w:val="ParaNum"/>
      </w:pPr>
      <w:bookmarkStart w:id="7" w:name="_Hlk56156579"/>
      <w:r w:rsidRPr="0045707A">
        <w:t>The Enforcement Bureau’s (Bureau) Spectrum Enforcement Division</w:t>
      </w:r>
      <w:r w:rsidRPr="0045707A" w:rsidR="00AD6211">
        <w:t xml:space="preserve"> (Division) received a complaint alleging that Pryme was marketing </w:t>
      </w:r>
      <w:r w:rsidRPr="0045707A" w:rsidR="006F7457">
        <w:t>unauthorized</w:t>
      </w:r>
      <w:r w:rsidRPr="0045707A" w:rsidR="00AD6211">
        <w:t xml:space="preserve"> intentional radiators</w:t>
      </w:r>
      <w:r>
        <w:rPr>
          <w:rStyle w:val="FootnoteReference"/>
          <w:sz w:val="22"/>
        </w:rPr>
        <w:footnoteReference w:id="13"/>
      </w:r>
      <w:r w:rsidRPr="0045707A" w:rsidR="00AD6211">
        <w:t xml:space="preserve"> in violation of the Commission’s equipment authorization and labeling requirements. </w:t>
      </w:r>
      <w:r w:rsidRPr="0045707A" w:rsidR="002B3299">
        <w:t xml:space="preserve"> </w:t>
      </w:r>
      <w:bookmarkStart w:id="8" w:name="_Hlk56157297"/>
      <w:r w:rsidRPr="0045707A" w:rsidR="00AD6211">
        <w:t xml:space="preserve">The complaint identified </w:t>
      </w:r>
      <w:r w:rsidR="0070184C">
        <w:t xml:space="preserve">eight </w:t>
      </w:r>
      <w:r w:rsidRPr="0045707A">
        <w:t xml:space="preserve">allegedly noncompliant </w:t>
      </w:r>
      <w:r w:rsidRPr="0045707A" w:rsidR="00AD6211">
        <w:t>wireless Bluetooth</w:t>
      </w:r>
      <w:r w:rsidRPr="0045707A" w:rsidR="008E0A6E">
        <w:t>-</w:t>
      </w:r>
      <w:r w:rsidRPr="0045707A" w:rsidR="00AD6211">
        <w:t>enabled communications devices</w:t>
      </w:r>
      <w:bookmarkEnd w:id="8"/>
      <w:r w:rsidRPr="0045707A" w:rsidR="00AD6211">
        <w:t>, specifically models BTH-600</w:t>
      </w:r>
      <w:r w:rsidRPr="0045707A" w:rsidR="00E454F5">
        <w:t xml:space="preserve"> (</w:t>
      </w:r>
      <w:r w:rsidRPr="0045707A" w:rsidR="00083B8B">
        <w:t>wireless speaker microphone)</w:t>
      </w:r>
      <w:r w:rsidRPr="0045707A" w:rsidR="00AD6211">
        <w:t>, BTH-500</w:t>
      </w:r>
      <w:r w:rsidRPr="0045707A" w:rsidR="00083B8B">
        <w:t xml:space="preserve"> (wireless speaker microphone)</w:t>
      </w:r>
      <w:r w:rsidRPr="0045707A" w:rsidR="00AD6211">
        <w:t>, BTH-300</w:t>
      </w:r>
      <w:r w:rsidRPr="0045707A" w:rsidR="00083B8B">
        <w:t xml:space="preserve"> (wireless lapel microphone kit)</w:t>
      </w:r>
      <w:r w:rsidRPr="0045707A" w:rsidR="00AD6211">
        <w:t>, BT-PTT-</w:t>
      </w:r>
      <w:r w:rsidRPr="0045707A" w:rsidR="00D8343D">
        <w:t>U</w:t>
      </w:r>
      <w:r w:rsidRPr="0045707A" w:rsidR="00083B8B">
        <w:t xml:space="preserve"> (mini wireless push-to-talk button)</w:t>
      </w:r>
      <w:r w:rsidRPr="0045707A" w:rsidR="00D8343D">
        <w:t xml:space="preserve">, </w:t>
      </w:r>
      <w:r w:rsidRPr="0045707A" w:rsidR="003D76AE">
        <w:t>BT-PTT-Z</w:t>
      </w:r>
      <w:r w:rsidRPr="0045707A" w:rsidR="00083B8B">
        <w:t xml:space="preserve"> (mini wireless push-to-talk button)</w:t>
      </w:r>
      <w:r w:rsidRPr="0045707A" w:rsidR="003D76AE">
        <w:t xml:space="preserve">, </w:t>
      </w:r>
      <w:r w:rsidRPr="0045707A" w:rsidR="00D8343D">
        <w:t>BT-PTT-ZU</w:t>
      </w:r>
      <w:r w:rsidRPr="0045707A" w:rsidR="00083B8B">
        <w:t xml:space="preserve"> (strap mini wireless push-to-talk button)</w:t>
      </w:r>
      <w:r w:rsidRPr="0045707A" w:rsidR="00D8343D">
        <w:t>, BT-PTT-M</w:t>
      </w:r>
      <w:r w:rsidRPr="0045707A" w:rsidR="00083B8B">
        <w:t xml:space="preserve"> (push-to-talk button for use with Zello push-to-talk app)</w:t>
      </w:r>
      <w:r w:rsidRPr="0045707A" w:rsidR="00D8343D">
        <w:t>, and BT-PTT2</w:t>
      </w:r>
      <w:r w:rsidRPr="0045707A" w:rsidR="00083B8B">
        <w:t xml:space="preserve"> (wireless push-to-talk switch)</w:t>
      </w:r>
      <w:r w:rsidRPr="0045707A" w:rsidR="00D8343D">
        <w:t>.</w:t>
      </w:r>
      <w:r w:rsidRPr="0045707A">
        <w:t xml:space="preserve">  </w:t>
      </w:r>
      <w:r w:rsidRPr="0045707A" w:rsidR="00D8343D">
        <w:t>On April 18</w:t>
      </w:r>
      <w:r w:rsidRPr="0045707A" w:rsidR="008820D7">
        <w:t>,</w:t>
      </w:r>
      <w:r w:rsidRPr="0045707A" w:rsidR="00D8343D">
        <w:t xml:space="preserve"> 2019, the Division </w:t>
      </w:r>
      <w:r w:rsidRPr="0045707A" w:rsidR="00783D94">
        <w:t>sent</w:t>
      </w:r>
      <w:r w:rsidRPr="0045707A" w:rsidR="00D8343D">
        <w:t xml:space="preserve"> a letter of inquiry (LOI) to Pryme</w:t>
      </w:r>
      <w:r w:rsidRPr="0045707A" w:rsidR="00CC3CFE">
        <w:t xml:space="preserve"> directing </w:t>
      </w:r>
      <w:r w:rsidRPr="0045707A" w:rsidR="006F7457">
        <w:t>it</w:t>
      </w:r>
      <w:r w:rsidRPr="0045707A" w:rsidR="00CC3CFE">
        <w:t xml:space="preserve"> to provide equipment authorization information and documents related to the models identified in the complaint.</w:t>
      </w:r>
      <w:r>
        <w:rPr>
          <w:rStyle w:val="FootnoteReference"/>
          <w:sz w:val="22"/>
        </w:rPr>
        <w:footnoteReference w:id="14"/>
      </w:r>
      <w:r w:rsidRPr="0045707A" w:rsidR="00CC3CFE">
        <w:t xml:space="preserve"> </w:t>
      </w:r>
      <w:r w:rsidRPr="0045707A" w:rsidR="0029116D">
        <w:t xml:space="preserve"> </w:t>
      </w:r>
      <w:r w:rsidRPr="00C733B7">
        <w:t xml:space="preserve">Pryme responded to the LOI on May 28, </w:t>
      </w:r>
      <w:r w:rsidRPr="0095507B">
        <w:t>2019</w:t>
      </w:r>
      <w:r w:rsidRPr="00C733B7">
        <w:t>.</w:t>
      </w:r>
      <w:r>
        <w:rPr>
          <w:rStyle w:val="FootnoteReference"/>
          <w:sz w:val="22"/>
        </w:rPr>
        <w:footnoteReference w:id="15"/>
      </w:r>
      <w:r w:rsidRPr="00C733B7">
        <w:t xml:space="preserve">  </w:t>
      </w:r>
    </w:p>
    <w:p w:rsidR="00857078" w:rsidP="005F1C5D" w14:paraId="7D4642A0" w14:textId="5C80D13E">
      <w:pPr>
        <w:pStyle w:val="ParaNum"/>
        <w:widowControl/>
      </w:pPr>
      <w:r>
        <w:t>Pryme acknowledged that it marketed each of the eight models identified in the LOI.  T</w:t>
      </w:r>
      <w:r w:rsidRPr="0045707A" w:rsidR="00CC3CFE">
        <w:t xml:space="preserve">he Company provided the dates on which each </w:t>
      </w:r>
      <w:r w:rsidRPr="0045707A" w:rsidR="008226BB">
        <w:t xml:space="preserve">subject </w:t>
      </w:r>
      <w:r w:rsidRPr="0045707A" w:rsidR="00CC3CFE">
        <w:t xml:space="preserve">model was </w:t>
      </w:r>
      <w:r w:rsidRPr="0045707A" w:rsidR="006F7457">
        <w:t>authorized</w:t>
      </w:r>
      <w:r w:rsidRPr="0045707A" w:rsidR="00CC3CFE">
        <w:t xml:space="preserve"> pursuant to</w:t>
      </w:r>
      <w:r w:rsidRPr="0045707A" w:rsidR="006F7457">
        <w:t xml:space="preserve"> the</w:t>
      </w:r>
      <w:r w:rsidRPr="0045707A" w:rsidR="00CC3CFE">
        <w:t xml:space="preserve"> Commission</w:t>
      </w:r>
      <w:r w:rsidRPr="0045707A" w:rsidR="006F7457">
        <w:t>’s</w:t>
      </w:r>
      <w:r w:rsidRPr="0045707A" w:rsidR="00CC3CFE">
        <w:t xml:space="preserve"> </w:t>
      </w:r>
      <w:r w:rsidRPr="0045707A" w:rsidR="00CC3CFE">
        <w:t>rules</w:t>
      </w:r>
      <w:r w:rsidRPr="0045707A" w:rsidR="001A7621">
        <w:t>,</w:t>
      </w:r>
      <w:r>
        <w:rPr>
          <w:rStyle w:val="FootnoteReference"/>
        </w:rPr>
        <w:footnoteReference w:id="16"/>
      </w:r>
      <w:r w:rsidRPr="0045707A" w:rsidR="001A7621">
        <w:t xml:space="preserve"> and the </w:t>
      </w:r>
      <w:r w:rsidRPr="0045707A" w:rsidR="00CC3CFE">
        <w:t>dates on which it began marketing those models.</w:t>
      </w:r>
      <w:r>
        <w:rPr>
          <w:rStyle w:val="FootnoteReference"/>
        </w:rPr>
        <w:footnoteReference w:id="17"/>
      </w:r>
      <w:r w:rsidR="00295DBF">
        <w:t xml:space="preserve">  The dates are provided in the table below. </w:t>
      </w:r>
      <w:r w:rsidRPr="0045707A" w:rsidR="00CC3CFE">
        <w:t xml:space="preserve"> </w:t>
      </w:r>
      <w:r w:rsidRPr="0045707A" w:rsidR="008E0A6E">
        <w:t xml:space="preserve"> </w:t>
      </w:r>
    </w:p>
    <w:tbl>
      <w:tblPr>
        <w:tblStyle w:val="TableGrid"/>
        <w:tblW w:w="0" w:type="auto"/>
        <w:tblLook w:val="04A0"/>
      </w:tblPr>
      <w:tblGrid>
        <w:gridCol w:w="3116"/>
        <w:gridCol w:w="3117"/>
        <w:gridCol w:w="3117"/>
      </w:tblGrid>
      <w:tr w14:paraId="171A2132" w14:textId="77777777" w:rsidTr="00857078">
        <w:tblPrEx>
          <w:tblW w:w="0" w:type="auto"/>
          <w:tblLook w:val="04A0"/>
        </w:tblPrEx>
        <w:tc>
          <w:tcPr>
            <w:tcW w:w="3116" w:type="dxa"/>
          </w:tcPr>
          <w:p w:rsidR="00857078" w:rsidRPr="00857078" w:rsidP="0095507B" w14:paraId="155570D5" w14:textId="19C202D5">
            <w:pPr>
              <w:pStyle w:val="ParaNum"/>
              <w:numPr>
                <w:ilvl w:val="0"/>
                <w:numId w:val="0"/>
              </w:numPr>
              <w:jc w:val="center"/>
              <w:rPr>
                <w:u w:val="single"/>
              </w:rPr>
            </w:pPr>
            <w:r w:rsidRPr="00857078">
              <w:rPr>
                <w:u w:val="single"/>
              </w:rPr>
              <w:t>Model No.</w:t>
            </w:r>
          </w:p>
        </w:tc>
        <w:tc>
          <w:tcPr>
            <w:tcW w:w="3117" w:type="dxa"/>
          </w:tcPr>
          <w:p w:rsidR="00857078" w:rsidRPr="00857078" w:rsidP="0095507B" w14:paraId="09D64711" w14:textId="44883CDC">
            <w:pPr>
              <w:pStyle w:val="ParaNum"/>
              <w:numPr>
                <w:ilvl w:val="0"/>
                <w:numId w:val="0"/>
              </w:numPr>
              <w:jc w:val="center"/>
              <w:rPr>
                <w:u w:val="single"/>
              </w:rPr>
            </w:pPr>
            <w:r w:rsidRPr="00857078">
              <w:rPr>
                <w:u w:val="single"/>
              </w:rPr>
              <w:t>Date Marketing Began</w:t>
            </w:r>
          </w:p>
        </w:tc>
        <w:tc>
          <w:tcPr>
            <w:tcW w:w="3117" w:type="dxa"/>
          </w:tcPr>
          <w:p w:rsidR="00857078" w:rsidRPr="00857078" w:rsidP="0095507B" w14:paraId="7C7106AD" w14:textId="0B8482C9">
            <w:pPr>
              <w:pStyle w:val="ParaNum"/>
              <w:numPr>
                <w:ilvl w:val="0"/>
                <w:numId w:val="0"/>
              </w:numPr>
              <w:ind w:left="720"/>
              <w:rPr>
                <w:u w:val="single"/>
              </w:rPr>
            </w:pPr>
            <w:r w:rsidRPr="00857078">
              <w:rPr>
                <w:u w:val="single"/>
              </w:rPr>
              <w:t>Date of Authorization</w:t>
            </w:r>
          </w:p>
        </w:tc>
      </w:tr>
      <w:tr w14:paraId="4077EBC6" w14:textId="77777777" w:rsidTr="00857078">
        <w:tblPrEx>
          <w:tblW w:w="0" w:type="auto"/>
          <w:tblLook w:val="04A0"/>
        </w:tblPrEx>
        <w:tc>
          <w:tcPr>
            <w:tcW w:w="3116" w:type="dxa"/>
          </w:tcPr>
          <w:p w:rsidR="00857078" w:rsidP="0095507B" w14:paraId="607848DD" w14:textId="0DAFC5F8">
            <w:pPr>
              <w:pStyle w:val="ParaNum"/>
              <w:numPr>
                <w:ilvl w:val="0"/>
                <w:numId w:val="0"/>
              </w:numPr>
            </w:pPr>
            <w:r>
              <w:t>BTH-600</w:t>
            </w:r>
          </w:p>
        </w:tc>
        <w:tc>
          <w:tcPr>
            <w:tcW w:w="3117" w:type="dxa"/>
          </w:tcPr>
          <w:p w:rsidR="00857078" w:rsidP="0095507B" w14:paraId="01902DFD" w14:textId="6F2EEE2C">
            <w:pPr>
              <w:pStyle w:val="ParaNum"/>
              <w:numPr>
                <w:ilvl w:val="0"/>
                <w:numId w:val="0"/>
              </w:numPr>
            </w:pPr>
            <w:r>
              <w:t>September 2017</w:t>
            </w:r>
          </w:p>
        </w:tc>
        <w:tc>
          <w:tcPr>
            <w:tcW w:w="3117" w:type="dxa"/>
          </w:tcPr>
          <w:p w:rsidR="00857078" w:rsidP="0095507B" w14:paraId="13410560" w14:textId="55111245">
            <w:pPr>
              <w:pStyle w:val="ParaNum"/>
              <w:numPr>
                <w:ilvl w:val="0"/>
                <w:numId w:val="0"/>
              </w:numPr>
            </w:pPr>
            <w:r>
              <w:t>January 23, 2019</w:t>
            </w:r>
          </w:p>
        </w:tc>
      </w:tr>
      <w:tr w14:paraId="01045405" w14:textId="77777777" w:rsidTr="00857078">
        <w:tblPrEx>
          <w:tblW w:w="0" w:type="auto"/>
          <w:tblLook w:val="04A0"/>
        </w:tblPrEx>
        <w:tc>
          <w:tcPr>
            <w:tcW w:w="3116" w:type="dxa"/>
          </w:tcPr>
          <w:p w:rsidR="00857078" w:rsidP="0095507B" w14:paraId="539CDD3D" w14:textId="3086D0EF">
            <w:pPr>
              <w:pStyle w:val="ParaNum"/>
              <w:numPr>
                <w:ilvl w:val="0"/>
                <w:numId w:val="0"/>
              </w:numPr>
            </w:pPr>
            <w:r>
              <w:t>BTH-500</w:t>
            </w:r>
          </w:p>
        </w:tc>
        <w:tc>
          <w:tcPr>
            <w:tcW w:w="3117" w:type="dxa"/>
          </w:tcPr>
          <w:p w:rsidR="00857078" w:rsidP="0095507B" w14:paraId="43E04846" w14:textId="58B9580A">
            <w:pPr>
              <w:pStyle w:val="ParaNum"/>
              <w:numPr>
                <w:ilvl w:val="0"/>
                <w:numId w:val="0"/>
              </w:numPr>
            </w:pPr>
            <w:r>
              <w:t>March 2017</w:t>
            </w:r>
          </w:p>
        </w:tc>
        <w:tc>
          <w:tcPr>
            <w:tcW w:w="3117" w:type="dxa"/>
          </w:tcPr>
          <w:p w:rsidR="00857078" w:rsidP="0095507B" w14:paraId="0E417A7A" w14:textId="169136CD">
            <w:pPr>
              <w:pStyle w:val="ParaNum"/>
              <w:numPr>
                <w:ilvl w:val="0"/>
                <w:numId w:val="0"/>
              </w:numPr>
            </w:pPr>
            <w:r>
              <w:t>May 28, 2017</w:t>
            </w:r>
          </w:p>
        </w:tc>
      </w:tr>
      <w:tr w14:paraId="44F527D0" w14:textId="77777777" w:rsidTr="00857078">
        <w:tblPrEx>
          <w:tblW w:w="0" w:type="auto"/>
          <w:tblLook w:val="04A0"/>
        </w:tblPrEx>
        <w:tc>
          <w:tcPr>
            <w:tcW w:w="3116" w:type="dxa"/>
          </w:tcPr>
          <w:p w:rsidR="00857078" w:rsidP="0095507B" w14:paraId="30B49AA4" w14:textId="291746F9">
            <w:pPr>
              <w:pStyle w:val="ParaNum"/>
              <w:numPr>
                <w:ilvl w:val="0"/>
                <w:numId w:val="0"/>
              </w:numPr>
            </w:pPr>
            <w:r>
              <w:t>BTH-300</w:t>
            </w:r>
          </w:p>
        </w:tc>
        <w:tc>
          <w:tcPr>
            <w:tcW w:w="3117" w:type="dxa"/>
          </w:tcPr>
          <w:p w:rsidR="00857078" w:rsidP="0095507B" w14:paraId="1B9D4E56" w14:textId="02DA8C7C">
            <w:pPr>
              <w:pStyle w:val="ParaNum"/>
              <w:numPr>
                <w:ilvl w:val="0"/>
                <w:numId w:val="0"/>
              </w:numPr>
            </w:pPr>
            <w:r>
              <w:t>January 2016</w:t>
            </w:r>
          </w:p>
        </w:tc>
        <w:tc>
          <w:tcPr>
            <w:tcW w:w="3117" w:type="dxa"/>
          </w:tcPr>
          <w:p w:rsidR="00857078" w:rsidP="0095507B" w14:paraId="7CD2FB07" w14:textId="6785D4FA">
            <w:pPr>
              <w:pStyle w:val="ParaNum"/>
              <w:numPr>
                <w:ilvl w:val="0"/>
                <w:numId w:val="0"/>
              </w:numPr>
            </w:pPr>
            <w:r>
              <w:t>September 1, 2015</w:t>
            </w:r>
            <w:r>
              <w:rPr>
                <w:rStyle w:val="FootnoteReference"/>
              </w:rPr>
              <w:footnoteReference w:id="18"/>
            </w:r>
          </w:p>
        </w:tc>
      </w:tr>
      <w:tr w14:paraId="1783F606" w14:textId="77777777" w:rsidTr="00857078">
        <w:tblPrEx>
          <w:tblW w:w="0" w:type="auto"/>
          <w:tblLook w:val="04A0"/>
        </w:tblPrEx>
        <w:tc>
          <w:tcPr>
            <w:tcW w:w="3116" w:type="dxa"/>
          </w:tcPr>
          <w:p w:rsidR="00857078" w:rsidP="0095507B" w14:paraId="1E17F20D" w14:textId="626C0DBE">
            <w:pPr>
              <w:pStyle w:val="ParaNum"/>
              <w:numPr>
                <w:ilvl w:val="0"/>
                <w:numId w:val="0"/>
              </w:numPr>
            </w:pPr>
            <w:r>
              <w:t>BT-PTT-U</w:t>
            </w:r>
          </w:p>
        </w:tc>
        <w:tc>
          <w:tcPr>
            <w:tcW w:w="3117" w:type="dxa"/>
          </w:tcPr>
          <w:p w:rsidR="00857078" w:rsidP="0095507B" w14:paraId="17AD92FA" w14:textId="51951C7D">
            <w:pPr>
              <w:pStyle w:val="ParaNum"/>
              <w:numPr>
                <w:ilvl w:val="0"/>
                <w:numId w:val="0"/>
              </w:numPr>
            </w:pPr>
            <w:r>
              <w:t>December 2016</w:t>
            </w:r>
          </w:p>
        </w:tc>
        <w:tc>
          <w:tcPr>
            <w:tcW w:w="3117" w:type="dxa"/>
          </w:tcPr>
          <w:p w:rsidR="00857078" w:rsidP="0095507B" w14:paraId="78EC2CEA" w14:textId="095B55D8">
            <w:pPr>
              <w:pStyle w:val="ParaNum"/>
              <w:numPr>
                <w:ilvl w:val="0"/>
                <w:numId w:val="0"/>
              </w:numPr>
            </w:pPr>
            <w:r>
              <w:t>May 28, 2017</w:t>
            </w:r>
          </w:p>
        </w:tc>
      </w:tr>
      <w:tr w14:paraId="0465992F" w14:textId="77777777" w:rsidTr="00857078">
        <w:tblPrEx>
          <w:tblW w:w="0" w:type="auto"/>
          <w:tblLook w:val="04A0"/>
        </w:tblPrEx>
        <w:tc>
          <w:tcPr>
            <w:tcW w:w="3116" w:type="dxa"/>
          </w:tcPr>
          <w:p w:rsidR="00857078" w:rsidP="0095507B" w14:paraId="3C81FA5A" w14:textId="64B5C0B1">
            <w:pPr>
              <w:pStyle w:val="ParaNum"/>
              <w:numPr>
                <w:ilvl w:val="0"/>
                <w:numId w:val="0"/>
              </w:numPr>
            </w:pPr>
            <w:r>
              <w:t>BT-PTT-Z</w:t>
            </w:r>
          </w:p>
        </w:tc>
        <w:tc>
          <w:tcPr>
            <w:tcW w:w="3117" w:type="dxa"/>
          </w:tcPr>
          <w:p w:rsidR="00857078" w:rsidP="0095507B" w14:paraId="616E350C" w14:textId="7D9CE8E7">
            <w:pPr>
              <w:pStyle w:val="ParaNum"/>
              <w:numPr>
                <w:ilvl w:val="0"/>
                <w:numId w:val="0"/>
              </w:numPr>
            </w:pPr>
            <w:r>
              <w:t>December 2016</w:t>
            </w:r>
          </w:p>
        </w:tc>
        <w:tc>
          <w:tcPr>
            <w:tcW w:w="3117" w:type="dxa"/>
          </w:tcPr>
          <w:p w:rsidR="00857078" w:rsidP="0095507B" w14:paraId="5BF5EBD8" w14:textId="7D85B6C5">
            <w:pPr>
              <w:pStyle w:val="ParaNum"/>
              <w:numPr>
                <w:ilvl w:val="0"/>
                <w:numId w:val="0"/>
              </w:numPr>
            </w:pPr>
            <w:r>
              <w:t>May 28, 2017</w:t>
            </w:r>
          </w:p>
        </w:tc>
      </w:tr>
      <w:tr w14:paraId="363AA77F" w14:textId="77777777" w:rsidTr="00857078">
        <w:tblPrEx>
          <w:tblW w:w="0" w:type="auto"/>
          <w:tblLook w:val="04A0"/>
        </w:tblPrEx>
        <w:tc>
          <w:tcPr>
            <w:tcW w:w="3116" w:type="dxa"/>
          </w:tcPr>
          <w:p w:rsidR="00857078" w:rsidP="0095507B" w14:paraId="48B26023" w14:textId="727475E3">
            <w:pPr>
              <w:pStyle w:val="ParaNum"/>
              <w:numPr>
                <w:ilvl w:val="0"/>
                <w:numId w:val="0"/>
              </w:numPr>
            </w:pPr>
            <w:r>
              <w:t>BT-PTT-ZU</w:t>
            </w:r>
          </w:p>
        </w:tc>
        <w:tc>
          <w:tcPr>
            <w:tcW w:w="3117" w:type="dxa"/>
          </w:tcPr>
          <w:p w:rsidR="00857078" w:rsidP="0095507B" w14:paraId="7E1F042A" w14:textId="5962D303">
            <w:pPr>
              <w:pStyle w:val="ParaNum"/>
              <w:numPr>
                <w:ilvl w:val="0"/>
                <w:numId w:val="0"/>
              </w:numPr>
            </w:pPr>
            <w:r>
              <w:t>December 2016</w:t>
            </w:r>
          </w:p>
        </w:tc>
        <w:tc>
          <w:tcPr>
            <w:tcW w:w="3117" w:type="dxa"/>
          </w:tcPr>
          <w:p w:rsidR="00857078" w:rsidP="0095507B" w14:paraId="06EFBD37" w14:textId="20627D54">
            <w:pPr>
              <w:pStyle w:val="ParaNum"/>
              <w:numPr>
                <w:ilvl w:val="0"/>
                <w:numId w:val="0"/>
              </w:numPr>
            </w:pPr>
            <w:r>
              <w:t>May 28, 2017</w:t>
            </w:r>
          </w:p>
        </w:tc>
      </w:tr>
      <w:tr w14:paraId="7CC3F46C" w14:textId="77777777" w:rsidTr="00857078">
        <w:tblPrEx>
          <w:tblW w:w="0" w:type="auto"/>
          <w:tblLook w:val="04A0"/>
        </w:tblPrEx>
        <w:tc>
          <w:tcPr>
            <w:tcW w:w="3116" w:type="dxa"/>
          </w:tcPr>
          <w:p w:rsidR="00857078" w:rsidP="0095507B" w14:paraId="033875AD" w14:textId="061B7D40">
            <w:pPr>
              <w:pStyle w:val="ParaNum"/>
              <w:numPr>
                <w:ilvl w:val="0"/>
                <w:numId w:val="0"/>
              </w:numPr>
            </w:pPr>
            <w:r>
              <w:t>BT-PTT-M</w:t>
            </w:r>
          </w:p>
        </w:tc>
        <w:tc>
          <w:tcPr>
            <w:tcW w:w="3117" w:type="dxa"/>
          </w:tcPr>
          <w:p w:rsidR="00857078" w:rsidP="0095507B" w14:paraId="28072CB7" w14:textId="431F1287">
            <w:pPr>
              <w:pStyle w:val="ParaNum"/>
              <w:numPr>
                <w:ilvl w:val="0"/>
                <w:numId w:val="0"/>
              </w:numPr>
            </w:pPr>
            <w:r>
              <w:t>December 2016</w:t>
            </w:r>
          </w:p>
        </w:tc>
        <w:tc>
          <w:tcPr>
            <w:tcW w:w="3117" w:type="dxa"/>
          </w:tcPr>
          <w:p w:rsidR="00857078" w:rsidP="0095507B" w14:paraId="364B2B2B" w14:textId="352B6DA8">
            <w:pPr>
              <w:pStyle w:val="ParaNum"/>
              <w:numPr>
                <w:ilvl w:val="0"/>
                <w:numId w:val="0"/>
              </w:numPr>
            </w:pPr>
            <w:r>
              <w:t>May 28, 2017</w:t>
            </w:r>
          </w:p>
        </w:tc>
      </w:tr>
      <w:tr w14:paraId="49328127" w14:textId="77777777" w:rsidTr="00857078">
        <w:tblPrEx>
          <w:tblW w:w="0" w:type="auto"/>
          <w:tblLook w:val="04A0"/>
        </w:tblPrEx>
        <w:tc>
          <w:tcPr>
            <w:tcW w:w="3116" w:type="dxa"/>
          </w:tcPr>
          <w:p w:rsidR="00857078" w:rsidP="0095507B" w14:paraId="0484D158" w14:textId="49A69FB5">
            <w:pPr>
              <w:pStyle w:val="ParaNum"/>
              <w:numPr>
                <w:ilvl w:val="0"/>
                <w:numId w:val="0"/>
              </w:numPr>
            </w:pPr>
            <w:r>
              <w:t>BT-PTT2</w:t>
            </w:r>
          </w:p>
        </w:tc>
        <w:tc>
          <w:tcPr>
            <w:tcW w:w="3117" w:type="dxa"/>
          </w:tcPr>
          <w:p w:rsidR="00857078" w:rsidP="0095507B" w14:paraId="765FC50D" w14:textId="4610DCCC">
            <w:pPr>
              <w:pStyle w:val="ParaNum"/>
              <w:numPr>
                <w:ilvl w:val="0"/>
                <w:numId w:val="0"/>
              </w:numPr>
            </w:pPr>
            <w:r>
              <w:t>March 2015</w:t>
            </w:r>
          </w:p>
        </w:tc>
        <w:tc>
          <w:tcPr>
            <w:tcW w:w="3117" w:type="dxa"/>
          </w:tcPr>
          <w:p w:rsidR="00857078" w:rsidP="0095507B" w14:paraId="53178ABE" w14:textId="25A48D6C">
            <w:pPr>
              <w:pStyle w:val="ParaNum"/>
              <w:numPr>
                <w:ilvl w:val="0"/>
                <w:numId w:val="0"/>
              </w:numPr>
            </w:pPr>
            <w:r>
              <w:t>May 18, 2012</w:t>
            </w:r>
            <w:r>
              <w:rPr>
                <w:rStyle w:val="FootnoteReference"/>
              </w:rPr>
              <w:footnoteReference w:id="19"/>
            </w:r>
          </w:p>
        </w:tc>
      </w:tr>
    </w:tbl>
    <w:p w:rsidR="00C00002" w:rsidP="0095507B" w14:paraId="33CDF106" w14:textId="77777777">
      <w:pPr>
        <w:pStyle w:val="ParaNum"/>
        <w:numPr>
          <w:ilvl w:val="0"/>
          <w:numId w:val="0"/>
        </w:numPr>
        <w:ind w:left="720"/>
      </w:pPr>
    </w:p>
    <w:p w:rsidR="0014055B" w:rsidP="0095507B" w14:paraId="466F7BC4" w14:textId="766AF167">
      <w:pPr>
        <w:pStyle w:val="ParaNum"/>
      </w:pPr>
      <w:r>
        <w:t>The Company admitted that it marketed two models—BTH-600 and BTH-500—before receiving FCC authorization because it mistakenly believed that authorizations had been acquired by the manufacturer at the time it began marketing those devices.</w:t>
      </w:r>
      <w:r>
        <w:rPr>
          <w:rStyle w:val="FootnoteReference"/>
        </w:rPr>
        <w:footnoteReference w:id="20"/>
      </w:r>
      <w:r>
        <w:t xml:space="preserve">  </w:t>
      </w:r>
      <w:r w:rsidR="0070184C">
        <w:t xml:space="preserve">The </w:t>
      </w:r>
      <w:r w:rsidRPr="0045707A" w:rsidR="00535EBC">
        <w:t xml:space="preserve">Company </w:t>
      </w:r>
      <w:r w:rsidR="0070184C">
        <w:t xml:space="preserve">also </w:t>
      </w:r>
      <w:r w:rsidRPr="0045707A" w:rsidR="00807A16">
        <w:t>admitted</w:t>
      </w:r>
      <w:r w:rsidRPr="0045707A" w:rsidR="00535EBC">
        <w:t xml:space="preserve"> that </w:t>
      </w:r>
      <w:r w:rsidR="0070184C">
        <w:t>all eight</w:t>
      </w:r>
      <w:r w:rsidR="0045707A">
        <w:t xml:space="preserve"> models </w:t>
      </w:r>
      <w:r w:rsidR="0070184C">
        <w:t xml:space="preserve">at issue </w:t>
      </w:r>
      <w:r w:rsidR="0045707A">
        <w:t xml:space="preserve">lacked the labels required </w:t>
      </w:r>
      <w:r w:rsidRPr="0045707A" w:rsidR="00535EBC">
        <w:t xml:space="preserve">under </w:t>
      </w:r>
      <w:r w:rsidR="0045707A">
        <w:t>section 1</w:t>
      </w:r>
      <w:r w:rsidRPr="0045707A" w:rsidR="00535EBC">
        <w:t>5.19</w:t>
      </w:r>
      <w:r w:rsidR="0045707A">
        <w:t xml:space="preserve"> of the Commission’s rules</w:t>
      </w:r>
      <w:r w:rsidRPr="0045707A" w:rsidR="00535EBC">
        <w:t>.</w:t>
      </w:r>
      <w:r>
        <w:rPr>
          <w:rStyle w:val="FootnoteReference"/>
          <w:sz w:val="22"/>
        </w:rPr>
        <w:footnoteReference w:id="21"/>
      </w:r>
      <w:r w:rsidRPr="0045707A" w:rsidR="00535EBC">
        <w:t xml:space="preserve"> </w:t>
      </w:r>
      <w:r w:rsidRPr="0045707A" w:rsidR="00E916DD">
        <w:t xml:space="preserve"> </w:t>
      </w:r>
      <w:r w:rsidRPr="0045707A" w:rsidR="00807A16">
        <w:t>Specifically, w</w:t>
      </w:r>
      <w:r w:rsidRPr="0045707A" w:rsidR="00535EBC">
        <w:t xml:space="preserve">hile Pryme had included the information required by </w:t>
      </w:r>
      <w:r w:rsidRPr="0045707A" w:rsidR="00925F9A">
        <w:t>s</w:t>
      </w:r>
      <w:r w:rsidRPr="0045707A" w:rsidR="00535EBC">
        <w:t>ection 15.19</w:t>
      </w:r>
      <w:r w:rsidRPr="0045707A" w:rsidR="00A96073">
        <w:t>(a)(3)</w:t>
      </w:r>
      <w:r>
        <w:rPr>
          <w:rStyle w:val="FootnoteReference"/>
          <w:sz w:val="22"/>
        </w:rPr>
        <w:footnoteReference w:id="22"/>
      </w:r>
      <w:r w:rsidRPr="0045707A" w:rsidR="00535EBC">
        <w:t xml:space="preserve"> in the user manual </w:t>
      </w:r>
      <w:r w:rsidRPr="0045707A" w:rsidR="00525537">
        <w:t xml:space="preserve">for each model, </w:t>
      </w:r>
      <w:r w:rsidRPr="0045707A" w:rsidR="00535EBC">
        <w:t xml:space="preserve">it failed to also affix either a temporary label to the device or include the information on the device packaging as required by </w:t>
      </w:r>
      <w:r w:rsidRPr="0045707A" w:rsidR="00925F9A">
        <w:t>s</w:t>
      </w:r>
      <w:r w:rsidRPr="0045707A" w:rsidR="00535EBC">
        <w:t>ection 15.19(a)(5).</w:t>
      </w:r>
      <w:r>
        <w:rPr>
          <w:rStyle w:val="FootnoteReference"/>
          <w:sz w:val="22"/>
        </w:rPr>
        <w:footnoteReference w:id="23"/>
      </w:r>
      <w:r>
        <w:t xml:space="preserve"> </w:t>
      </w:r>
    </w:p>
    <w:p w:rsidR="00E12E5A" w:rsidRPr="00C71041" w:rsidP="0095507B" w14:paraId="652F42A1" w14:textId="7FBBEBD5">
      <w:pPr>
        <w:pStyle w:val="ParaNum"/>
      </w:pPr>
      <w:bookmarkStart w:id="9" w:name="_Hlk56156628"/>
      <w:bookmarkEnd w:id="7"/>
      <w:r w:rsidRPr="00C71041">
        <w:t>Pryme</w:t>
      </w:r>
      <w:r w:rsidRPr="00C71041" w:rsidR="0014055B">
        <w:t xml:space="preserve"> also </w:t>
      </w:r>
      <w:r w:rsidRPr="00C71041" w:rsidR="00775B05">
        <w:t xml:space="preserve">asserted </w:t>
      </w:r>
      <w:r w:rsidRPr="00C71041" w:rsidR="008756F2">
        <w:t xml:space="preserve">that it lawfully marketed models BT-PTT-M and BT-PTT2 because the devices had been properly authorized under the grant of certification for other similar models:  </w:t>
      </w:r>
      <w:r w:rsidRPr="00C71041" w:rsidR="00775B05">
        <w:t>BT-PTT-U</w:t>
      </w:r>
      <w:r w:rsidRPr="00C71041" w:rsidR="001C5223">
        <w:t xml:space="preserve"> (FCC ID: XTS-PTT-U)</w:t>
      </w:r>
      <w:r w:rsidR="00CF4C3A">
        <w:t xml:space="preserve"> and </w:t>
      </w:r>
      <w:r w:rsidRPr="00C71041" w:rsidR="00CF4C3A">
        <w:t>BT-PTT</w:t>
      </w:r>
      <w:r w:rsidR="00CF4C3A">
        <w:t>-</w:t>
      </w:r>
      <w:r w:rsidRPr="00C71041" w:rsidR="00CF4C3A">
        <w:t>1 (FCC ID: XTS-BT-PTT)</w:t>
      </w:r>
      <w:r w:rsidRPr="00C71041" w:rsidR="008756F2">
        <w:t>, respectively.</w:t>
      </w:r>
      <w:r>
        <w:rPr>
          <w:rStyle w:val="FootnoteReference"/>
        </w:rPr>
        <w:footnoteReference w:id="24"/>
      </w:r>
      <w:r w:rsidRPr="00C71041" w:rsidR="008756F2">
        <w:t xml:space="preserve">  However, </w:t>
      </w:r>
      <w:r w:rsidRPr="00C71041" w:rsidR="00775B05">
        <w:t xml:space="preserve">to alleviate any concerns that models BT-PTT-M and BT-PTT2 </w:t>
      </w:r>
      <w:r w:rsidRPr="00C71041" w:rsidR="00C71041">
        <w:t>were</w:t>
      </w:r>
      <w:r w:rsidRPr="00C71041" w:rsidR="00775B05">
        <w:t xml:space="preserve"> not electr</w:t>
      </w:r>
      <w:r w:rsidRPr="00C71041" w:rsidR="00F41816">
        <w:t>on</w:t>
      </w:r>
      <w:r w:rsidRPr="00C71041" w:rsidR="00775B05">
        <w:t xml:space="preserve">ically identical to models </w:t>
      </w:r>
      <w:r w:rsidRPr="00C71041" w:rsidR="00CF4C3A">
        <w:t>BT-PTT</w:t>
      </w:r>
      <w:r w:rsidR="00CF4C3A">
        <w:t>-U</w:t>
      </w:r>
      <w:r w:rsidRPr="00C71041" w:rsidR="00CF4C3A">
        <w:t xml:space="preserve"> and BT-PTT-</w:t>
      </w:r>
      <w:r w:rsidR="00CF4C3A">
        <w:t>1</w:t>
      </w:r>
      <w:r w:rsidRPr="00C71041" w:rsidR="00775B05">
        <w:t xml:space="preserve">, </w:t>
      </w:r>
      <w:r w:rsidR="00CF4C3A">
        <w:t>the Company</w:t>
      </w:r>
      <w:r w:rsidRPr="00C71041" w:rsidR="00775B05">
        <w:t xml:space="preserve"> </w:t>
      </w:r>
      <w:r w:rsidR="00CF4C3A">
        <w:t xml:space="preserve">had the manufacturer acquire </w:t>
      </w:r>
      <w:r w:rsidRPr="00C71041" w:rsidR="00603B91">
        <w:t>a</w:t>
      </w:r>
      <w:r w:rsidRPr="00C71041" w:rsidR="00775B05">
        <w:t xml:space="preserve"> new FCC </w:t>
      </w:r>
      <w:r w:rsidR="0041729A">
        <w:t>authorization</w:t>
      </w:r>
      <w:r w:rsidRPr="00C71041" w:rsidR="00775B05">
        <w:t xml:space="preserve"> for </w:t>
      </w:r>
      <w:r w:rsidRPr="00C71041" w:rsidR="00775B05">
        <w:t>model</w:t>
      </w:r>
      <w:r w:rsidRPr="00C71041" w:rsidR="00603B91">
        <w:t xml:space="preserve"> BT-PTT2 a</w:t>
      </w:r>
      <w:r w:rsidR="00CF4C3A">
        <w:t xml:space="preserve">nd </w:t>
      </w:r>
      <w:r w:rsidRPr="00C71041" w:rsidR="00603B91">
        <w:t xml:space="preserve">discontinued </w:t>
      </w:r>
      <w:r w:rsidRPr="00C71041" w:rsidR="00543C45">
        <w:t xml:space="preserve">marketing </w:t>
      </w:r>
      <w:r w:rsidRPr="00C71041" w:rsidR="00603B91">
        <w:t>model BT-PTT-M</w:t>
      </w:r>
      <w:r w:rsidRPr="00C71041" w:rsidR="00775B05">
        <w:t>.</w:t>
      </w:r>
      <w:r>
        <w:rPr>
          <w:rStyle w:val="FootnoteReference"/>
        </w:rPr>
        <w:footnoteReference w:id="25"/>
      </w:r>
      <w:r w:rsidRPr="00C71041" w:rsidR="00775B05">
        <w:t xml:space="preserve">  </w:t>
      </w:r>
      <w:r w:rsidR="00C71041">
        <w:t xml:space="preserve">The Company </w:t>
      </w:r>
      <w:r w:rsidR="00F62082">
        <w:t xml:space="preserve">also </w:t>
      </w:r>
      <w:r w:rsidR="00C71041">
        <w:t>noted</w:t>
      </w:r>
      <w:r w:rsidRPr="00C71041" w:rsidR="00C71041">
        <w:t xml:space="preserve"> that all models at issue were compliant with the section 2.925 identification requirements, except for models BT-PTT-M and PT-PTT2</w:t>
      </w:r>
      <w:r w:rsidRPr="00C71041" w:rsidR="00FD0A14">
        <w:t>.</w:t>
      </w:r>
      <w:r>
        <w:rPr>
          <w:rStyle w:val="FootnoteReference"/>
          <w:sz w:val="22"/>
        </w:rPr>
        <w:footnoteReference w:id="26"/>
      </w:r>
      <w:r w:rsidRPr="00C71041" w:rsidR="00FD0A14">
        <w:t xml:space="preserve"> </w:t>
      </w:r>
    </w:p>
    <w:p w:rsidR="000F7408" w:rsidRPr="00287ED1" w:rsidP="0095507B" w14:paraId="5AE6552F" w14:textId="67534E7A">
      <w:pPr>
        <w:pStyle w:val="ParaNum"/>
      </w:pPr>
      <w:r w:rsidRPr="00287ED1">
        <w:t xml:space="preserve">After receipt of the LOI, Pryme began taking steps to come into compliance with the Commission’s rules.  </w:t>
      </w:r>
      <w:r w:rsidRPr="00287ED1" w:rsidR="003C70B9">
        <w:t>Specifically, the</w:t>
      </w:r>
      <w:r w:rsidRPr="00287ED1">
        <w:t xml:space="preserve"> Company </w:t>
      </w:r>
      <w:r w:rsidR="00540AA8">
        <w:t>o</w:t>
      </w:r>
      <w:r w:rsidRPr="00287ED1">
        <w:t xml:space="preserve">btained a separate grant of </w:t>
      </w:r>
      <w:r w:rsidR="0041729A">
        <w:t>authorization</w:t>
      </w:r>
      <w:r w:rsidRPr="00287ED1">
        <w:t xml:space="preserve"> for model BT-PTT</w:t>
      </w:r>
      <w:r w:rsidR="0043344F">
        <w:t>-</w:t>
      </w:r>
      <w:r w:rsidRPr="00287ED1">
        <w:t>2</w:t>
      </w:r>
      <w:r>
        <w:rPr>
          <w:rStyle w:val="FootnoteReference"/>
          <w:sz w:val="22"/>
        </w:rPr>
        <w:footnoteReference w:id="27"/>
      </w:r>
      <w:r w:rsidRPr="00287ED1">
        <w:t xml:space="preserve"> and attach</w:t>
      </w:r>
      <w:r w:rsidR="00603B91">
        <w:t>ed</w:t>
      </w:r>
      <w:r w:rsidRPr="00287ED1">
        <w:t xml:space="preserve"> the FCC </w:t>
      </w:r>
      <w:r w:rsidR="004604BF">
        <w:t>i</w:t>
      </w:r>
      <w:r w:rsidRPr="00287ED1">
        <w:t xml:space="preserve">dentifier to </w:t>
      </w:r>
      <w:r w:rsidRPr="00287ED1" w:rsidR="00D727E1">
        <w:t>the model</w:t>
      </w:r>
      <w:r w:rsidRPr="00287ED1">
        <w:t xml:space="preserve"> </w:t>
      </w:r>
      <w:r w:rsidRPr="00287ED1" w:rsidR="00D727E1">
        <w:t xml:space="preserve">before </w:t>
      </w:r>
      <w:r w:rsidRPr="00287ED1">
        <w:t>resuming marketing.</w:t>
      </w:r>
      <w:r>
        <w:rPr>
          <w:rStyle w:val="FootnoteReference"/>
        </w:rPr>
        <w:footnoteReference w:id="28"/>
      </w:r>
      <w:r w:rsidRPr="00287ED1">
        <w:t xml:space="preserve">  </w:t>
      </w:r>
      <w:r w:rsidR="00540AA8">
        <w:t xml:space="preserve">The Company also ceased </w:t>
      </w:r>
      <w:r w:rsidR="00603B91">
        <w:t>marketing model BT-PTT-M on April 22, 2019</w:t>
      </w:r>
      <w:r w:rsidR="00540AA8">
        <w:t>.</w:t>
      </w:r>
      <w:r>
        <w:rPr>
          <w:rStyle w:val="FootnoteReference"/>
        </w:rPr>
        <w:footnoteReference w:id="29"/>
      </w:r>
      <w:r w:rsidR="006C5CCB">
        <w:t xml:space="preserve">  </w:t>
      </w:r>
      <w:r w:rsidRPr="00287ED1">
        <w:t xml:space="preserve">Pryme also asserts that, going forward, </w:t>
      </w:r>
      <w:r w:rsidR="00F62082">
        <w:t xml:space="preserve">all devices will be compliant with section 15.19, </w:t>
      </w:r>
      <w:r w:rsidRPr="00287ED1" w:rsidR="00F62082">
        <w:t xml:space="preserve">as it intends to include labeling information either on a removable label attached to </w:t>
      </w:r>
      <w:r w:rsidR="00F62082">
        <w:t>the</w:t>
      </w:r>
      <w:r w:rsidRPr="00287ED1" w:rsidR="00F62082">
        <w:t xml:space="preserve"> device or on the device</w:t>
      </w:r>
      <w:r w:rsidR="00F62082">
        <w:t>’s</w:t>
      </w:r>
      <w:r w:rsidRPr="00287ED1" w:rsidR="00F62082">
        <w:t xml:space="preserve"> packaging</w:t>
      </w:r>
      <w:r w:rsidR="00F62082">
        <w:t>.</w:t>
      </w:r>
      <w:r>
        <w:rPr>
          <w:rStyle w:val="FootnoteReference"/>
          <w:sz w:val="22"/>
        </w:rPr>
        <w:footnoteReference w:id="30"/>
      </w:r>
      <w:r w:rsidRPr="00287ED1" w:rsidR="003C70B9">
        <w:t xml:space="preserve"> </w:t>
      </w:r>
      <w:r w:rsidR="00F62082">
        <w:t xml:space="preserve"> Finally</w:t>
      </w:r>
      <w:r w:rsidRPr="00287ED1" w:rsidR="003C70B9">
        <w:t xml:space="preserve">, all devices will be reviewed by </w:t>
      </w:r>
      <w:r w:rsidRPr="00287ED1" w:rsidR="00004D7D">
        <w:t xml:space="preserve">Pryme’s </w:t>
      </w:r>
      <w:r w:rsidRPr="00287ED1" w:rsidR="003C70B9">
        <w:t>Chief Technologist to ensure compliance with the equipment authorization rules before marketing.</w:t>
      </w:r>
      <w:r>
        <w:rPr>
          <w:rStyle w:val="FootnoteReference"/>
        </w:rPr>
        <w:footnoteReference w:id="31"/>
      </w:r>
      <w:r w:rsidRPr="00287ED1" w:rsidR="003C70B9">
        <w:t xml:space="preserve">  </w:t>
      </w:r>
      <w:r w:rsidRPr="00287ED1">
        <w:t xml:space="preserve">  </w:t>
      </w:r>
    </w:p>
    <w:bookmarkEnd w:id="9"/>
    <w:p w:rsidR="0096675D" w:rsidRPr="00151901" w:rsidP="0095507B" w14:paraId="611C0F26" w14:textId="77777777">
      <w:pPr>
        <w:pStyle w:val="Heading1"/>
        <w:rPr>
          <w:rFonts w:ascii="Times New Roman" w:hAnsi="Times New Roman"/>
        </w:rPr>
      </w:pPr>
      <w:r w:rsidRPr="00151901">
        <w:rPr>
          <w:rFonts w:ascii="Times New Roman" w:hAnsi="Times New Roman"/>
        </w:rPr>
        <w:t xml:space="preserve">aPPLICABLE LAW </w:t>
      </w:r>
      <w:r w:rsidRPr="00151901" w:rsidR="00654D13">
        <w:rPr>
          <w:rFonts w:ascii="Times New Roman" w:hAnsi="Times New Roman"/>
        </w:rPr>
        <w:t>and violations</w:t>
      </w:r>
    </w:p>
    <w:p w:rsidR="00753BD2" w:rsidRPr="00EA5601" w:rsidP="0095507B" w14:paraId="0C7E1DE4" w14:textId="15D9D6CF">
      <w:pPr>
        <w:pStyle w:val="ParaNum"/>
      </w:pPr>
      <w:r w:rsidRPr="00151901">
        <w:t>Section 302 of the Act provides that “[n]o person shall manufacture, import, sell, offer for sale, or ship devices or home electronic equipment and systems, or use devices, which fail to comply with [Commission] regulations.”</w:t>
      </w:r>
      <w:r>
        <w:rPr>
          <w:vertAlign w:val="superscript"/>
        </w:rPr>
        <w:footnoteReference w:id="32"/>
      </w:r>
      <w:r w:rsidRPr="00151901">
        <w:t xml:space="preserve">  For devices requiring Commission </w:t>
      </w:r>
      <w:r w:rsidRPr="00151901" w:rsidR="00360A1D">
        <w:t>authorizatio</w:t>
      </w:r>
      <w:r w:rsidRPr="00151901">
        <w:t xml:space="preserve">n, </w:t>
      </w:r>
      <w:r w:rsidRPr="00151901" w:rsidR="00817170">
        <w:t>s</w:t>
      </w:r>
      <w:r w:rsidRPr="00151901">
        <w:t xml:space="preserve">ection 2.803(b)(1) of the </w:t>
      </w:r>
      <w:r w:rsidR="001A7621">
        <w:t>Commission’s r</w:t>
      </w:r>
      <w:r w:rsidRPr="00151901">
        <w:t>ules prohibits marketing devices unless they have been authorized in accordance with the Commission’s technical standards and properly identified and labeled.</w:t>
      </w:r>
      <w:r>
        <w:rPr>
          <w:vertAlign w:val="superscript"/>
        </w:rPr>
        <w:footnoteReference w:id="33"/>
      </w:r>
      <w:r w:rsidRPr="00EA5601">
        <w:t xml:space="preserve">  Sections 2.925, 15.19, and 15.21 of the </w:t>
      </w:r>
      <w:r w:rsidR="001A7621">
        <w:t>Commission’s r</w:t>
      </w:r>
      <w:r w:rsidRPr="00EA5601">
        <w:t>ules set forth the identification,</w:t>
      </w:r>
      <w:r w:rsidRPr="00EA5601" w:rsidR="00741AF8">
        <w:t xml:space="preserve"> labeling</w:t>
      </w:r>
      <w:r w:rsidRPr="00EA5601">
        <w:t xml:space="preserve">, and </w:t>
      </w:r>
      <w:r w:rsidRPr="00EA5601" w:rsidR="00741AF8">
        <w:t xml:space="preserve">user manual </w:t>
      </w:r>
      <w:r w:rsidRPr="00EA5601" w:rsidR="00774410">
        <w:t>requirements</w:t>
      </w:r>
      <w:r w:rsidRPr="00EA5601">
        <w:t xml:space="preserve"> for devices requiring Commission </w:t>
      </w:r>
      <w:r w:rsidRPr="00EA5601" w:rsidR="00774410">
        <w:t>authorization</w:t>
      </w:r>
      <w:r w:rsidRPr="00EA5601">
        <w:t>.</w:t>
      </w:r>
      <w:r>
        <w:rPr>
          <w:vertAlign w:val="superscript"/>
        </w:rPr>
        <w:footnoteReference w:id="34"/>
      </w:r>
    </w:p>
    <w:p w:rsidR="00525537" w:rsidP="005F1C5D" w14:paraId="5D4D7BAF" w14:textId="01F68128">
      <w:pPr>
        <w:pStyle w:val="ParaNum"/>
        <w:widowControl/>
      </w:pPr>
      <w:r w:rsidRPr="00EA5601">
        <w:t xml:space="preserve">Intentional </w:t>
      </w:r>
      <w:r w:rsidRPr="00EA5601" w:rsidR="008E0A6E">
        <w:t>r</w:t>
      </w:r>
      <w:r w:rsidRPr="00EA5601">
        <w:t xml:space="preserve">adiators, such as </w:t>
      </w:r>
      <w:r w:rsidR="00985AAB">
        <w:t xml:space="preserve">the devices </w:t>
      </w:r>
      <w:r w:rsidRPr="00EA5601" w:rsidR="00774410">
        <w:t>at issue</w:t>
      </w:r>
      <w:r w:rsidR="00D14032">
        <w:t xml:space="preserve"> here</w:t>
      </w:r>
      <w:r w:rsidRPr="00EA5601">
        <w:t>, must be properly authorized</w:t>
      </w:r>
      <w:r w:rsidRPr="00EA5601" w:rsidR="00CB2818">
        <w:t xml:space="preserve"> and labeled </w:t>
      </w:r>
      <w:r w:rsidRPr="00EA5601" w:rsidR="00774410">
        <w:t>in accordance with</w:t>
      </w:r>
      <w:r w:rsidRPr="00EA5601" w:rsidR="00CB2818">
        <w:t xml:space="preserve"> the Commission’s equipment certification process.</w:t>
      </w:r>
      <w:r>
        <w:rPr>
          <w:rStyle w:val="FootnoteReference"/>
          <w:sz w:val="22"/>
        </w:rPr>
        <w:footnoteReference w:id="35"/>
      </w:r>
      <w:r w:rsidRPr="00151901" w:rsidR="00CB2818">
        <w:t xml:space="preserve"> </w:t>
      </w:r>
      <w:r w:rsidRPr="00151901">
        <w:t xml:space="preserve"> </w:t>
      </w:r>
      <w:r w:rsidRPr="00151901" w:rsidR="00CB2818">
        <w:t xml:space="preserve">No </w:t>
      </w:r>
      <w:r w:rsidRPr="00151901" w:rsidR="008E0A6E">
        <w:t>i</w:t>
      </w:r>
      <w:r w:rsidRPr="00151901" w:rsidR="00CB2818">
        <w:t xml:space="preserve">ntentional </w:t>
      </w:r>
      <w:r w:rsidRPr="00151901" w:rsidR="008E0A6E">
        <w:t>r</w:t>
      </w:r>
      <w:r w:rsidRPr="00151901" w:rsidR="00CB2818">
        <w:t xml:space="preserve">adiator may be marketed unless and until the device has </w:t>
      </w:r>
      <w:r w:rsidRPr="00151901" w:rsidR="00774410">
        <w:t>been</w:t>
      </w:r>
      <w:r w:rsidRPr="00151901" w:rsidR="00CB2818">
        <w:t xml:space="preserve"> proper</w:t>
      </w:r>
      <w:r w:rsidRPr="00151901" w:rsidR="00774410">
        <w:t>ly</w:t>
      </w:r>
      <w:r w:rsidRPr="00151901" w:rsidR="00CB2818">
        <w:t xml:space="preserve"> authoriz</w:t>
      </w:r>
      <w:r w:rsidRPr="00151901" w:rsidR="00774410">
        <w:t>ed</w:t>
      </w:r>
      <w:r w:rsidRPr="00151901" w:rsidR="00F64C5A">
        <w:t xml:space="preserve"> and is properly labeled</w:t>
      </w:r>
      <w:r w:rsidRPr="00151901" w:rsidR="00CB2818">
        <w:t>.</w:t>
      </w:r>
      <w:r>
        <w:rPr>
          <w:rStyle w:val="FootnoteReference"/>
          <w:sz w:val="22"/>
        </w:rPr>
        <w:footnoteReference w:id="36"/>
      </w:r>
      <w:r w:rsidRPr="00151901" w:rsidR="00CB2818">
        <w:t xml:space="preserve"> </w:t>
      </w:r>
      <w:r w:rsidRPr="00151901">
        <w:t xml:space="preserve"> </w:t>
      </w:r>
      <w:r w:rsidR="002E16DE">
        <w:t>Authorization</w:t>
      </w:r>
      <w:r w:rsidR="00C11CE1">
        <w:t xml:space="preserve"> may attach to a model that is subsequently marketed if that model is electronically identical to the model that was originally tested, except for permissive changes.</w:t>
      </w:r>
      <w:r>
        <w:rPr>
          <w:rStyle w:val="FootnoteReference"/>
        </w:rPr>
        <w:footnoteReference w:id="37"/>
      </w:r>
      <w:r w:rsidR="00C11CE1">
        <w:t xml:space="preserve">  </w:t>
      </w:r>
    </w:p>
    <w:p w:rsidR="00485B85" w:rsidP="0095507B" w14:paraId="2513BA02" w14:textId="7BA7CCF2">
      <w:pPr>
        <w:pStyle w:val="ParaNum"/>
      </w:pPr>
      <w:bookmarkStart w:id="10" w:name="_Hlk56156986"/>
      <w:r w:rsidRPr="00E43ABF">
        <w:t>The Division’s investigation found that Pryme began marketing seven models</w:t>
      </w:r>
      <w:r w:rsidR="00985AAB">
        <w:t xml:space="preserve"> before they were authorized, </w:t>
      </w:r>
      <w:r w:rsidRPr="00E43ABF">
        <w:t>specifically</w:t>
      </w:r>
      <w:r w:rsidR="00985AAB">
        <w:t>,</w:t>
      </w:r>
      <w:r w:rsidRPr="00E43ABF">
        <w:t xml:space="preserve"> </w:t>
      </w:r>
      <w:r w:rsidR="00455DD0">
        <w:t xml:space="preserve">models </w:t>
      </w:r>
      <w:r w:rsidRPr="00E43ABF">
        <w:t>BTH-600, BTH-500, BT-PTT-U, BT-PTT-Z, BT-PTT-ZU, BT-PTT-M, and BT-PTT2.</w:t>
      </w:r>
      <w:r>
        <w:rPr>
          <w:rStyle w:val="FootnoteReference"/>
          <w:sz w:val="22"/>
        </w:rPr>
        <w:footnoteReference w:id="38"/>
      </w:r>
      <w:r w:rsidRPr="00E43ABF">
        <w:t xml:space="preserve">  This determination was made by comparing the date that Pryme began marketing each device with the date that each device was authorized by the Commission.</w:t>
      </w:r>
      <w:r>
        <w:rPr>
          <w:rStyle w:val="FootnoteReference"/>
          <w:sz w:val="22"/>
        </w:rPr>
        <w:footnoteReference w:id="39"/>
      </w:r>
      <w:r w:rsidRPr="00E43ABF">
        <w:t xml:space="preserve">  </w:t>
      </w:r>
      <w:r w:rsidR="00985AAB">
        <w:t xml:space="preserve">However, </w:t>
      </w:r>
      <w:r w:rsidRPr="00E43ABF">
        <w:t>Pryme contends that model BT-</w:t>
      </w:r>
      <w:r w:rsidR="00D14032">
        <w:t>P</w:t>
      </w:r>
      <w:r w:rsidRPr="00E43ABF">
        <w:t>TT2 was authorized before the Company began marketing it because the device was properly authorized under the grant of certification for another “very similar” model—the BT-PTT1 (FCC ID: XTS-BT-PTT).</w:t>
      </w:r>
      <w:r>
        <w:rPr>
          <w:rStyle w:val="FootnoteReference"/>
          <w:sz w:val="22"/>
        </w:rPr>
        <w:footnoteReference w:id="40"/>
      </w:r>
      <w:r w:rsidRPr="00E43ABF">
        <w:t xml:space="preserve">  After reviewing the documentation</w:t>
      </w:r>
      <w:r>
        <w:rPr>
          <w:rStyle w:val="FootnoteReference"/>
        </w:rPr>
        <w:footnoteReference w:id="41"/>
      </w:r>
      <w:r w:rsidRPr="00E43ABF">
        <w:t xml:space="preserve"> related to the two devices, the Division determined that model BT-PTT2 requires a separate grant of </w:t>
      </w:r>
      <w:r w:rsidR="0041729A">
        <w:t>authorization</w:t>
      </w:r>
      <w:r w:rsidRPr="00E43ABF">
        <w:t xml:space="preserve"> because the two devices are not electronically identical.</w:t>
      </w:r>
      <w:r>
        <w:rPr>
          <w:rStyle w:val="FootnoteReference"/>
        </w:rPr>
        <w:footnoteReference w:id="42"/>
      </w:r>
      <w:r w:rsidRPr="00E43ABF">
        <w:t xml:space="preserve">  Therefore, Pryme marketed model BT-PTT2 prior to authorization</w:t>
      </w:r>
      <w:r w:rsidR="00985AAB">
        <w:t xml:space="preserve"> </w:t>
      </w:r>
      <w:r w:rsidRPr="00E43ABF">
        <w:t xml:space="preserve">since model BT-PTT2 was not covered by </w:t>
      </w:r>
      <w:r w:rsidR="00606E02">
        <w:t xml:space="preserve">the </w:t>
      </w:r>
      <w:r w:rsidR="0041729A">
        <w:t>authorization</w:t>
      </w:r>
      <w:r w:rsidR="00985AAB">
        <w:t xml:space="preserve"> for </w:t>
      </w:r>
      <w:r w:rsidRPr="00E43ABF">
        <w:t xml:space="preserve">model BT-PTT1.  </w:t>
      </w:r>
      <w:r w:rsidR="00455DD0">
        <w:t xml:space="preserve">As such, </w:t>
      </w:r>
      <w:r>
        <w:t xml:space="preserve">Pryme </w:t>
      </w:r>
      <w:r w:rsidRPr="00431B89" w:rsidR="00431B89">
        <w:t>violated section 302(b) of the Act and section</w:t>
      </w:r>
      <w:r w:rsidR="00985AAB">
        <w:t>s</w:t>
      </w:r>
      <w:r w:rsidRPr="00431B89" w:rsidR="00431B89">
        <w:t xml:space="preserve"> 2.803</w:t>
      </w:r>
      <w:r w:rsidR="00985AAB">
        <w:t xml:space="preserve"> and 15.201</w:t>
      </w:r>
      <w:r w:rsidRPr="00431B89" w:rsidR="00431B89">
        <w:t xml:space="preserve"> </w:t>
      </w:r>
      <w:r w:rsidR="00431B89">
        <w:t>of the</w:t>
      </w:r>
      <w:r w:rsidRPr="00431B89" w:rsidR="00431B89">
        <w:t xml:space="preserve"> Commission’s rules</w:t>
      </w:r>
      <w:r w:rsidR="00431B89">
        <w:t xml:space="preserve"> because </w:t>
      </w:r>
      <w:r w:rsidR="000D00D1">
        <w:t xml:space="preserve">it </w:t>
      </w:r>
      <w:r w:rsidR="00431B89">
        <w:t xml:space="preserve">began marketing </w:t>
      </w:r>
      <w:r w:rsidR="00985AAB">
        <w:t xml:space="preserve">seven models </w:t>
      </w:r>
      <w:r w:rsidR="00431B89">
        <w:t>before they were authorized</w:t>
      </w:r>
      <w:r w:rsidRPr="00431B89" w:rsidR="00431B89">
        <w:t xml:space="preserve">.  </w:t>
      </w:r>
    </w:p>
    <w:p w:rsidR="00E02FBA" w:rsidP="0095507B" w14:paraId="4D1793FE" w14:textId="540E5E5C">
      <w:pPr>
        <w:pStyle w:val="ParaNum"/>
      </w:pPr>
      <w:bookmarkStart w:id="11" w:name="_Hlk56157524"/>
      <w:r>
        <w:t>In addition</w:t>
      </w:r>
      <w:r w:rsidRPr="007D4DBA">
        <w:t xml:space="preserve">, we conclude </w:t>
      </w:r>
      <w:r w:rsidR="00616FE6">
        <w:t>Pryme</w:t>
      </w:r>
      <w:r w:rsidRPr="007D4DBA">
        <w:t xml:space="preserve"> </w:t>
      </w:r>
      <w:r>
        <w:t xml:space="preserve">failed to comply with the </w:t>
      </w:r>
      <w:r w:rsidR="00616FE6">
        <w:t xml:space="preserve">FCC </w:t>
      </w:r>
      <w:r>
        <w:t xml:space="preserve">identification requirements </w:t>
      </w:r>
      <w:r w:rsidRPr="007D4DBA">
        <w:t>when it marketed model</w:t>
      </w:r>
      <w:r w:rsidR="00616FE6">
        <w:t xml:space="preserve">s BT-PTT-M and </w:t>
      </w:r>
      <w:r>
        <w:t xml:space="preserve">BT-PTT2 </w:t>
      </w:r>
      <w:r w:rsidRPr="007D4DBA">
        <w:t>without the proper FCC ID</w:t>
      </w:r>
      <w:r>
        <w:t xml:space="preserve">.  </w:t>
      </w:r>
      <w:r w:rsidR="00616FE6">
        <w:t>In the LOI Response, the Company admitted that all of the subject devices were complaint with this requirement except models BT-PTT-M and PT-PTT2.</w:t>
      </w:r>
      <w:r>
        <w:rPr>
          <w:rStyle w:val="FootnoteReference"/>
        </w:rPr>
        <w:footnoteReference w:id="43"/>
      </w:r>
      <w:r w:rsidR="00616FE6">
        <w:t xml:space="preserve">  </w:t>
      </w:r>
      <w:r>
        <w:t xml:space="preserve">The Company thus violated section 2.925 of the Commission’s rules. </w:t>
      </w:r>
    </w:p>
    <w:bookmarkEnd w:id="11"/>
    <w:p w:rsidR="00985AAB" w:rsidRPr="00CC56D9" w:rsidP="0095507B" w14:paraId="44A57F24" w14:textId="0608BA58">
      <w:pPr>
        <w:pStyle w:val="ParaNum"/>
      </w:pPr>
      <w:r w:rsidRPr="00CC56D9">
        <w:t>We also</w:t>
      </w:r>
      <w:r w:rsidRPr="00CC56D9" w:rsidR="00431B89">
        <w:t xml:space="preserve"> find that</w:t>
      </w:r>
      <w:r w:rsidRPr="00CC56D9">
        <w:t xml:space="preserve"> Pryme failed to properly label </w:t>
      </w:r>
      <w:r w:rsidRPr="00CC56D9" w:rsidR="007D4DBA">
        <w:t>all eight models at issue</w:t>
      </w:r>
      <w:r w:rsidRPr="00CC56D9">
        <w:t xml:space="preserve"> prior to marketing.  Specifically, the Company admitted </w:t>
      </w:r>
      <w:r w:rsidR="005E50EF">
        <w:t xml:space="preserve">in its LOI Response </w:t>
      </w:r>
      <w:r w:rsidRPr="00CC56D9">
        <w:t xml:space="preserve">that it did not provide FCC labels required under section 15.19 for </w:t>
      </w:r>
      <w:r w:rsidRPr="00CC56D9" w:rsidR="00CE38CD">
        <w:t xml:space="preserve">models </w:t>
      </w:r>
      <w:r w:rsidRPr="00CC56D9" w:rsidR="007D4DBA">
        <w:t>BTH-600, BTH-500, BTH-300, BT-PTT-U, BT-PTT-Z, BT-PTT-ZU, BT-PTT-M, and BT-PTT2</w:t>
      </w:r>
      <w:r w:rsidRPr="00CC56D9">
        <w:t>.</w:t>
      </w:r>
      <w:r>
        <w:rPr>
          <w:rStyle w:val="FootnoteReference"/>
        </w:rPr>
        <w:footnoteReference w:id="44"/>
      </w:r>
      <w:r w:rsidRPr="00CC56D9">
        <w:t xml:space="preserve">  The </w:t>
      </w:r>
      <w:r w:rsidRPr="00CC56D9" w:rsidR="00EC6858">
        <w:t xml:space="preserve">Company thus violated section 15.19 of the Commission’s rules. </w:t>
      </w:r>
    </w:p>
    <w:p w:rsidR="00CE6474" w:rsidRPr="00CC56D9" w:rsidP="0095507B" w14:paraId="4B688D1D" w14:textId="6F6E4BBC">
      <w:pPr>
        <w:pStyle w:val="ParaNum"/>
      </w:pPr>
      <w:bookmarkStart w:id="12" w:name="_Hlk56157690"/>
      <w:bookmarkEnd w:id="10"/>
      <w:r w:rsidRPr="005643A6">
        <w:t xml:space="preserve">Based on the information in the record, we conclude that the Company marketed eight models of radio frequency devices in violation of section 302(b) of the Act and sections 2.803(b), 2.925, 15.19, and 15. 201 of the Commission’s rules, as applicable.  </w:t>
      </w:r>
      <w:r w:rsidRPr="00CC56D9">
        <w:t>U</w:t>
      </w:r>
      <w:r w:rsidRPr="00CC56D9" w:rsidR="00F41816">
        <w:t xml:space="preserve">pon receipt of the LOI and its realization that it was not in compliance with the Commission’s rules, </w:t>
      </w:r>
      <w:r w:rsidRPr="00CC56D9">
        <w:t>Pryme acted</w:t>
      </w:r>
      <w:r w:rsidRPr="00CC56D9" w:rsidR="00F41816">
        <w:t xml:space="preserve"> </w:t>
      </w:r>
      <w:r w:rsidRPr="00CC56D9">
        <w:t xml:space="preserve">swiftly </w:t>
      </w:r>
      <w:r w:rsidRPr="00CC56D9" w:rsidR="00F41816">
        <w:t>by reviewing the authorizations for the models at issue and immediately suspending the marketing of models BT-PTT2 and BT-PTT-M.  Next, the Company obtained</w:t>
      </w:r>
      <w:r w:rsidRPr="00CC56D9">
        <w:t xml:space="preserve"> a new FCC </w:t>
      </w:r>
      <w:r w:rsidR="0041729A">
        <w:t>authorization</w:t>
      </w:r>
      <w:r w:rsidRPr="00CC56D9" w:rsidR="00F41816">
        <w:t xml:space="preserve"> for model BT-PTT2 and permanently discontinued model BT-PTT-M.  Finally, </w:t>
      </w:r>
      <w:r w:rsidRPr="00CC56D9" w:rsidR="00025845">
        <w:t xml:space="preserve">Pryme </w:t>
      </w:r>
      <w:r w:rsidRPr="00CC56D9" w:rsidR="00F41816">
        <w:t xml:space="preserve">took steps to </w:t>
      </w:r>
      <w:r w:rsidR="00581BBE">
        <w:t>bring</w:t>
      </w:r>
      <w:r w:rsidRPr="00CC56D9" w:rsidR="00581BBE">
        <w:t xml:space="preserve"> </w:t>
      </w:r>
      <w:r w:rsidRPr="00CC56D9" w:rsidR="00F41816">
        <w:t xml:space="preserve">the subject models </w:t>
      </w:r>
      <w:r w:rsidR="00581BBE">
        <w:t>into compliance with FCC</w:t>
      </w:r>
      <w:r w:rsidRPr="00CC56D9" w:rsidR="00F41816">
        <w:t xml:space="preserve"> identification</w:t>
      </w:r>
      <w:r w:rsidR="00A34CA1">
        <w:t xml:space="preserve"> and </w:t>
      </w:r>
      <w:r w:rsidRPr="00CC56D9" w:rsidR="00F41816">
        <w:t>labeling requirements</w:t>
      </w:r>
      <w:r w:rsidR="00455DD0">
        <w:t>.</w:t>
      </w:r>
      <w:r w:rsidR="00581BBE">
        <w:t xml:space="preserve"> </w:t>
      </w:r>
    </w:p>
    <w:p w:rsidR="004D3233" w:rsidRPr="00EA5601" w:rsidP="0095507B" w14:paraId="00E1C161" w14:textId="77777777">
      <w:pPr>
        <w:pStyle w:val="Heading1"/>
        <w:rPr>
          <w:rFonts w:ascii="Times New Roman" w:hAnsi="Times New Roman"/>
        </w:rPr>
      </w:pPr>
      <w:bookmarkStart w:id="13" w:name="SR;716"/>
      <w:bookmarkStart w:id="14" w:name="SR;717"/>
      <w:bookmarkEnd w:id="12"/>
      <w:bookmarkEnd w:id="13"/>
      <w:bookmarkEnd w:id="14"/>
      <w:r w:rsidRPr="00EA5601">
        <w:rPr>
          <w:rFonts w:ascii="Times New Roman" w:hAnsi="Times New Roman"/>
        </w:rPr>
        <w:t>Op</w:t>
      </w:r>
      <w:r w:rsidRPr="00EA5601" w:rsidR="0096675D">
        <w:rPr>
          <w:rFonts w:ascii="Times New Roman" w:hAnsi="Times New Roman"/>
        </w:rPr>
        <w:t>portunity</w:t>
      </w:r>
      <w:r w:rsidRPr="00EA5601">
        <w:rPr>
          <w:rFonts w:ascii="Times New Roman" w:hAnsi="Times New Roman"/>
        </w:rPr>
        <w:t xml:space="preserve"> to </w:t>
      </w:r>
      <w:r w:rsidRPr="00EA5601">
        <w:rPr>
          <w:rFonts w:ascii="Times New Roman" w:hAnsi="Times New Roman"/>
        </w:rPr>
        <w:t>respond to this citation</w:t>
      </w:r>
    </w:p>
    <w:p w:rsidR="00886C3A" w:rsidRPr="00EA5601" w:rsidP="005F1C5D" w14:paraId="6FC46746" w14:textId="0E2FF0D3">
      <w:pPr>
        <w:pStyle w:val="ParaNum"/>
        <w:widowControl/>
        <w:rPr>
          <w:kern w:val="2"/>
        </w:rPr>
      </w:pPr>
      <w:r w:rsidRPr="00EA5601">
        <w:t xml:space="preserve">Pryme </w:t>
      </w:r>
      <w:r w:rsidRPr="00EA5601">
        <w:rPr>
          <w:kern w:val="2"/>
        </w:rPr>
        <w:t xml:space="preserve">may respond to this Citation within 30 calendar days from the </w:t>
      </w:r>
      <w:r w:rsidRPr="00EA5601" w:rsidR="00B122C3">
        <w:rPr>
          <w:kern w:val="2"/>
        </w:rPr>
        <w:t xml:space="preserve">release date of this Citation by any of the following methods: </w:t>
      </w:r>
      <w:r w:rsidRPr="00EA5601">
        <w:rPr>
          <w:kern w:val="2"/>
        </w:rPr>
        <w:t xml:space="preserve">(1) </w:t>
      </w:r>
      <w:r w:rsidRPr="00EA5601" w:rsidR="00B122C3">
        <w:rPr>
          <w:kern w:val="2"/>
        </w:rPr>
        <w:t xml:space="preserve">a </w:t>
      </w:r>
      <w:r w:rsidRPr="00EA5601">
        <w:rPr>
          <w:kern w:val="2"/>
        </w:rPr>
        <w:t xml:space="preserve">written statement, (2) a teleconference interview, or (3) a </w:t>
      </w:r>
      <w:r w:rsidRPr="00EA5601">
        <w:rPr>
          <w:kern w:val="2"/>
        </w:rPr>
        <w:t xml:space="preserve">personal interview at the Commission Field Office nearest to </w:t>
      </w:r>
      <w:r w:rsidRPr="00EA5601">
        <w:rPr>
          <w:kern w:val="2"/>
        </w:rPr>
        <w:t>Pryme</w:t>
      </w:r>
      <w:r w:rsidRPr="00EA5601" w:rsidR="00F22E6D">
        <w:rPr>
          <w:kern w:val="2"/>
        </w:rPr>
        <w:t>’s place of business</w:t>
      </w:r>
      <w:r w:rsidRPr="00EA5601" w:rsidR="0090510E">
        <w:rPr>
          <w:kern w:val="2"/>
        </w:rPr>
        <w:t>.</w:t>
      </w:r>
      <w:r w:rsidRPr="00EA5601">
        <w:rPr>
          <w:kern w:val="2"/>
        </w:rPr>
        <w:t xml:space="preserve">  </w:t>
      </w:r>
      <w:r w:rsidRPr="00EA5601" w:rsidR="008F13B3">
        <w:rPr>
          <w:kern w:val="2"/>
        </w:rPr>
        <w:t>The Commission Field Office nearest</w:t>
      </w:r>
      <w:r w:rsidRPr="00EA5601" w:rsidR="00817170">
        <w:t xml:space="preserve"> Pryme</w:t>
      </w:r>
      <w:r w:rsidRPr="00EA5601" w:rsidR="008F13B3">
        <w:t xml:space="preserve"> </w:t>
      </w:r>
      <w:r w:rsidRPr="00EA5601" w:rsidR="008F13B3">
        <w:rPr>
          <w:kern w:val="2"/>
        </w:rPr>
        <w:t xml:space="preserve">is located in </w:t>
      </w:r>
      <w:r w:rsidRPr="00EA5601" w:rsidR="00817170">
        <w:rPr>
          <w:kern w:val="2"/>
        </w:rPr>
        <w:t>Los Angeles, California.</w:t>
      </w:r>
      <w:r w:rsidRPr="00EA5601" w:rsidR="008F13B3">
        <w:rPr>
          <w:kern w:val="2"/>
        </w:rPr>
        <w:t xml:space="preserve">     </w:t>
      </w:r>
      <w:r w:rsidRPr="00EA5601">
        <w:rPr>
          <w:kern w:val="2"/>
        </w:rPr>
        <w:t xml:space="preserve">   </w:t>
      </w:r>
      <w:r w:rsidRPr="00EA5601" w:rsidR="008F13B3">
        <w:rPr>
          <w:kern w:val="2"/>
        </w:rPr>
        <w:t xml:space="preserve">     </w:t>
      </w:r>
    </w:p>
    <w:p w:rsidR="00886C3A" w:rsidP="0095507B" w14:paraId="5CBAE73E" w14:textId="594A4CB0">
      <w:pPr>
        <w:pStyle w:val="ParaNum"/>
        <w:rPr>
          <w:kern w:val="2"/>
        </w:rPr>
      </w:pPr>
      <w:r w:rsidRPr="00EA5601">
        <w:rPr>
          <w:kern w:val="2"/>
        </w:rPr>
        <w:t xml:space="preserve">If </w:t>
      </w:r>
      <w:r w:rsidRPr="00EA5601" w:rsidR="003B34F9">
        <w:rPr>
          <w:kern w:val="2"/>
        </w:rPr>
        <w:t xml:space="preserve">Pryme </w:t>
      </w:r>
      <w:r w:rsidRPr="00EA5601" w:rsidR="00931DBC">
        <w:rPr>
          <w:kern w:val="2"/>
        </w:rPr>
        <w:t>r</w:t>
      </w:r>
      <w:r w:rsidRPr="00EA5601" w:rsidR="00F22E6D">
        <w:rPr>
          <w:kern w:val="2"/>
        </w:rPr>
        <w:t>equests</w:t>
      </w:r>
      <w:r w:rsidRPr="00EA5601">
        <w:rPr>
          <w:kern w:val="2"/>
        </w:rPr>
        <w:t xml:space="preserve"> a teleconference or pers</w:t>
      </w:r>
      <w:r w:rsidRPr="00EA5601" w:rsidR="00F22E6D">
        <w:rPr>
          <w:kern w:val="2"/>
        </w:rPr>
        <w:t xml:space="preserve">onal interview, </w:t>
      </w:r>
      <w:r w:rsidRPr="00EA5601">
        <w:rPr>
          <w:kern w:val="2"/>
        </w:rPr>
        <w:t xml:space="preserve">contact </w:t>
      </w:r>
      <w:r w:rsidR="00E43ABF">
        <w:rPr>
          <w:kern w:val="2"/>
        </w:rPr>
        <w:t>Paul Noone</w:t>
      </w:r>
      <w:r w:rsidRPr="00EA5601">
        <w:rPr>
          <w:kern w:val="2"/>
        </w:rPr>
        <w:t xml:space="preserve"> </w:t>
      </w:r>
      <w:r w:rsidRPr="00EA5601">
        <w:rPr>
          <w:noProof/>
          <w:color w:val="000000"/>
        </w:rPr>
        <w:t>at (</w:t>
      </w:r>
      <w:r w:rsidRPr="00EA5601" w:rsidR="003B34F9">
        <w:rPr>
          <w:noProof/>
          <w:color w:val="000000"/>
        </w:rPr>
        <w:t>202</w:t>
      </w:r>
      <w:r w:rsidRPr="00EA5601">
        <w:rPr>
          <w:noProof/>
          <w:color w:val="000000"/>
        </w:rPr>
        <w:t xml:space="preserve">) </w:t>
      </w:r>
      <w:r w:rsidRPr="00EA5601" w:rsidR="003B34F9">
        <w:rPr>
          <w:noProof/>
          <w:color w:val="000000"/>
        </w:rPr>
        <w:t>418</w:t>
      </w:r>
      <w:r w:rsidRPr="00EA5601">
        <w:rPr>
          <w:noProof/>
          <w:color w:val="000000"/>
        </w:rPr>
        <w:t>-</w:t>
      </w:r>
      <w:r w:rsidR="00884AA0">
        <w:rPr>
          <w:noProof/>
          <w:color w:val="000000"/>
        </w:rPr>
        <w:t>7945</w:t>
      </w:r>
      <w:r w:rsidR="009B6882">
        <w:rPr>
          <w:noProof/>
          <w:color w:val="000000"/>
        </w:rPr>
        <w:t xml:space="preserve"> and</w:t>
      </w:r>
      <w:r w:rsidR="005643A6">
        <w:rPr>
          <w:noProof/>
          <w:color w:val="000000"/>
        </w:rPr>
        <w:t xml:space="preserve"> via e-mail at </w:t>
      </w:r>
      <w:hyperlink r:id="rId5" w:history="1">
        <w:r w:rsidRPr="00CB6C25" w:rsidR="00781642">
          <w:rPr>
            <w:rStyle w:val="Hyperlink"/>
            <w:noProof/>
          </w:rPr>
          <w:t>paul.noone@fcc.gov</w:t>
        </w:r>
      </w:hyperlink>
      <w:r w:rsidR="005643A6">
        <w:rPr>
          <w:noProof/>
          <w:color w:val="000000"/>
        </w:rPr>
        <w:t xml:space="preserve"> and </w:t>
      </w:r>
      <w:hyperlink r:id="rId6" w:history="1">
        <w:r w:rsidRPr="00CB6C25" w:rsidR="00781642">
          <w:rPr>
            <w:rStyle w:val="Hyperlink"/>
            <w:noProof/>
          </w:rPr>
          <w:t>EB-SED-Response@fcc.gov</w:t>
        </w:r>
      </w:hyperlink>
      <w:r w:rsidR="005643A6">
        <w:rPr>
          <w:noProof/>
          <w:color w:val="000000"/>
        </w:rPr>
        <w:t>.</w:t>
      </w:r>
      <w:r w:rsidRPr="00EA5601">
        <w:rPr>
          <w:kern w:val="2"/>
        </w:rPr>
        <w:t xml:space="preserve">  </w:t>
      </w:r>
      <w:r w:rsidRPr="00EA5601" w:rsidR="00F22E6D">
        <w:rPr>
          <w:kern w:val="2"/>
        </w:rPr>
        <w:t xml:space="preserve">We </w:t>
      </w:r>
      <w:r w:rsidRPr="00EA5601">
        <w:rPr>
          <w:kern w:val="2"/>
        </w:rPr>
        <w:t xml:space="preserve">note that such teleconference or interview must take place within 30 calendar days of the </w:t>
      </w:r>
      <w:r w:rsidRPr="00EA5601" w:rsidR="00C22E21">
        <w:rPr>
          <w:kern w:val="2"/>
        </w:rPr>
        <w:t xml:space="preserve">release </w:t>
      </w:r>
      <w:r w:rsidRPr="00EA5601">
        <w:rPr>
          <w:kern w:val="2"/>
        </w:rPr>
        <w:t xml:space="preserve">date of this Citation.  If </w:t>
      </w:r>
      <w:r w:rsidRPr="00EA5601" w:rsidR="003B34F9">
        <w:t xml:space="preserve">Pryme </w:t>
      </w:r>
      <w:r w:rsidRPr="00EA5601">
        <w:rPr>
          <w:kern w:val="2"/>
        </w:rPr>
        <w:t xml:space="preserve">prefers to submit a written response with supporting documentation, it must send the response within 30 calendar days of the </w:t>
      </w:r>
      <w:r w:rsidRPr="00EA5601" w:rsidR="00C22E21">
        <w:rPr>
          <w:kern w:val="2"/>
        </w:rPr>
        <w:t xml:space="preserve">release </w:t>
      </w:r>
      <w:r w:rsidRPr="00EA5601">
        <w:rPr>
          <w:kern w:val="2"/>
        </w:rPr>
        <w:t xml:space="preserve">date of this Citation to the contact and address provided in </w:t>
      </w:r>
      <w:r w:rsidR="000560DF">
        <w:rPr>
          <w:kern w:val="2"/>
        </w:rPr>
        <w:t xml:space="preserve">the </w:t>
      </w:r>
      <w:r w:rsidRPr="00EA5601">
        <w:rPr>
          <w:kern w:val="2"/>
        </w:rPr>
        <w:t>paragraph</w:t>
      </w:r>
      <w:r w:rsidRPr="00EA5601" w:rsidR="00D82A8B">
        <w:rPr>
          <w:kern w:val="2"/>
        </w:rPr>
        <w:t xml:space="preserve"> </w:t>
      </w:r>
      <w:r w:rsidRPr="00EA5601">
        <w:rPr>
          <w:kern w:val="2"/>
        </w:rPr>
        <w:t>below.</w:t>
      </w:r>
    </w:p>
    <w:p w:rsidR="006D051C" w:rsidRPr="00EA5601" w:rsidP="0095507B" w14:paraId="1CC400E5" w14:textId="572C71C3">
      <w:pPr>
        <w:pStyle w:val="ParaNum"/>
        <w:rPr>
          <w:kern w:val="2"/>
        </w:rPr>
      </w:pPr>
      <w:r w:rsidRPr="006D051C">
        <w:rPr>
          <w:kern w:val="2"/>
        </w:rPr>
        <w:t xml:space="preserve">All written communications should be sent </w:t>
      </w:r>
      <w:r w:rsidR="007177B4">
        <w:rPr>
          <w:kern w:val="2"/>
        </w:rPr>
        <w:t xml:space="preserve">by e-mail </w:t>
      </w:r>
      <w:r w:rsidRPr="006D051C">
        <w:rPr>
          <w:kern w:val="2"/>
        </w:rPr>
        <w:t xml:space="preserve">to </w:t>
      </w:r>
      <w:hyperlink r:id="rId5" w:history="1">
        <w:r w:rsidRPr="00CB6C25" w:rsidR="00781642">
          <w:rPr>
            <w:rStyle w:val="Hyperlink"/>
            <w:kern w:val="2"/>
          </w:rPr>
          <w:t>paul.noone@fcc.gov</w:t>
        </w:r>
      </w:hyperlink>
      <w:r w:rsidRPr="006D051C">
        <w:rPr>
          <w:kern w:val="2"/>
        </w:rPr>
        <w:t xml:space="preserve"> and to </w:t>
      </w:r>
      <w:hyperlink r:id="rId6" w:history="1">
        <w:r w:rsidRPr="00CB6C25" w:rsidR="00781642">
          <w:rPr>
            <w:rStyle w:val="Hyperlink"/>
            <w:kern w:val="2"/>
          </w:rPr>
          <w:t>EB-SED-Response@fcc.gov</w:t>
        </w:r>
      </w:hyperlink>
      <w:r w:rsidRPr="006D051C">
        <w:rPr>
          <w:kern w:val="2"/>
        </w:rPr>
        <w:t>, and the subject line of the e</w:t>
      </w:r>
      <w:r w:rsidR="007177B4">
        <w:rPr>
          <w:kern w:val="2"/>
        </w:rPr>
        <w:t>-</w:t>
      </w:r>
      <w:r w:rsidRPr="006D051C">
        <w:rPr>
          <w:kern w:val="2"/>
        </w:rPr>
        <w:t>mail should specify the Company name and its investigation File Number, EB-SED-19-00028740.  Due to network file size restrictions, the Company should partition the response into separate e</w:t>
      </w:r>
      <w:r w:rsidR="00B30DB6">
        <w:rPr>
          <w:kern w:val="2"/>
        </w:rPr>
        <w:t>-</w:t>
      </w:r>
      <w:r w:rsidRPr="006D051C">
        <w:rPr>
          <w:kern w:val="2"/>
        </w:rPr>
        <w:t>mails of less than 10 MB, including attachments.  The Company should seek guidance in sufficient advance of the response deadline if it requires an alternative method of delivery.</w:t>
      </w:r>
    </w:p>
    <w:p w:rsidR="00886C3A" w:rsidRPr="00EA5601" w:rsidP="0095507B" w14:paraId="1D9DE842" w14:textId="4077C97B">
      <w:pPr>
        <w:pStyle w:val="ParaNum"/>
        <w:rPr>
          <w:kern w:val="2"/>
        </w:rPr>
      </w:pPr>
      <w:r w:rsidRPr="00EA5601">
        <w:rPr>
          <w:kern w:val="2"/>
        </w:rPr>
        <w:t xml:space="preserve">Upon request, the Commission will make reasonable accommodations for persons with disabilities.  If applicable, </w:t>
      </w:r>
      <w:r w:rsidRPr="00EA5601" w:rsidR="003B34F9">
        <w:rPr>
          <w:kern w:val="2"/>
        </w:rPr>
        <w:t xml:space="preserve">Pryme </w:t>
      </w:r>
      <w:r w:rsidRPr="00EA5601">
        <w:rPr>
          <w:kern w:val="2"/>
        </w:rPr>
        <w:t xml:space="preserve">should provide a description of the accommodation required, and include as much detail as possible, and also provide </w:t>
      </w:r>
      <w:r w:rsidRPr="00EA5601" w:rsidR="00C22E21">
        <w:rPr>
          <w:kern w:val="2"/>
        </w:rPr>
        <w:t xml:space="preserve">a telephone number and other </w:t>
      </w:r>
      <w:r w:rsidRPr="00EA5601">
        <w:rPr>
          <w:kern w:val="2"/>
        </w:rPr>
        <w:t xml:space="preserve">contact information.  </w:t>
      </w:r>
      <w:r w:rsidRPr="00EA5601" w:rsidR="003B34F9">
        <w:rPr>
          <w:kern w:val="2"/>
        </w:rPr>
        <w:t xml:space="preserve">Pryme </w:t>
      </w:r>
      <w:r w:rsidRPr="00EA5601" w:rsidR="00436E88">
        <w:rPr>
          <w:kern w:val="2"/>
        </w:rPr>
        <w:t xml:space="preserve">should allow at least five </w:t>
      </w:r>
      <w:r w:rsidRPr="00EA5601">
        <w:rPr>
          <w:kern w:val="2"/>
        </w:rPr>
        <w:t xml:space="preserve">business days advance notice; last minute requests will be accepted, but may be impossible to fill.  </w:t>
      </w:r>
      <w:r w:rsidRPr="00EA5601" w:rsidR="003B34F9">
        <w:rPr>
          <w:kern w:val="2"/>
        </w:rPr>
        <w:t xml:space="preserve">Pryme </w:t>
      </w:r>
      <w:r w:rsidRPr="00EA5601">
        <w:rPr>
          <w:kern w:val="2"/>
        </w:rPr>
        <w:t xml:space="preserve">should send an e-mail to </w:t>
      </w:r>
      <w:hyperlink r:id="rId7" w:history="1">
        <w:r w:rsidRPr="00CB6C25" w:rsidR="007F1E8C">
          <w:rPr>
            <w:rStyle w:val="Hyperlink"/>
            <w:kern w:val="2"/>
          </w:rPr>
          <w:t>fcc504@fcc.gov</w:t>
        </w:r>
      </w:hyperlink>
      <w:r w:rsidRPr="00EA5601">
        <w:rPr>
          <w:kern w:val="2"/>
        </w:rPr>
        <w:t xml:space="preserve"> or call the FCC’s Consumer &amp; Governmental Affairs Bureau:</w:t>
      </w:r>
    </w:p>
    <w:p w:rsidR="00886C3A" w:rsidRPr="00EA5601" w:rsidP="0095507B" w14:paraId="4DE3EB24" w14:textId="77777777">
      <w:pPr>
        <w:rPr>
          <w:kern w:val="2"/>
        </w:rPr>
      </w:pPr>
      <w:r w:rsidRPr="00EA5601">
        <w:rPr>
          <w:kern w:val="2"/>
        </w:rPr>
        <w:t xml:space="preserve">      </w:t>
      </w:r>
      <w:r w:rsidRPr="00EA5601">
        <w:rPr>
          <w:kern w:val="2"/>
        </w:rPr>
        <w:tab/>
      </w:r>
      <w:r w:rsidRPr="00EA5601">
        <w:rPr>
          <w:kern w:val="2"/>
        </w:rPr>
        <w:tab/>
        <w:t xml:space="preserve">For sign language interpreters, CART, and other reasonable accommodations: </w:t>
      </w:r>
    </w:p>
    <w:p w:rsidR="00886C3A" w:rsidRPr="00EA5601" w:rsidP="0095507B" w14:paraId="3BC0A2A3" w14:textId="77777777">
      <w:pPr>
        <w:spacing w:after="220"/>
        <w:rPr>
          <w:kern w:val="2"/>
        </w:rPr>
      </w:pPr>
      <w:r w:rsidRPr="00EA5601">
        <w:rPr>
          <w:kern w:val="2"/>
        </w:rPr>
        <w:tab/>
      </w:r>
      <w:r w:rsidRPr="00EA5601">
        <w:rPr>
          <w:kern w:val="2"/>
        </w:rPr>
        <w:tab/>
        <w:t>202-418-0530 (voice), 202-418-0432 (tty);</w:t>
      </w:r>
    </w:p>
    <w:p w:rsidR="00886C3A" w:rsidRPr="00EA5601" w:rsidP="0095507B" w14:paraId="682C29E5" w14:textId="77777777">
      <w:pPr>
        <w:spacing w:after="220"/>
        <w:rPr>
          <w:b/>
          <w:kern w:val="2"/>
        </w:rPr>
      </w:pPr>
      <w:r w:rsidRPr="00EA5601">
        <w:rPr>
          <w:kern w:val="2"/>
        </w:rPr>
        <w:t xml:space="preserve">      </w:t>
      </w:r>
      <w:r w:rsidRPr="00EA5601">
        <w:rPr>
          <w:kern w:val="2"/>
        </w:rPr>
        <w:tab/>
      </w:r>
      <w:r w:rsidRPr="00EA5601">
        <w:rPr>
          <w:kern w:val="2"/>
        </w:rPr>
        <w:tab/>
        <w:t xml:space="preserve">For accessible format materials (braille, large print, electronic files, and audio format): </w:t>
      </w:r>
      <w:r w:rsidRPr="00EA5601">
        <w:rPr>
          <w:kern w:val="2"/>
        </w:rPr>
        <w:tab/>
      </w:r>
      <w:r w:rsidRPr="00EA5601">
        <w:rPr>
          <w:kern w:val="2"/>
        </w:rPr>
        <w:tab/>
      </w:r>
      <w:r w:rsidRPr="00EA5601">
        <w:rPr>
          <w:kern w:val="2"/>
        </w:rPr>
        <w:tab/>
        <w:t>202-418-0531 (voice), 202-418-7365 (tty).</w:t>
      </w:r>
      <w:r w:rsidRPr="00EA5601">
        <w:rPr>
          <w:b/>
          <w:kern w:val="2"/>
        </w:rPr>
        <w:t xml:space="preserve">  </w:t>
      </w:r>
    </w:p>
    <w:p w:rsidR="00886C3A" w:rsidRPr="00EA5601" w:rsidP="0095507B" w14:paraId="01501880" w14:textId="1F61542E">
      <w:pPr>
        <w:pStyle w:val="ParaNum"/>
      </w:pPr>
      <w:r w:rsidRPr="00EA5601">
        <w:rPr>
          <w:kern w:val="2"/>
        </w:rPr>
        <w:t xml:space="preserve">We advise </w:t>
      </w:r>
      <w:r w:rsidRPr="00EA5601" w:rsidR="003B34F9">
        <w:t xml:space="preserve">Pryme </w:t>
      </w:r>
      <w:r w:rsidRPr="00EA5601">
        <w:rPr>
          <w:kern w:val="2"/>
        </w:rPr>
        <w:t>th</w:t>
      </w:r>
      <w:r w:rsidRPr="00EA5601">
        <w:t xml:space="preserve">at it is a violation of </w:t>
      </w:r>
      <w:r w:rsidRPr="00EA5601" w:rsidR="00761767">
        <w:t>s</w:t>
      </w:r>
      <w:r w:rsidRPr="00EA5601">
        <w:t xml:space="preserve">ection 1.17 of the </w:t>
      </w:r>
      <w:r w:rsidR="001A7621">
        <w:t>Commission’s r</w:t>
      </w:r>
      <w:r w:rsidRPr="00EA5601">
        <w:t>ules</w:t>
      </w:r>
      <w:r>
        <w:rPr>
          <w:rStyle w:val="FootnoteReference"/>
          <w:sz w:val="22"/>
        </w:rPr>
        <w:footnoteReference w:id="45"/>
      </w:r>
      <w:r w:rsidRPr="00EA5601">
        <w:t xml:space="preserve"> for any person to make any false or misleading written or oral statement of fact</w:t>
      </w:r>
      <w:r w:rsidRPr="00EA5601" w:rsidR="00BE70CC">
        <w:t xml:space="preserve"> to the Commission</w:t>
      </w:r>
      <w:r w:rsidRPr="00EA5601">
        <w:t>.  Specifically, no person shall:</w:t>
      </w:r>
    </w:p>
    <w:p w:rsidR="00886C3A" w:rsidRPr="00EA5601" w:rsidP="0095507B" w14:paraId="78C8A5F6" w14:textId="77777777">
      <w:pPr>
        <w:pStyle w:val="ParaNum"/>
        <w:numPr>
          <w:ilvl w:val="0"/>
          <w:numId w:val="0"/>
        </w:numPr>
        <w:ind w:left="1440" w:right="720"/>
        <w:rPr>
          <w:kern w:val="2"/>
        </w:rPr>
      </w:pPr>
      <w:r w:rsidRPr="00EA5601">
        <w:rPr>
          <w:kern w:val="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886C3A" w:rsidRPr="00EA5601" w:rsidP="0095507B" w14:paraId="4493C8CD" w14:textId="77777777">
      <w:pPr>
        <w:pStyle w:val="ParaNum"/>
        <w:numPr>
          <w:ilvl w:val="0"/>
          <w:numId w:val="0"/>
        </w:numPr>
        <w:ind w:left="1440" w:right="720"/>
        <w:rPr>
          <w:kern w:val="2"/>
        </w:rPr>
      </w:pPr>
      <w:r w:rsidRPr="00EA5601">
        <w:rPr>
          <w:kern w:val="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886C3A" w:rsidRPr="00EA5601" w:rsidP="0095507B" w14:paraId="748B3E34" w14:textId="77777777">
      <w:pPr>
        <w:pStyle w:val="ParaNum"/>
        <w:rPr>
          <w:kern w:val="2"/>
        </w:rPr>
      </w:pPr>
      <w:r w:rsidRPr="00EA5601">
        <w:rPr>
          <w:kern w:val="2"/>
        </w:rPr>
        <w:t>Further, the knowing and willful making of any false statement, or the concealment of any material fact, in reply to this Citation is punishable by fine or imprisonment</w:t>
      </w:r>
      <w:r w:rsidRPr="00EA5601" w:rsidR="0090510E">
        <w:rPr>
          <w:kern w:val="2"/>
        </w:rPr>
        <w:t>.</w:t>
      </w:r>
      <w:r>
        <w:rPr>
          <w:rStyle w:val="FootnoteReference"/>
          <w:kern w:val="2"/>
          <w:sz w:val="22"/>
        </w:rPr>
        <w:footnoteReference w:id="46"/>
      </w:r>
    </w:p>
    <w:p w:rsidR="00886C3A" w:rsidRPr="00EA5601" w:rsidP="0095507B" w14:paraId="1CDE5A03" w14:textId="33086C73">
      <w:pPr>
        <w:pStyle w:val="ParaNum"/>
        <w:rPr>
          <w:kern w:val="2"/>
        </w:rPr>
      </w:pPr>
      <w:r w:rsidRPr="00EA5601">
        <w:rPr>
          <w:kern w:val="2"/>
        </w:rPr>
        <w:t xml:space="preserve">Violations of </w:t>
      </w:r>
      <w:r w:rsidRPr="00EA5601" w:rsidR="00761767">
        <w:rPr>
          <w:kern w:val="2"/>
        </w:rPr>
        <w:t>s</w:t>
      </w:r>
      <w:r w:rsidRPr="00EA5601">
        <w:rPr>
          <w:kern w:val="2"/>
        </w:rPr>
        <w:t xml:space="preserve">ection 1.17 of the </w:t>
      </w:r>
      <w:r w:rsidR="001A7621">
        <w:rPr>
          <w:kern w:val="2"/>
        </w:rPr>
        <w:t>Commission’s r</w:t>
      </w:r>
      <w:r w:rsidRPr="00EA5601">
        <w:rPr>
          <w:kern w:val="2"/>
        </w:rPr>
        <w:t xml:space="preserve">ules or the criminal statute referenced above may result in further legal action, including monetary forfeitures pursuant to </w:t>
      </w:r>
      <w:r w:rsidRPr="00EA5601" w:rsidR="00761767">
        <w:rPr>
          <w:kern w:val="2"/>
        </w:rPr>
        <w:t>s</w:t>
      </w:r>
      <w:r w:rsidRPr="00EA5601">
        <w:rPr>
          <w:kern w:val="2"/>
        </w:rPr>
        <w:t>ection 503 of the</w:t>
      </w:r>
      <w:r w:rsidRPr="00EA5601" w:rsidR="003C4AD3">
        <w:rPr>
          <w:kern w:val="2"/>
        </w:rPr>
        <w:t xml:space="preserve"> </w:t>
      </w:r>
      <w:r w:rsidRPr="00EA5601">
        <w:rPr>
          <w:kern w:val="2"/>
        </w:rPr>
        <w:t>Act.</w:t>
      </w:r>
    </w:p>
    <w:p w:rsidR="004D3233" w:rsidRPr="00EA5601" w:rsidP="0095507B" w14:paraId="192FE827" w14:textId="6D87D046">
      <w:pPr>
        <w:pStyle w:val="ParaNum"/>
        <w:rPr>
          <w:kern w:val="2"/>
        </w:rPr>
      </w:pPr>
      <w:r w:rsidRPr="00EA5601">
        <w:rPr>
          <w:kern w:val="2"/>
        </w:rPr>
        <w:t xml:space="preserve">Finally, we warn </w:t>
      </w:r>
      <w:r w:rsidRPr="00EA5601" w:rsidR="003B34F9">
        <w:rPr>
          <w:kern w:val="2"/>
        </w:rPr>
        <w:t xml:space="preserve">Pryme </w:t>
      </w:r>
      <w:r w:rsidRPr="00EA5601">
        <w:rPr>
          <w:kern w:val="2"/>
        </w:rPr>
        <w:t xml:space="preserve">that, under the </w:t>
      </w:r>
      <w:r w:rsidRPr="00EA5601" w:rsidR="00436E88">
        <w:rPr>
          <w:kern w:val="2"/>
        </w:rPr>
        <w:t>Privacy Act of 1974</w:t>
      </w:r>
      <w:r w:rsidRPr="00EA5601" w:rsidR="003C4AD3">
        <w:rPr>
          <w:kern w:val="2"/>
        </w:rPr>
        <w:t>,</w:t>
      </w:r>
      <w:r>
        <w:rPr>
          <w:rStyle w:val="FootnoteReference"/>
          <w:kern w:val="2"/>
          <w:sz w:val="22"/>
        </w:rPr>
        <w:footnoteReference w:id="47"/>
      </w:r>
      <w:r w:rsidRPr="00EA5601" w:rsidR="00436E88">
        <w:rPr>
          <w:kern w:val="2"/>
        </w:rPr>
        <w:t xml:space="preserve"> </w:t>
      </w:r>
      <w:r w:rsidRPr="00EA5601">
        <w:rPr>
          <w:kern w:val="2"/>
        </w:rPr>
        <w:t xml:space="preserve">Commission staff will use all relevant material information before it, including information disclosed </w:t>
      </w:r>
      <w:r w:rsidRPr="00EA5601" w:rsidR="00BE70CC">
        <w:rPr>
          <w:kern w:val="2"/>
        </w:rPr>
        <w:t>in</w:t>
      </w:r>
      <w:r w:rsidRPr="00EA5601">
        <w:rPr>
          <w:kern w:val="2"/>
        </w:rPr>
        <w:t xml:space="preserve"> interviews or written </w:t>
      </w:r>
      <w:r w:rsidRPr="00EA5601">
        <w:rPr>
          <w:kern w:val="2"/>
        </w:rPr>
        <w:t xml:space="preserve">statements, to determine what, if any, enforcement action is required to ensure </w:t>
      </w:r>
      <w:r w:rsidR="001A7621">
        <w:rPr>
          <w:kern w:val="2"/>
        </w:rPr>
        <w:t>the Company</w:t>
      </w:r>
      <w:r w:rsidRPr="00EA5601">
        <w:rPr>
          <w:kern w:val="2"/>
        </w:rPr>
        <w:t xml:space="preserve">’s compliance with the Act and </w:t>
      </w:r>
      <w:r w:rsidR="001A7621">
        <w:rPr>
          <w:kern w:val="2"/>
        </w:rPr>
        <w:t>the Commission’s r</w:t>
      </w:r>
      <w:r w:rsidRPr="00EA5601">
        <w:rPr>
          <w:kern w:val="2"/>
        </w:rPr>
        <w:t>ules.</w:t>
      </w:r>
      <w:r>
        <w:rPr>
          <w:rStyle w:val="FootnoteReference"/>
          <w:kern w:val="2"/>
        </w:rPr>
        <w:footnoteReference w:id="48"/>
      </w:r>
    </w:p>
    <w:p w:rsidR="003343CA" w:rsidRPr="00EA5601" w:rsidP="0095507B" w14:paraId="5DE9E972" w14:textId="77777777">
      <w:pPr>
        <w:pStyle w:val="Heading1"/>
        <w:rPr>
          <w:rFonts w:ascii="Times New Roman" w:hAnsi="Times New Roman"/>
        </w:rPr>
      </w:pPr>
      <w:r w:rsidRPr="00EA5601">
        <w:rPr>
          <w:rFonts w:ascii="Times New Roman" w:hAnsi="Times New Roman"/>
        </w:rPr>
        <w:t>future violations</w:t>
      </w:r>
    </w:p>
    <w:p w:rsidR="006B3FCC" w:rsidRPr="00B72451" w:rsidP="0095507B" w14:paraId="2ED1E89C" w14:textId="60B2A8AC">
      <w:pPr>
        <w:pStyle w:val="ParaNum"/>
      </w:pPr>
      <w:r w:rsidRPr="00B72451">
        <w:t xml:space="preserve">If, after receipt of this Citation, </w:t>
      </w:r>
      <w:r w:rsidRPr="00B72451">
        <w:t xml:space="preserve">Pryme </w:t>
      </w:r>
      <w:r w:rsidRPr="00B72451">
        <w:t xml:space="preserve">again violates </w:t>
      </w:r>
      <w:r w:rsidRPr="00B72451" w:rsidR="00761767">
        <w:t>s</w:t>
      </w:r>
      <w:r w:rsidRPr="00B72451">
        <w:t xml:space="preserve">ection 302(b) of the Act and/or </w:t>
      </w:r>
      <w:r w:rsidRPr="00B72451" w:rsidR="00761767">
        <w:t>s</w:t>
      </w:r>
      <w:r w:rsidRPr="00B72451">
        <w:t>ections 2.803, 2.925,</w:t>
      </w:r>
      <w:r w:rsidRPr="00B72451">
        <w:t xml:space="preserve"> </w:t>
      </w:r>
      <w:r w:rsidR="00625476">
        <w:t xml:space="preserve">15.19, </w:t>
      </w:r>
      <w:r w:rsidRPr="00B72451">
        <w:t>and/or</w:t>
      </w:r>
      <w:r w:rsidRPr="00B72451">
        <w:t xml:space="preserve"> 15.</w:t>
      </w:r>
      <w:r w:rsidR="00625476">
        <w:t>201</w:t>
      </w:r>
      <w:r w:rsidRPr="00B72451">
        <w:t xml:space="preserve"> of the </w:t>
      </w:r>
      <w:r w:rsidR="001A7621">
        <w:t>Commission’s r</w:t>
      </w:r>
      <w:r w:rsidRPr="00B72451">
        <w:t xml:space="preserve">ules by engaging in conduct of the type described herein, the Commission may impose sanctions for each such violation.  For example, the Commission may impose monetary forfeitures against </w:t>
      </w:r>
      <w:r w:rsidRPr="00B72451">
        <w:t>Pryme</w:t>
      </w:r>
      <w:r w:rsidRPr="00B72451">
        <w:t xml:space="preserve"> of up to $20,</w:t>
      </w:r>
      <w:r w:rsidR="00E10B1C">
        <w:t>489</w:t>
      </w:r>
      <w:r w:rsidRPr="00B72451">
        <w:t xml:space="preserve"> for each such violation or each day of a continuing violation, and up to $15</w:t>
      </w:r>
      <w:r w:rsidR="00E10B1C">
        <w:t>3</w:t>
      </w:r>
      <w:r w:rsidRPr="00B72451">
        <w:t>,</w:t>
      </w:r>
      <w:r w:rsidR="00E10B1C">
        <w:t>669</w:t>
      </w:r>
      <w:r w:rsidRPr="00B72451">
        <w:t xml:space="preserve"> for any single act or failure to act.</w:t>
      </w:r>
      <w:r>
        <w:rPr>
          <w:vertAlign w:val="superscript"/>
        </w:rPr>
        <w:footnoteReference w:id="49"/>
      </w:r>
      <w:r w:rsidRPr="00B72451">
        <w:t xml:space="preserve">  The Commission may further adjust the forfeiture reflecting enumerated statutory factors, which include the nature, circumstances, extent, and gravity of the violation, and with respect to the violator, the degree of culpability, any history of prior offenses, ability to pay, and other such matters as justice may require.</w:t>
      </w:r>
      <w:r>
        <w:rPr>
          <w:vertAlign w:val="superscript"/>
        </w:rPr>
        <w:footnoteReference w:id="50"/>
      </w:r>
      <w:r w:rsidRPr="00B72451" w:rsidR="00B72451">
        <w:t xml:space="preserve">  </w:t>
      </w:r>
      <w:r w:rsidRPr="00B72451">
        <w:t>Further, as discussed above, the Commission may assess forfeitures on both the conduct that led to this Citation and the conduct following it.</w:t>
      </w:r>
      <w:r>
        <w:rPr>
          <w:vertAlign w:val="superscript"/>
        </w:rPr>
        <w:footnoteReference w:id="51"/>
      </w:r>
      <w:r w:rsidRPr="00B72451">
        <w:t xml:space="preserve">  </w:t>
      </w:r>
    </w:p>
    <w:p w:rsidR="003343CA" w:rsidRPr="00EA5601" w:rsidP="0095507B" w14:paraId="45D570D4" w14:textId="77777777">
      <w:pPr>
        <w:pStyle w:val="Heading1"/>
        <w:rPr>
          <w:rFonts w:ascii="Times New Roman" w:hAnsi="Times New Roman"/>
        </w:rPr>
      </w:pPr>
      <w:r w:rsidRPr="00EA5601">
        <w:rPr>
          <w:rFonts w:ascii="Times New Roman" w:hAnsi="Times New Roman"/>
        </w:rPr>
        <w:t>ORDERING CLAUSES</w:t>
      </w:r>
    </w:p>
    <w:p w:rsidR="00E20DA8" w:rsidP="0095507B" w14:paraId="28564BC9" w14:textId="5A2C716A">
      <w:pPr>
        <w:pStyle w:val="ParaNum"/>
        <w:spacing w:after="0"/>
        <w:rPr>
          <w:noProof/>
          <w:color w:val="000000"/>
        </w:rPr>
      </w:pPr>
      <w:r w:rsidRPr="003D39AB">
        <w:t xml:space="preserve">Accordingly, </w:t>
      </w:r>
      <w:r w:rsidRPr="003D39AB">
        <w:rPr>
          <w:b/>
        </w:rPr>
        <w:t>IT IS ORDERED</w:t>
      </w:r>
      <w:r w:rsidRPr="00283E23">
        <w:t xml:space="preserve"> </w:t>
      </w:r>
      <w:r w:rsidRPr="00B26A61" w:rsidR="009A01CF">
        <w:t>that</w:t>
      </w:r>
      <w:r w:rsidRPr="00B26A61">
        <w:t xml:space="preserve">, pursuant to </w:t>
      </w:r>
      <w:r w:rsidRPr="00B26A61" w:rsidR="00761767">
        <w:rPr>
          <w:noProof/>
          <w:color w:val="000000"/>
        </w:rPr>
        <w:t>s</w:t>
      </w:r>
      <w:r w:rsidRPr="00B26A61" w:rsidR="00C93DFC">
        <w:rPr>
          <w:noProof/>
          <w:color w:val="000000"/>
        </w:rPr>
        <w:t xml:space="preserve">ections 4(i) and 4(j) of the </w:t>
      </w:r>
      <w:r w:rsidRPr="00B26A61" w:rsidR="003C4AD3">
        <w:rPr>
          <w:noProof/>
          <w:color w:val="000000"/>
        </w:rPr>
        <w:t>Act</w:t>
      </w:r>
      <w:r w:rsidRPr="00B26A61" w:rsidR="00C93DFC">
        <w:rPr>
          <w:noProof/>
          <w:color w:val="000000"/>
        </w:rPr>
        <w:t>,</w:t>
      </w:r>
      <w:r>
        <w:rPr>
          <w:rStyle w:val="FootnoteReference"/>
          <w:noProof/>
          <w:color w:val="000000"/>
          <w:sz w:val="22"/>
        </w:rPr>
        <w:footnoteReference w:id="52"/>
      </w:r>
      <w:r w:rsidRPr="003D39AB" w:rsidR="00C93DFC">
        <w:rPr>
          <w:noProof/>
          <w:color w:val="000000"/>
        </w:rPr>
        <w:t xml:space="preserve"> </w:t>
      </w:r>
      <w:r w:rsidRPr="00283E23" w:rsidR="006B3FCC">
        <w:rPr>
          <w:noProof/>
          <w:color w:val="000000"/>
        </w:rPr>
        <w:t xml:space="preserve">Pryme </w:t>
      </w:r>
      <w:r w:rsidRPr="00B26A61" w:rsidR="00C93DFC">
        <w:rPr>
          <w:noProof/>
          <w:color w:val="000000"/>
        </w:rPr>
        <w:t>must cease and desist from</w:t>
      </w:r>
      <w:r w:rsidRPr="00B26A61" w:rsidR="006B3FCC">
        <w:rPr>
          <w:noProof/>
          <w:color w:val="000000"/>
        </w:rPr>
        <w:t xml:space="preserve"> marketing </w:t>
      </w:r>
      <w:r w:rsidRPr="00B26A61" w:rsidR="008E0A6E">
        <w:rPr>
          <w:noProof/>
          <w:color w:val="000000"/>
        </w:rPr>
        <w:t xml:space="preserve">noncompliant </w:t>
      </w:r>
      <w:r w:rsidRPr="00B26A61" w:rsidR="00E10B1C">
        <w:rPr>
          <w:noProof/>
          <w:color w:val="000000"/>
        </w:rPr>
        <w:t xml:space="preserve">radio frequency </w:t>
      </w:r>
      <w:r w:rsidRPr="00B26A61" w:rsidR="008F13B3">
        <w:rPr>
          <w:noProof/>
          <w:color w:val="000000"/>
        </w:rPr>
        <w:t>device</w:t>
      </w:r>
      <w:r w:rsidRPr="00B26A61" w:rsidR="008E0A6E">
        <w:rPr>
          <w:noProof/>
          <w:color w:val="000000"/>
        </w:rPr>
        <w:t>s</w:t>
      </w:r>
      <w:r w:rsidRPr="00B26A61" w:rsidR="008F13B3">
        <w:rPr>
          <w:noProof/>
          <w:color w:val="000000"/>
        </w:rPr>
        <w:t xml:space="preserve"> </w:t>
      </w:r>
      <w:r w:rsidRPr="00B26A61" w:rsidR="006B3FCC">
        <w:rPr>
          <w:noProof/>
          <w:color w:val="000000"/>
        </w:rPr>
        <w:t>in the United States</w:t>
      </w:r>
      <w:r w:rsidRPr="00B26A61" w:rsidR="00E87690">
        <w:t>,</w:t>
      </w:r>
      <w:r w:rsidRPr="00B26A61" w:rsidR="006B3FCC">
        <w:t xml:space="preserve"> including </w:t>
      </w:r>
      <w:r w:rsidRPr="00B26A61" w:rsidR="00216312">
        <w:t xml:space="preserve">models </w:t>
      </w:r>
      <w:r w:rsidRPr="00B26A61" w:rsidR="006B3FCC">
        <w:t>BTH-600, BTH-500, BTH-300, BT-PTT-U, BT-PTT-Z, BT-PTT-ZU, BT-PTT-M, and BT-PTT2</w:t>
      </w:r>
      <w:r w:rsidRPr="00B26A61" w:rsidR="008E0A6E">
        <w:t xml:space="preserve">, </w:t>
      </w:r>
      <w:r w:rsidRPr="00B26A61" w:rsidR="00E87690">
        <w:t>in violation of</w:t>
      </w:r>
      <w:r w:rsidRPr="00B26A61" w:rsidR="006B3FCC">
        <w:t xml:space="preserve"> </w:t>
      </w:r>
      <w:r w:rsidRPr="00B26A61" w:rsidR="00761767">
        <w:t>s</w:t>
      </w:r>
      <w:r w:rsidRPr="00B26A61" w:rsidR="006B3FCC">
        <w:t>ection 302(b) of the Act and</w:t>
      </w:r>
      <w:r w:rsidRPr="00B26A61" w:rsidR="00761767">
        <w:t xml:space="preserve"> s</w:t>
      </w:r>
      <w:r w:rsidRPr="00B26A61" w:rsidR="006B3FCC">
        <w:t>ections 2.803, 2.925</w:t>
      </w:r>
      <w:r w:rsidRPr="00B26A61" w:rsidR="009A3C52">
        <w:t xml:space="preserve">, </w:t>
      </w:r>
      <w:r w:rsidRPr="00B26A61" w:rsidR="006B3FCC">
        <w:t>15.19</w:t>
      </w:r>
      <w:r w:rsidRPr="00B26A61" w:rsidR="009A3C52">
        <w:t>, and 15.201</w:t>
      </w:r>
      <w:r w:rsidRPr="00B26A61" w:rsidR="006B3FCC">
        <w:t xml:space="preserve"> of the </w:t>
      </w:r>
      <w:r w:rsidRPr="00B26A61" w:rsidR="00E10B1C">
        <w:t>Commission’s r</w:t>
      </w:r>
      <w:r w:rsidRPr="00B26A61" w:rsidR="006B3FCC">
        <w:t>ules</w:t>
      </w:r>
      <w:r w:rsidRPr="00B26A61" w:rsidR="000147E0">
        <w:t>.</w:t>
      </w:r>
      <w:r>
        <w:rPr>
          <w:rStyle w:val="FootnoteReference"/>
          <w:sz w:val="22"/>
        </w:rPr>
        <w:footnoteReference w:id="53"/>
      </w:r>
      <w:r w:rsidRPr="003D39AB" w:rsidR="00C93DFC">
        <w:rPr>
          <w:noProof/>
          <w:color w:val="000000"/>
        </w:rPr>
        <w:t xml:space="preserve">  </w:t>
      </w:r>
    </w:p>
    <w:p w:rsidR="00E20DA8" w:rsidRPr="00DE6594" w:rsidP="0095507B" w14:paraId="62F3345A" w14:textId="0ECFE557">
      <w:r w:rsidRPr="00DE6594">
        <w:br w:type="page"/>
      </w:r>
    </w:p>
    <w:p w:rsidR="00A55903" w:rsidRPr="006E7714" w:rsidP="0095507B" w14:paraId="08F5CF06" w14:textId="421A55D2">
      <w:pPr>
        <w:pStyle w:val="ParaNum"/>
      </w:pPr>
      <w:r w:rsidRPr="00C34AFD">
        <w:rPr>
          <w:b/>
          <w:bCs/>
        </w:rPr>
        <w:t>IT IS FURTHER ORDERED</w:t>
      </w:r>
      <w:r w:rsidRPr="006E7714">
        <w:t xml:space="preserve"> that a copy of this Citation and Order shall be sent by first class mail and certified mail, return receipt requested, to Mr. Henry Liou, President and Secretary, Premier Communication Corporation d/b/a Pryme Radio Products, 911 Mariner Street, Brea, CA 92821, and to David Hilliard, Esq., Counsel for Premier Communications Corporation d/b/a Pryme Radio Products, Wiley Rein LLP, 1776 K Street NW, Washington, DC 20006.</w:t>
      </w:r>
    </w:p>
    <w:p w:rsidR="00A55903" w:rsidP="0095507B" w14:paraId="4891D92A" w14:textId="084A5B46">
      <w:pPr>
        <w:pStyle w:val="ParaNum"/>
        <w:numPr>
          <w:ilvl w:val="0"/>
          <w:numId w:val="0"/>
        </w:numPr>
        <w:ind w:left="720"/>
        <w:rPr>
          <w:noProof/>
          <w:color w:val="000000"/>
        </w:rPr>
      </w:pPr>
    </w:p>
    <w:p w:rsidR="003343CA" w:rsidRPr="00EA5601" w:rsidP="0095507B" w14:paraId="2CEE304F" w14:textId="279C52CA"/>
    <w:p w:rsidR="003343CA" w:rsidRPr="00EA5601" w:rsidP="0095507B" w14:paraId="48C00590" w14:textId="77777777"/>
    <w:p w:rsidR="003343CA" w:rsidP="0095507B" w14:paraId="32A51296" w14:textId="3B7EA4BA">
      <w:pPr>
        <w:spacing w:after="120"/>
        <w:ind w:left="3600" w:firstLine="720"/>
      </w:pPr>
      <w:r w:rsidRPr="00EA5601">
        <w:t>FEDERAL COMMUNICATIONS COMMISSION</w:t>
      </w:r>
    </w:p>
    <w:p w:rsidR="009F5E7B" w:rsidP="0095507B" w14:paraId="42CDAFAC" w14:textId="1ABC065E">
      <w:pPr>
        <w:spacing w:after="120"/>
        <w:ind w:left="3600" w:firstLine="720"/>
      </w:pPr>
    </w:p>
    <w:p w:rsidR="009F5E7B" w:rsidP="0095507B" w14:paraId="0F34A3B2" w14:textId="6473203D">
      <w:pPr>
        <w:spacing w:after="120"/>
        <w:ind w:left="3600" w:firstLine="720"/>
      </w:pPr>
    </w:p>
    <w:p w:rsidR="0095507B" w:rsidP="0095507B" w14:paraId="2C8948D1" w14:textId="77777777">
      <w:pPr>
        <w:tabs>
          <w:tab w:val="left" w:pos="0"/>
          <w:tab w:val="left" w:pos="720"/>
          <w:tab w:val="left" w:pos="1440"/>
        </w:tabs>
        <w:suppressAutoHyphens/>
        <w:ind w:left="4320"/>
      </w:pPr>
      <w:r w:rsidRPr="00EA5601">
        <w:t>Elizabeth Y. Mumaw</w:t>
      </w:r>
      <w:r w:rsidRPr="00EA5601" w:rsidR="00EE36BE">
        <w:t xml:space="preserve"> </w:t>
      </w:r>
    </w:p>
    <w:p w:rsidR="00EE36BE" w:rsidRPr="00EA5601" w:rsidP="0095507B" w14:paraId="7024BAB4" w14:textId="3E2BAC99">
      <w:pPr>
        <w:tabs>
          <w:tab w:val="left" w:pos="0"/>
          <w:tab w:val="left" w:pos="720"/>
          <w:tab w:val="left" w:pos="1440"/>
        </w:tabs>
        <w:suppressAutoHyphens/>
        <w:ind w:left="4320"/>
      </w:pPr>
      <w:r w:rsidRPr="00EA5601">
        <w:t xml:space="preserve">Division </w:t>
      </w:r>
      <w:r w:rsidRPr="00EA5601">
        <w:t>Chief</w:t>
      </w:r>
    </w:p>
    <w:p w:rsidR="002A7316" w:rsidRPr="00EA5601" w:rsidP="0095507B" w14:paraId="4C1B806E" w14:textId="77777777">
      <w:pPr>
        <w:ind w:left="4320"/>
      </w:pPr>
      <w:r w:rsidRPr="00EA5601">
        <w:t>Spectrum Enforcement Division</w:t>
      </w:r>
    </w:p>
    <w:p w:rsidR="00E273E3" w:rsidRPr="00EA5601" w:rsidP="0095507B" w14:paraId="772FDB23" w14:textId="6CD53008">
      <w:pPr>
        <w:pStyle w:val="ParaNum"/>
        <w:numPr>
          <w:ilvl w:val="0"/>
          <w:numId w:val="0"/>
        </w:numPr>
        <w:ind w:left="3600" w:firstLine="720"/>
      </w:pPr>
      <w:r w:rsidRPr="00EA5601">
        <w:t>Enforcement Bureau</w:t>
      </w:r>
    </w:p>
    <w:sectPr w:rsidSect="00F50F55">
      <w:headerReference w:type="default" r:id="rId8"/>
      <w:footerReference w:type="even" r:id="rId9"/>
      <w:footerReference w:type="default" r:id="rId10"/>
      <w:headerReference w:type="first" r:id="rId11"/>
      <w:endnotePr>
        <w:numFmt w:val="decimal"/>
      </w:endnotePr>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3588E7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5D1BA6" w14:paraId="6024B8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E94E6A" w14:paraId="2CDDEAD6" w14:textId="77777777">
    <w:pPr>
      <w:pStyle w:val="Footer"/>
      <w:framePr w:wrap="around" w:vAnchor="text" w:hAnchor="margin" w:xAlign="center" w:y="1"/>
    </w:pPr>
    <w:r w:rsidRPr="00E94E6A">
      <w:fldChar w:fldCharType="begin"/>
    </w:r>
    <w:r w:rsidRPr="00E94E6A">
      <w:instrText xml:space="preserve">PAGE  </w:instrText>
    </w:r>
    <w:r w:rsidRPr="00E94E6A">
      <w:fldChar w:fldCharType="separate"/>
    </w:r>
    <w:r w:rsidRPr="00E94E6A" w:rsidR="000516D6">
      <w:rPr>
        <w:noProof/>
      </w:rPr>
      <w:t>4</w:t>
    </w:r>
    <w:r w:rsidRPr="00E94E6A">
      <w:rPr>
        <w:noProof/>
      </w:rPr>
      <w:fldChar w:fldCharType="end"/>
    </w:r>
  </w:p>
  <w:p w:rsidR="005D1BA6" w14:paraId="5886DFF1"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49C6" w:rsidP="00C32570" w14:paraId="7F0C5D76" w14:textId="77777777">
      <w:pPr>
        <w:spacing w:after="120"/>
      </w:pPr>
      <w:r>
        <w:separator/>
      </w:r>
    </w:p>
  </w:footnote>
  <w:footnote w:type="continuationSeparator" w:id="1">
    <w:p w:rsidR="008249C6" w14:paraId="45B5B17F" w14:textId="77777777">
      <w:pPr>
        <w:rPr>
          <w:sz w:val="20"/>
        </w:rPr>
      </w:pPr>
      <w:r>
        <w:rPr>
          <w:sz w:val="20"/>
        </w:rPr>
        <w:t xml:space="preserve">(Continued from previous page)  </w:t>
      </w:r>
      <w:r>
        <w:rPr>
          <w:sz w:val="20"/>
        </w:rPr>
        <w:separator/>
      </w:r>
    </w:p>
  </w:footnote>
  <w:footnote w:type="continuationNotice" w:id="2">
    <w:p w:rsidR="008249C6" w14:paraId="1E48AC97" w14:textId="77777777">
      <w:pPr>
        <w:rPr>
          <w:sz w:val="20"/>
        </w:rPr>
      </w:pPr>
    </w:p>
  </w:footnote>
  <w:footnote w:id="3">
    <w:p w:rsidR="008E0A6E" w14:paraId="22E1978E" w14:textId="227D8A69">
      <w:pPr>
        <w:pStyle w:val="FootnoteText"/>
      </w:pPr>
      <w:r>
        <w:rPr>
          <w:rStyle w:val="FootnoteReference"/>
        </w:rPr>
        <w:footnoteRef/>
      </w:r>
      <w:r w:rsidR="0070041C">
        <w:t xml:space="preserve"> </w:t>
      </w:r>
      <w:r w:rsidR="00A23B07">
        <w:t xml:space="preserve">47 </w:t>
      </w:r>
      <w:r w:rsidR="000A2CB9">
        <w:t xml:space="preserve">CFR § </w:t>
      </w:r>
      <w:r w:rsidR="0070041C">
        <w:t>2.803(a) (defining marketing as the “sale or lease, or offering for sale of lease, including advertising for sale or lease, or importation, shipment or distribution for the purpose of selling or leasing or offering for sale or lease.”</w:t>
      </w:r>
      <w:r w:rsidR="00173E98">
        <w:t>).</w:t>
      </w:r>
    </w:p>
  </w:footnote>
  <w:footnote w:id="4">
    <w:p w:rsidR="00C972A1" w14:paraId="4395EBDA" w14:textId="1236E429">
      <w:pPr>
        <w:pStyle w:val="FootnoteText"/>
      </w:pPr>
      <w:r>
        <w:rPr>
          <w:rStyle w:val="FootnoteReference"/>
        </w:rPr>
        <w:footnoteRef/>
      </w:r>
      <w:r>
        <w:t xml:space="preserve"> 47 U.S.C. § 302a(b).</w:t>
      </w:r>
    </w:p>
  </w:footnote>
  <w:footnote w:id="5">
    <w:p w:rsidR="004A684E" w14:paraId="76D110C1" w14:textId="6C586E11">
      <w:pPr>
        <w:pStyle w:val="FootnoteText"/>
      </w:pPr>
      <w:r>
        <w:rPr>
          <w:rStyle w:val="FootnoteReference"/>
        </w:rPr>
        <w:footnoteRef/>
      </w:r>
      <w:r w:rsidR="00497C1B">
        <w:t xml:space="preserve"> </w:t>
      </w:r>
      <w:r w:rsidRPr="00856312" w:rsidR="00856312">
        <w:t>47 CFR §§ 2.803, 2.925, 15.19</w:t>
      </w:r>
      <w:r w:rsidR="0039085A">
        <w:t>, 15.201</w:t>
      </w:r>
      <w:r w:rsidR="002B3299">
        <w:t>.</w:t>
      </w:r>
    </w:p>
  </w:footnote>
  <w:footnote w:id="6">
    <w:p w:rsidR="00B60614" w14:paraId="0E0867E9" w14:textId="7DB7DF4E">
      <w:pPr>
        <w:pStyle w:val="FootnoteText"/>
      </w:pPr>
      <w:r>
        <w:rPr>
          <w:rStyle w:val="FootnoteReference"/>
        </w:rPr>
        <w:footnoteRef/>
      </w:r>
      <w:r>
        <w:t xml:space="preserve"> </w:t>
      </w:r>
      <w:r w:rsidRPr="00FA0181">
        <w:rPr>
          <w:i/>
          <w:color w:val="000000"/>
        </w:rPr>
        <w:t>See</w:t>
      </w:r>
      <w:r w:rsidRPr="00FA0181">
        <w:rPr>
          <w:color w:val="000000"/>
        </w:rPr>
        <w:t xml:space="preserve"> 47 U.S.C. § 503(b)(2)(D); 47 CFR § 1.80(b)(7). </w:t>
      </w:r>
      <w:r w:rsidRPr="00A25819">
        <w:rPr>
          <w:color w:val="000000"/>
        </w:rPr>
        <w:t xml:space="preserve"> The forfeiture amounts stated here, which became effective upon publication in the Federal Register, reflect the current annual</w:t>
      </w:r>
      <w:r w:rsidRPr="00FA0181">
        <w:rPr>
          <w:color w:val="000000"/>
        </w:rPr>
        <w:t xml:space="preserve"> inflation adjustments to </w:t>
      </w:r>
      <w:r w:rsidRPr="00A25819">
        <w:rPr>
          <w:color w:val="000000"/>
        </w:rPr>
        <w:t>the forfeiture amounts originally specified in section</w:t>
      </w:r>
      <w:r w:rsidRPr="00FA0181">
        <w:rPr>
          <w:color w:val="000000"/>
        </w:rPr>
        <w:t xml:space="preserve"> 503(b)(2) of the Act</w:t>
      </w:r>
      <w:r w:rsidRPr="00A25819">
        <w:rPr>
          <w:color w:val="000000"/>
        </w:rPr>
        <w:t xml:space="preserve">. </w:t>
      </w:r>
      <w:r w:rsidRPr="00FA0181">
        <w:rPr>
          <w:color w:val="000000"/>
        </w:rPr>
        <w:t xml:space="preserve"> </w:t>
      </w:r>
      <w:r w:rsidRPr="00E10693">
        <w:rPr>
          <w:i/>
          <w:iCs/>
        </w:rPr>
        <w:t>Amendment of Section 1.80(b) of the Commission’s Rules, Adjustment of Civil Monetary Penalties to Reflect Inflation</w:t>
      </w:r>
      <w:r>
        <w:t xml:space="preserve">, Order, </w:t>
      </w:r>
      <w:r w:rsidR="00785525">
        <w:t>34 FCC Rcd 12824</w:t>
      </w:r>
      <w:r>
        <w:t xml:space="preserve"> (EB 2019) (2020 Inflation Order); FCC Annual Adjustment of Civil Monetary Penalties to Reflect Inflation, 85 Fed. Reg. 2318 (Jan. 15, 2020)</w:t>
      </w:r>
      <w:r w:rsidRPr="00A25819">
        <w:rPr>
          <w:color w:val="000000"/>
        </w:rPr>
        <w:t xml:space="preserve">.   The 2015 Inflation Adjustment Act provides that the new penalty levels shall apply to penalties assessed after the effective date of the increase, “including [penalties] whose associated violation predated such increase[.]”  </w:t>
      </w:r>
      <w:r w:rsidRPr="00A25819">
        <w:rPr>
          <w:i/>
          <w:iCs/>
          <w:color w:val="000000"/>
        </w:rPr>
        <w:t>See</w:t>
      </w:r>
      <w:r w:rsidRPr="00A25819">
        <w:rPr>
          <w:color w:val="000000"/>
        </w:rPr>
        <w:t xml:space="preserve"> </w:t>
      </w:r>
      <w:r w:rsidRPr="00BC4F98">
        <w:rPr>
          <w:rStyle w:val="rrfootnoteCharCharChar"/>
        </w:rPr>
        <w:t xml:space="preserve">Pub. L. No. 114-74, </w:t>
      </w:r>
      <w:r>
        <w:rPr>
          <w:rStyle w:val="rrfootnoteCharCharChar"/>
        </w:rPr>
        <w:t xml:space="preserve">§ 701, </w:t>
      </w:r>
      <w:r w:rsidRPr="00BC4F98">
        <w:rPr>
          <w:rStyle w:val="rrfootnoteCharCharChar"/>
        </w:rPr>
        <w:t>129 Stat. 584, 599</w:t>
      </w:r>
      <w:r>
        <w:rPr>
          <w:rStyle w:val="rrfootnoteCharCharChar"/>
        </w:rPr>
        <w:t xml:space="preserve"> (2015) (2015 Inflation Adjustment Act</w:t>
      </w:r>
      <w:r>
        <w:t>)</w:t>
      </w:r>
      <w:r w:rsidRPr="006B73E8">
        <w:t>.</w:t>
      </w:r>
    </w:p>
  </w:footnote>
  <w:footnote w:id="7">
    <w:p w:rsidR="005D1BA6" w:rsidRPr="002D63C3" w:rsidP="003C4AD3" w14:paraId="1B9A0619"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8">
    <w:p w:rsidR="002B3299" w14:paraId="1B3217FF" w14:textId="7A8163E6">
      <w:pPr>
        <w:pStyle w:val="FootnoteText"/>
      </w:pPr>
      <w:r>
        <w:rPr>
          <w:rStyle w:val="FootnoteReference"/>
        </w:rPr>
        <w:footnoteRef/>
      </w:r>
      <w:r>
        <w:t xml:space="preserve"> 47 U.S.C. § 302a(b)</w:t>
      </w:r>
      <w:r w:rsidR="00A1447A">
        <w:t>.</w:t>
      </w:r>
    </w:p>
  </w:footnote>
  <w:footnote w:id="9">
    <w:p w:rsidR="005D1BA6" w:rsidRPr="002D63C3" w:rsidP="003C4AD3" w14:paraId="7EE8A86C" w14:textId="593701C4">
      <w:pPr>
        <w:pStyle w:val="FootnoteText"/>
      </w:pPr>
      <w:r w:rsidRPr="002D63C3">
        <w:rPr>
          <w:rStyle w:val="FootnoteReference"/>
        </w:rPr>
        <w:footnoteRef/>
      </w:r>
      <w:r w:rsidRPr="002D63C3" w:rsidR="00C42D39">
        <w:t xml:space="preserve"> 47 </w:t>
      </w:r>
      <w:r w:rsidR="000516D6">
        <w:t>CFR</w:t>
      </w:r>
      <w:r w:rsidRPr="002D63C3">
        <w:t xml:space="preserve"> </w:t>
      </w:r>
      <w:r w:rsidR="00BF0775">
        <w:t>§</w:t>
      </w:r>
      <w:r w:rsidRPr="002D63C3">
        <w:t xml:space="preserve">§ </w:t>
      </w:r>
      <w:r w:rsidR="00BF0775">
        <w:t>2.803, 2.9</w:t>
      </w:r>
      <w:r w:rsidR="00047537">
        <w:t>2</w:t>
      </w:r>
      <w:r w:rsidR="00BF0775">
        <w:t>5, 15.19</w:t>
      </w:r>
      <w:r w:rsidR="00A2302F">
        <w:t>, 15.201</w:t>
      </w:r>
      <w:r w:rsidRPr="002D63C3">
        <w:t xml:space="preserve">. </w:t>
      </w:r>
    </w:p>
  </w:footnote>
  <w:footnote w:id="10">
    <w:p w:rsidR="005D1BA6" w:rsidRPr="002D63C3" w:rsidP="003C4AD3" w14:paraId="3E92320B"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11">
    <w:p w:rsidR="00D21410" w14:paraId="09969EC0" w14:textId="57C22A10">
      <w:pPr>
        <w:pStyle w:val="FootnoteText"/>
      </w:pPr>
      <w:r>
        <w:rPr>
          <w:rStyle w:val="FootnoteReference"/>
        </w:rPr>
        <w:footnoteRef/>
      </w:r>
      <w:r w:rsidR="002C7214">
        <w:t xml:space="preserve"> </w:t>
      </w:r>
      <w:r w:rsidR="006F7457">
        <w:rPr>
          <w:i/>
        </w:rPr>
        <w:t xml:space="preserve">See </w:t>
      </w:r>
      <w:r w:rsidR="00AF3A64">
        <w:t>Response to</w:t>
      </w:r>
      <w:r w:rsidRPr="00F978F7" w:rsidR="007951CA">
        <w:t xml:space="preserve"> </w:t>
      </w:r>
      <w:r w:rsidR="002C7214">
        <w:t>Letter</w:t>
      </w:r>
      <w:r w:rsidR="00AF3A64">
        <w:t xml:space="preserve"> of Inquiry</w:t>
      </w:r>
      <w:r w:rsidR="00FA532F">
        <w:t>,</w:t>
      </w:r>
      <w:r w:rsidR="002C7214">
        <w:t xml:space="preserve"> from Henry Liou, President and Secretary, Premier Communications Corp. d/b/a/ Pryme Radio Products, to Marlene Dortch, Secretary</w:t>
      </w:r>
      <w:r w:rsidR="00D6046B">
        <w:t>,</w:t>
      </w:r>
      <w:r w:rsidR="002C7214">
        <w:t xml:space="preserve"> Federal Communications Commission, attn: Jonathan Garvin, Attorney Advisor, Spectrum Enforcement Division, FCC Enforcement Bureau</w:t>
      </w:r>
      <w:r w:rsidR="00C40F5E">
        <w:t xml:space="preserve">, </w:t>
      </w:r>
      <w:r w:rsidR="0055148F">
        <w:t>at 2, Response to Inquiry 1</w:t>
      </w:r>
      <w:r w:rsidR="002C7214">
        <w:t xml:space="preserve"> (May 28</w:t>
      </w:r>
      <w:r w:rsidRPr="0095507B" w:rsidR="002C7214">
        <w:t>,</w:t>
      </w:r>
      <w:r w:rsidRPr="0095507B" w:rsidR="00EA78CA">
        <w:t xml:space="preserve"> </w:t>
      </w:r>
      <w:r w:rsidRPr="0095507B" w:rsidR="002C7214">
        <w:t>201</w:t>
      </w:r>
      <w:r w:rsidRPr="0095507B" w:rsidR="00D63321">
        <w:t>9</w:t>
      </w:r>
      <w:r w:rsidR="002C7214">
        <w:t>) (on file in EB-SED-19-00028740) (LOI Response)</w:t>
      </w:r>
      <w:r w:rsidR="00B60614">
        <w:t xml:space="preserve">. </w:t>
      </w:r>
      <w:r w:rsidR="00803F83">
        <w:t xml:space="preserve"> </w:t>
      </w:r>
    </w:p>
  </w:footnote>
  <w:footnote w:id="12">
    <w:p w:rsidR="00F714A9" w:rsidRPr="00F555F8" w14:paraId="7254DB8D" w14:textId="664CF582">
      <w:pPr>
        <w:pStyle w:val="FootnoteText"/>
      </w:pPr>
      <w:r>
        <w:rPr>
          <w:rStyle w:val="FootnoteReference"/>
        </w:rPr>
        <w:footnoteRef/>
      </w:r>
      <w:r>
        <w:t xml:space="preserve"> </w:t>
      </w:r>
      <w:r w:rsidR="00F555F8">
        <w:rPr>
          <w:i/>
        </w:rPr>
        <w:t xml:space="preserve">See </w:t>
      </w:r>
      <w:r w:rsidR="00F555F8">
        <w:t xml:space="preserve">Pryme Radio Products, </w:t>
      </w:r>
      <w:r w:rsidR="005C6D63">
        <w:t xml:space="preserve"> </w:t>
      </w:r>
      <w:r w:rsidR="005C6D63">
        <w:rPr>
          <w:i/>
        </w:rPr>
        <w:t>Bluetooth</w:t>
      </w:r>
      <w:r w:rsidR="00662841">
        <w:t>,</w:t>
      </w:r>
      <w:r w:rsidRPr="00F978F7" w:rsidR="005C6D63">
        <w:rPr>
          <w:kern w:val="28"/>
          <w:sz w:val="22"/>
        </w:rPr>
        <w:t xml:space="preserve"> </w:t>
      </w:r>
      <w:hyperlink r:id="rId1" w:history="1">
        <w:r w:rsidRPr="005C6D63" w:rsidR="005C6D63">
          <w:rPr>
            <w:rStyle w:val="Hyperlink"/>
          </w:rPr>
          <w:t>https://www.pryme.com/index.php?l=product_list&amp;c=71</w:t>
        </w:r>
      </w:hyperlink>
      <w:r w:rsidRPr="005C6D63" w:rsidR="005C6D63">
        <w:t xml:space="preserve"> </w:t>
      </w:r>
      <w:r w:rsidR="00F555F8">
        <w:t xml:space="preserve">(last visited </w:t>
      </w:r>
      <w:r w:rsidR="005C6D63">
        <w:t xml:space="preserve">Aug. </w:t>
      </w:r>
      <w:r w:rsidR="00A96073">
        <w:t>26</w:t>
      </w:r>
      <w:r w:rsidR="00F555F8">
        <w:t>, 2019)</w:t>
      </w:r>
      <w:r w:rsidR="00B27BB5">
        <w:t xml:space="preserve">; </w:t>
      </w:r>
      <w:r w:rsidR="00B27BB5">
        <w:rPr>
          <w:i/>
        </w:rPr>
        <w:t>see also</w:t>
      </w:r>
      <w:r w:rsidR="002C7214">
        <w:t xml:space="preserve"> LOI </w:t>
      </w:r>
      <w:r w:rsidR="00D64C26">
        <w:t>R</w:t>
      </w:r>
      <w:r w:rsidR="002C7214">
        <w:t xml:space="preserve">esponse, </w:t>
      </w:r>
      <w:r w:rsidR="002C7214">
        <w:rPr>
          <w:i/>
        </w:rPr>
        <w:t>supra</w:t>
      </w:r>
      <w:r w:rsidR="002C7214">
        <w:t xml:space="preserve"> note </w:t>
      </w:r>
      <w:r w:rsidR="00D64C26">
        <w:t>9</w:t>
      </w:r>
      <w:r w:rsidR="00234BED">
        <w:t>, at</w:t>
      </w:r>
      <w:r w:rsidR="00AF3A64">
        <w:t xml:space="preserve"> 3, Response to Inquiry</w:t>
      </w:r>
      <w:r w:rsidR="00FA532F">
        <w:t xml:space="preserve"> 2.</w:t>
      </w:r>
      <w:r w:rsidR="00F555F8">
        <w:t xml:space="preserve"> </w:t>
      </w:r>
    </w:p>
  </w:footnote>
  <w:footnote w:id="13">
    <w:p w:rsidR="00D8343D" w14:paraId="3C77AC14" w14:textId="771D823D">
      <w:pPr>
        <w:pStyle w:val="FootnoteText"/>
      </w:pPr>
      <w:r>
        <w:rPr>
          <w:rStyle w:val="FootnoteReference"/>
        </w:rPr>
        <w:footnoteRef/>
      </w:r>
      <w:r>
        <w:t xml:space="preserve"> </w:t>
      </w:r>
      <w:r w:rsidRPr="00173E98" w:rsidR="00173E98">
        <w:rPr>
          <w:i/>
          <w:iCs/>
        </w:rPr>
        <w:t>See</w:t>
      </w:r>
      <w:r w:rsidR="00173E98">
        <w:t xml:space="preserve"> </w:t>
      </w:r>
      <w:r>
        <w:t>47 CFR § 15.3(o) (defining intentional radiator); 47 CFR § 15.201 (outlining authorization requirements)</w:t>
      </w:r>
      <w:r w:rsidR="00C972A1">
        <w:t>.</w:t>
      </w:r>
    </w:p>
  </w:footnote>
  <w:footnote w:id="14">
    <w:p w:rsidR="001C5223" w:rsidP="001C5223" w14:paraId="66C44383" w14:textId="10D8488F">
      <w:pPr>
        <w:pStyle w:val="FootnoteText"/>
      </w:pPr>
      <w:r>
        <w:rPr>
          <w:rStyle w:val="FootnoteReference"/>
        </w:rPr>
        <w:footnoteRef/>
      </w:r>
      <w:r>
        <w:t xml:space="preserve"> Letter</w:t>
      </w:r>
      <w:r w:rsidR="00EA538E">
        <w:t xml:space="preserve"> </w:t>
      </w:r>
      <w:r w:rsidR="00FD2047">
        <w:t>of Inquiry</w:t>
      </w:r>
      <w:r>
        <w:t xml:space="preserve"> from Elizabeth Mumaw, Chief, Spectrum Enforcement Division, </w:t>
      </w:r>
      <w:r w:rsidR="00F46D0C">
        <w:t xml:space="preserve">FCC </w:t>
      </w:r>
      <w:r>
        <w:t xml:space="preserve">Enforcement Bureau, to Henry Liou, President, Premier Communications Corp. d/b/a Pryme Radio Products (Apr. 18, 2019) (on file in EB-SED-19-00028740) (LOI). </w:t>
      </w:r>
    </w:p>
  </w:footnote>
  <w:footnote w:id="15">
    <w:p w:rsidR="00803F83" w:rsidRPr="00CC3CFE" w:rsidP="00803F83" w14:paraId="788B04CB" w14:textId="77777777">
      <w:pPr>
        <w:pStyle w:val="FootnoteText"/>
      </w:pPr>
      <w:r>
        <w:rPr>
          <w:rStyle w:val="FootnoteReference"/>
        </w:rPr>
        <w:footnoteRef/>
      </w:r>
      <w:r>
        <w:t xml:space="preserve"> LOI Response. </w:t>
      </w:r>
    </w:p>
  </w:footnote>
  <w:footnote w:id="16">
    <w:p w:rsidR="008226BB" w:rsidRPr="008226BB" w14:paraId="547005D5" w14:textId="6E826B85">
      <w:pPr>
        <w:pStyle w:val="FootnoteText"/>
      </w:pPr>
      <w:r>
        <w:rPr>
          <w:rStyle w:val="FootnoteReference"/>
        </w:rPr>
        <w:footnoteRef/>
      </w:r>
      <w:r>
        <w:t xml:space="preserve"> </w:t>
      </w:r>
      <w:r>
        <w:rPr>
          <w:i/>
        </w:rPr>
        <w:t xml:space="preserve">Id. </w:t>
      </w:r>
      <w:r>
        <w:t>at 5-6, Response to Inquiry 11(a).</w:t>
      </w:r>
      <w:r w:rsidR="00A63865">
        <w:t xml:space="preserve">  </w:t>
      </w:r>
    </w:p>
  </w:footnote>
  <w:footnote w:id="17">
    <w:p w:rsidR="008226BB" w:rsidRPr="008226BB" w14:paraId="309ADA30" w14:textId="454D8453">
      <w:pPr>
        <w:pStyle w:val="FootnoteText"/>
      </w:pPr>
      <w:r>
        <w:rPr>
          <w:rStyle w:val="FootnoteReference"/>
        </w:rPr>
        <w:footnoteRef/>
      </w:r>
      <w:r>
        <w:t xml:space="preserve"> </w:t>
      </w:r>
      <w:r>
        <w:rPr>
          <w:i/>
        </w:rPr>
        <w:t xml:space="preserve">Id. </w:t>
      </w:r>
      <w:r>
        <w:t>at 5, Response to Inquiry 10.</w:t>
      </w:r>
      <w:r w:rsidR="00543C45">
        <w:t xml:space="preserve">  </w:t>
      </w:r>
    </w:p>
  </w:footnote>
  <w:footnote w:id="18">
    <w:p w:rsidR="00702341" w:rsidRPr="00D66F0E" w:rsidP="00702341" w14:paraId="14485D5B" w14:textId="745ADA1C">
      <w:pPr>
        <w:pStyle w:val="FootnoteText"/>
      </w:pPr>
      <w:r>
        <w:rPr>
          <w:rStyle w:val="FootnoteReference"/>
        </w:rPr>
        <w:footnoteRef/>
      </w:r>
      <w:r>
        <w:t xml:space="preserve"> There is </w:t>
      </w:r>
      <w:r w:rsidRPr="00976134">
        <w:t xml:space="preserve">no </w:t>
      </w:r>
      <w:r w:rsidRPr="00976134" w:rsidR="00475B4D">
        <w:t>marketing</w:t>
      </w:r>
      <w:r w:rsidR="00475B4D">
        <w:t xml:space="preserve"> </w:t>
      </w:r>
      <w:r>
        <w:t xml:space="preserve">violation associated with this model, as it was authorized prior to the date that marketing began.  </w:t>
      </w:r>
      <w:r>
        <w:rPr>
          <w:i/>
          <w:iCs/>
        </w:rPr>
        <w:t xml:space="preserve">See </w:t>
      </w:r>
      <w:r>
        <w:t>LOI Response at 5-6, Responses to Inquiries 10 and 11(a).</w:t>
      </w:r>
    </w:p>
  </w:footnote>
  <w:footnote w:id="19">
    <w:p w:rsidR="006D724F" w:rsidP="006D724F" w14:paraId="2B4FF4FF" w14:textId="66BDC369">
      <w:pPr>
        <w:pStyle w:val="FootnoteText"/>
      </w:pPr>
      <w:r>
        <w:rPr>
          <w:rStyle w:val="FootnoteReference"/>
        </w:rPr>
        <w:footnoteRef/>
      </w:r>
      <w:r>
        <w:t xml:space="preserve"> </w:t>
      </w:r>
      <w:r w:rsidR="001F4C63">
        <w:t xml:space="preserve">As discussed in paragraph 12 </w:t>
      </w:r>
      <w:r w:rsidR="00F70045">
        <w:t xml:space="preserve">below, </w:t>
      </w:r>
      <w:r w:rsidR="001F4C63">
        <w:t>Pryme erroneously believed that model BT-PTT2 was covered under the authorization of another model, BT-PTT1</w:t>
      </w:r>
      <w:r w:rsidR="00B40FF7">
        <w:t>;</w:t>
      </w:r>
      <w:r w:rsidR="00760F30">
        <w:t xml:space="preserve"> thus</w:t>
      </w:r>
      <w:r w:rsidR="00B40FF7">
        <w:t>,</w:t>
      </w:r>
      <w:r w:rsidR="00760F30">
        <w:t xml:space="preserve"> in Pryme’s LOI response </w:t>
      </w:r>
      <w:r w:rsidR="00A1447A">
        <w:t xml:space="preserve">it </w:t>
      </w:r>
      <w:r w:rsidR="00760F30">
        <w:t>provided May 18, 2012</w:t>
      </w:r>
      <w:r w:rsidR="00B40FF7">
        <w:t>,</w:t>
      </w:r>
      <w:r w:rsidR="00760F30">
        <w:t xml:space="preserve"> as the date for the device’s authorization</w:t>
      </w:r>
      <w:r w:rsidR="001F4C63">
        <w:t xml:space="preserve">.  </w:t>
      </w:r>
      <w:r w:rsidR="0050528D">
        <w:t xml:space="preserve">Subsequently, Pryme obtained a grant of </w:t>
      </w:r>
      <w:r w:rsidR="002E16DE">
        <w:t>authorization</w:t>
      </w:r>
      <w:r w:rsidR="0050528D">
        <w:t xml:space="preserve"> for model BT-PTT2 on June 24, 2019</w:t>
      </w:r>
      <w:r w:rsidR="001F4C63">
        <w:t>—which is the date used to determine whether model BT-PTT2 was authorized prior to marketing.</w:t>
      </w:r>
      <w:r w:rsidR="0050528D">
        <w:t xml:space="preserve">  </w:t>
      </w:r>
      <w:r w:rsidR="0050528D">
        <w:rPr>
          <w:i/>
          <w:iCs/>
        </w:rPr>
        <w:t xml:space="preserve">See infra </w:t>
      </w:r>
      <w:r w:rsidR="0050528D">
        <w:t xml:space="preserve">para. 9. </w:t>
      </w:r>
    </w:p>
  </w:footnote>
  <w:footnote w:id="20">
    <w:p w:rsidR="00873195" w:rsidP="00873195" w14:paraId="6C9FE469" w14:textId="77777777">
      <w:pPr>
        <w:pStyle w:val="FootnoteText"/>
      </w:pPr>
      <w:r>
        <w:rPr>
          <w:rStyle w:val="FootnoteReference"/>
        </w:rPr>
        <w:footnoteRef/>
      </w:r>
      <w:r>
        <w:t xml:space="preserve"> </w:t>
      </w:r>
      <w:r>
        <w:rPr>
          <w:i/>
        </w:rPr>
        <w:t xml:space="preserve">Id. </w:t>
      </w:r>
      <w:r>
        <w:t xml:space="preserve">at 6, Response to Inquiry 11(b).  </w:t>
      </w:r>
    </w:p>
  </w:footnote>
  <w:footnote w:id="21">
    <w:p w:rsidR="00535EBC" w:rsidRPr="00535EBC" w14:paraId="2B75F6BB" w14:textId="1D573C57">
      <w:pPr>
        <w:pStyle w:val="FootnoteText"/>
      </w:pPr>
      <w:r>
        <w:rPr>
          <w:rStyle w:val="FootnoteReference"/>
        </w:rPr>
        <w:footnoteRef/>
      </w:r>
      <w:r>
        <w:t xml:space="preserve"> </w:t>
      </w:r>
      <w:r>
        <w:rPr>
          <w:i/>
        </w:rPr>
        <w:t>Id.</w:t>
      </w:r>
      <w:r>
        <w:t xml:space="preserve"> at 8</w:t>
      </w:r>
      <w:r w:rsidR="0055148F">
        <w:t>, Response to Inquiry 11(d)</w:t>
      </w:r>
      <w:r>
        <w:t>.</w:t>
      </w:r>
    </w:p>
  </w:footnote>
  <w:footnote w:id="22">
    <w:p w:rsidR="00A96073" w14:paraId="19226221" w14:textId="4818EC47">
      <w:pPr>
        <w:pStyle w:val="FootnoteText"/>
      </w:pPr>
      <w:r>
        <w:rPr>
          <w:rStyle w:val="FootnoteReference"/>
        </w:rPr>
        <w:footnoteRef/>
      </w:r>
      <w:r>
        <w:t xml:space="preserve"> 47 CFR </w:t>
      </w:r>
      <w:r w:rsidR="008226BB">
        <w:t xml:space="preserve">§ </w:t>
      </w:r>
      <w:r>
        <w:t>15.19(a)(3).</w:t>
      </w:r>
    </w:p>
  </w:footnote>
  <w:footnote w:id="23">
    <w:p w:rsidR="00535EBC" w:rsidP="00535EBC" w14:paraId="67872C3D" w14:textId="6D12EB99">
      <w:pPr>
        <w:pStyle w:val="FootnoteText"/>
      </w:pPr>
      <w:r>
        <w:rPr>
          <w:rStyle w:val="FootnoteReference"/>
        </w:rPr>
        <w:footnoteRef/>
      </w:r>
      <w:r>
        <w:t xml:space="preserve"> 47 CFR </w:t>
      </w:r>
      <w:r w:rsidR="008226BB">
        <w:t xml:space="preserve">§ </w:t>
      </w:r>
      <w:r>
        <w:t>15.19(a)(5) (</w:t>
      </w:r>
      <w:r w:rsidR="00E916DD">
        <w:t>“</w:t>
      </w:r>
      <w:r w:rsidRPr="00E916DD" w:rsidR="00E916DD">
        <w:t xml:space="preserve">When the device is so small or for such use that it is impracticable to label it with the statement specified under </w:t>
      </w:r>
      <w:r w:rsidR="00E916DD">
        <w:t xml:space="preserve">[47 CFR § 15.19(a)] </w:t>
      </w:r>
      <w:r w:rsidRPr="00E916DD" w:rsidR="00E916DD">
        <w:t>in a font that is four-point or larger, and the device does not have a display that can show electronic labeling, then the information required by this paragraph shall be placed in the user manual and must also either be placed on the device packaging or on a removable label attached to the device</w:t>
      </w:r>
      <w:r w:rsidR="00E916DD">
        <w:t>.”</w:t>
      </w:r>
      <w:r>
        <w:t xml:space="preserve">). </w:t>
      </w:r>
    </w:p>
  </w:footnote>
  <w:footnote w:id="24">
    <w:p w:rsidR="0043344F" w14:paraId="4A8FEBDD" w14:textId="38453681">
      <w:pPr>
        <w:pStyle w:val="FootnoteText"/>
      </w:pPr>
      <w:r>
        <w:rPr>
          <w:rStyle w:val="FootnoteReference"/>
        </w:rPr>
        <w:footnoteRef/>
      </w:r>
      <w:r>
        <w:t xml:space="preserve"> </w:t>
      </w:r>
      <w:r w:rsidRPr="005643A6">
        <w:rPr>
          <w:iCs/>
        </w:rPr>
        <w:t>LOI Response</w:t>
      </w:r>
      <w:r>
        <w:rPr>
          <w:i/>
        </w:rPr>
        <w:t xml:space="preserve"> </w:t>
      </w:r>
      <w:r>
        <w:t xml:space="preserve">at 7, Response to Inquiry 11(b).  </w:t>
      </w:r>
    </w:p>
  </w:footnote>
  <w:footnote w:id="25">
    <w:p w:rsidR="0043344F" w:rsidRPr="0043344F" w14:paraId="562BC770" w14:textId="78FFC26C">
      <w:pPr>
        <w:pStyle w:val="FootnoteText"/>
        <w:rPr>
          <w:iCs/>
        </w:rPr>
      </w:pPr>
      <w:r>
        <w:rPr>
          <w:rStyle w:val="FootnoteReference"/>
        </w:rPr>
        <w:footnoteRef/>
      </w:r>
      <w:r>
        <w:t xml:space="preserve"> </w:t>
      </w:r>
      <w:r w:rsidRPr="005643A6">
        <w:rPr>
          <w:i/>
          <w:iCs/>
        </w:rPr>
        <w:t>See</w:t>
      </w:r>
      <w:r>
        <w:t xml:space="preserve"> </w:t>
      </w:r>
      <w:r>
        <w:rPr>
          <w:i/>
        </w:rPr>
        <w:t>id.</w:t>
      </w:r>
      <w:r w:rsidRPr="005643A6">
        <w:rPr>
          <w:iCs/>
        </w:rPr>
        <w:t>;</w:t>
      </w:r>
      <w:r>
        <w:rPr>
          <w:i/>
        </w:rPr>
        <w:t xml:space="preserve"> </w:t>
      </w:r>
      <w:r w:rsidR="00EA78CA">
        <w:rPr>
          <w:i/>
        </w:rPr>
        <w:t xml:space="preserve">see also </w:t>
      </w:r>
      <w:r w:rsidRPr="008C1091">
        <w:t xml:space="preserve">E-mail from </w:t>
      </w:r>
      <w:r>
        <w:t>Madeleine M. Lottenbach</w:t>
      </w:r>
      <w:r w:rsidRPr="008C1091">
        <w:t>,</w:t>
      </w:r>
      <w:r>
        <w:t xml:space="preserve"> Esq., Wiley Rein LLP,</w:t>
      </w:r>
      <w:r w:rsidRPr="008C1091">
        <w:t xml:space="preserve"> </w:t>
      </w:r>
      <w:r>
        <w:t xml:space="preserve">Counsel to Pryme Communications Corp. d/b/a Pryme Radio Products, </w:t>
      </w:r>
      <w:r w:rsidRPr="008C1091">
        <w:t xml:space="preserve">to </w:t>
      </w:r>
      <w:r>
        <w:t>Paul Noone</w:t>
      </w:r>
      <w:r w:rsidRPr="008C1091">
        <w:t xml:space="preserve">, </w:t>
      </w:r>
      <w:r>
        <w:t>Attorney Advisor</w:t>
      </w:r>
      <w:r w:rsidRPr="008C1091">
        <w:t>, Spectrum Enforcement Division, FCC Enforcement Bureau (</w:t>
      </w:r>
      <w:r>
        <w:t>Oct</w:t>
      </w:r>
      <w:r w:rsidRPr="008C1091">
        <w:t xml:space="preserve">. </w:t>
      </w:r>
      <w:r>
        <w:t>30</w:t>
      </w:r>
      <w:r w:rsidRPr="008C1091">
        <w:t>, 20</w:t>
      </w:r>
      <w:r>
        <w:t>20</w:t>
      </w:r>
      <w:r w:rsidRPr="008C1091">
        <w:t>, 1</w:t>
      </w:r>
      <w:r>
        <w:t>5</w:t>
      </w:r>
      <w:r w:rsidRPr="008C1091">
        <w:t>:</w:t>
      </w:r>
      <w:r>
        <w:t>4</w:t>
      </w:r>
      <w:r w:rsidRPr="008C1091">
        <w:t xml:space="preserve">2 </w:t>
      </w:r>
      <w:r w:rsidRPr="008C1091">
        <w:rPr>
          <w:color w:val="000000"/>
        </w:rPr>
        <w:t>E</w:t>
      </w:r>
      <w:r>
        <w:rPr>
          <w:color w:val="000000"/>
        </w:rPr>
        <w:t>D</w:t>
      </w:r>
      <w:r w:rsidRPr="008C1091">
        <w:rPr>
          <w:color w:val="000000"/>
        </w:rPr>
        <w:t>T) (on file in EB-SED-</w:t>
      </w:r>
      <w:r w:rsidRPr="008C1091">
        <w:t>1</w:t>
      </w:r>
      <w:r>
        <w:t>9</w:t>
      </w:r>
      <w:r w:rsidRPr="008C1091">
        <w:t>-0002</w:t>
      </w:r>
      <w:r>
        <w:t>8740</w:t>
      </w:r>
      <w:r w:rsidRPr="008C1091">
        <w:t>)</w:t>
      </w:r>
      <w:r>
        <w:t>.</w:t>
      </w:r>
    </w:p>
  </w:footnote>
  <w:footnote w:id="26">
    <w:p w:rsidR="00FD0A14" w:rsidRPr="00B94B3D" w:rsidP="00FD0A14" w14:paraId="69A9D192" w14:textId="110473CD">
      <w:pPr>
        <w:pStyle w:val="FootnoteText"/>
      </w:pPr>
      <w:r>
        <w:rPr>
          <w:rStyle w:val="FootnoteReference"/>
        </w:rPr>
        <w:footnoteRef/>
      </w:r>
      <w:r>
        <w:t xml:space="preserve"> </w:t>
      </w:r>
      <w:r>
        <w:rPr>
          <w:i/>
        </w:rPr>
        <w:t>Id.</w:t>
      </w:r>
      <w:r>
        <w:t xml:space="preserve"> at 7–8, Response to Inquiry 11(c). </w:t>
      </w:r>
    </w:p>
  </w:footnote>
  <w:footnote w:id="27">
    <w:p w:rsidR="000F7408" w:rsidP="000F7408" w14:paraId="38ECF5B9" w14:textId="77E7703C">
      <w:pPr>
        <w:pStyle w:val="FootnoteText"/>
      </w:pPr>
      <w:r>
        <w:rPr>
          <w:rStyle w:val="FootnoteReference"/>
        </w:rPr>
        <w:footnoteRef/>
      </w:r>
      <w:r>
        <w:t xml:space="preserve"> </w:t>
      </w:r>
      <w:r w:rsidRPr="0008467D">
        <w:rPr>
          <w:i/>
        </w:rPr>
        <w:t>See</w:t>
      </w:r>
      <w:r w:rsidRPr="0008467D">
        <w:t xml:space="preserve"> </w:t>
      </w:r>
      <w:r w:rsidRPr="00D063E7">
        <w:rPr>
          <w:i/>
        </w:rPr>
        <w:t>Grant of Equipment Authorization</w:t>
      </w:r>
      <w:r>
        <w:t xml:space="preserve"> </w:t>
      </w:r>
      <w:r w:rsidRPr="0008467D">
        <w:t xml:space="preserve">(June 24, 2019), </w:t>
      </w:r>
      <w:hyperlink r:id="rId2" w:history="1">
        <w:r w:rsidRPr="00817B30">
          <w:rPr>
            <w:rStyle w:val="Hyperlink"/>
          </w:rPr>
          <w:t>https://apps.fcc.gov/oetcf/tcb/reports/Tcb731GrantForm.cfm?mode=COPY&amp;RequestTimeout=500&amp;tcb_code=&amp;application_id=CxNoSKWIX0Jf6Q9n%2BcZOrA%3D%3D&amp;fcc_id=XTS-BT-PTT2</w:t>
        </w:r>
      </w:hyperlink>
      <w:r w:rsidRPr="00E94E6A">
        <w:t>.</w:t>
      </w:r>
    </w:p>
  </w:footnote>
  <w:footnote w:id="28">
    <w:p w:rsidR="000F7408" w:rsidRPr="00C972A1" w:rsidP="000F7408" w14:paraId="759B92D8" w14:textId="1B0B2DCA">
      <w:pPr>
        <w:pStyle w:val="FootnoteText"/>
      </w:pPr>
      <w:r>
        <w:rPr>
          <w:rStyle w:val="FootnoteReference"/>
        </w:rPr>
        <w:footnoteRef/>
      </w:r>
      <w:r>
        <w:t xml:space="preserve"> </w:t>
      </w:r>
      <w:r>
        <w:rPr>
          <w:i/>
        </w:rPr>
        <w:t xml:space="preserve">See </w:t>
      </w:r>
      <w:r>
        <w:t>LOI Response at 7-8, Response to Inquiry 11(c).</w:t>
      </w:r>
      <w:r w:rsidR="00603B91">
        <w:t xml:space="preserve">  </w:t>
      </w:r>
    </w:p>
  </w:footnote>
  <w:footnote w:id="29">
    <w:p w:rsidR="006C5CCB" w14:paraId="7C2FBF70" w14:textId="296A45EB">
      <w:pPr>
        <w:pStyle w:val="FootnoteText"/>
      </w:pPr>
      <w:r>
        <w:rPr>
          <w:rStyle w:val="FootnoteReference"/>
        </w:rPr>
        <w:footnoteRef/>
      </w:r>
      <w:r>
        <w:t xml:space="preserve"> </w:t>
      </w:r>
      <w:r w:rsidRPr="008C1091">
        <w:rPr>
          <w:i/>
        </w:rPr>
        <w:t xml:space="preserve">See </w:t>
      </w:r>
      <w:r w:rsidRPr="008C1091" w:rsidR="0043344F">
        <w:t xml:space="preserve">E-mail from </w:t>
      </w:r>
      <w:r w:rsidR="0043344F">
        <w:t>Madeleine M. Lottenbach</w:t>
      </w:r>
      <w:r w:rsidRPr="008C1091" w:rsidR="0043344F">
        <w:t>,</w:t>
      </w:r>
      <w:r w:rsidR="0043344F">
        <w:t xml:space="preserve"> Esq., Wiley Rein LLP,</w:t>
      </w:r>
      <w:r w:rsidRPr="008C1091" w:rsidR="0043344F">
        <w:t xml:space="preserve"> </w:t>
      </w:r>
      <w:r w:rsidR="0043344F">
        <w:t xml:space="preserve">Counsel to Pryme Communications Corp. d/b/a Pryme Radio Products, </w:t>
      </w:r>
      <w:r w:rsidRPr="008C1091" w:rsidR="0043344F">
        <w:t xml:space="preserve">to </w:t>
      </w:r>
      <w:r w:rsidR="0043344F">
        <w:t>Paul Noone</w:t>
      </w:r>
      <w:r w:rsidRPr="008C1091" w:rsidR="0043344F">
        <w:t xml:space="preserve">, </w:t>
      </w:r>
      <w:r w:rsidR="0043344F">
        <w:t>Attorney Advisor</w:t>
      </w:r>
      <w:r w:rsidRPr="008C1091" w:rsidR="0043344F">
        <w:t>, Spectrum Enforcement Division, FCC Enforcement Bureau (</w:t>
      </w:r>
      <w:r w:rsidR="0043344F">
        <w:t>Oct</w:t>
      </w:r>
      <w:r w:rsidRPr="008C1091" w:rsidR="0043344F">
        <w:t xml:space="preserve">. </w:t>
      </w:r>
      <w:r w:rsidR="0043344F">
        <w:t>30</w:t>
      </w:r>
      <w:r w:rsidRPr="008C1091" w:rsidR="0043344F">
        <w:t>, 20</w:t>
      </w:r>
      <w:r w:rsidR="0043344F">
        <w:t>20</w:t>
      </w:r>
      <w:r w:rsidRPr="008C1091" w:rsidR="0043344F">
        <w:t>, 1</w:t>
      </w:r>
      <w:r w:rsidR="0043344F">
        <w:t>5</w:t>
      </w:r>
      <w:r w:rsidRPr="008C1091" w:rsidR="0043344F">
        <w:t>:</w:t>
      </w:r>
      <w:r w:rsidR="0043344F">
        <w:t>4</w:t>
      </w:r>
      <w:r w:rsidRPr="008C1091" w:rsidR="0043344F">
        <w:t xml:space="preserve">2 </w:t>
      </w:r>
      <w:r w:rsidRPr="008C1091" w:rsidR="0043344F">
        <w:rPr>
          <w:color w:val="000000"/>
        </w:rPr>
        <w:t>E</w:t>
      </w:r>
      <w:r w:rsidR="0043344F">
        <w:rPr>
          <w:color w:val="000000"/>
        </w:rPr>
        <w:t>D</w:t>
      </w:r>
      <w:r w:rsidRPr="008C1091" w:rsidR="0043344F">
        <w:rPr>
          <w:color w:val="000000"/>
        </w:rPr>
        <w:t>T) (on file in EB-SED-</w:t>
      </w:r>
      <w:r w:rsidRPr="008C1091" w:rsidR="0043344F">
        <w:t>1</w:t>
      </w:r>
      <w:r w:rsidR="0043344F">
        <w:t>9</w:t>
      </w:r>
      <w:r w:rsidRPr="008C1091" w:rsidR="0043344F">
        <w:t>-0002</w:t>
      </w:r>
      <w:r w:rsidR="0043344F">
        <w:t>8740</w:t>
      </w:r>
      <w:r w:rsidRPr="008C1091" w:rsidR="0043344F">
        <w:t>)</w:t>
      </w:r>
      <w:r w:rsidR="0043344F">
        <w:t>.</w:t>
      </w:r>
    </w:p>
  </w:footnote>
  <w:footnote w:id="30">
    <w:p w:rsidR="000F7408" w:rsidRPr="00761767" w:rsidP="000F7408" w14:paraId="6C5D6419" w14:textId="5190D4CA">
      <w:pPr>
        <w:pStyle w:val="FootnoteText"/>
      </w:pPr>
      <w:r>
        <w:rPr>
          <w:rStyle w:val="FootnoteReference"/>
        </w:rPr>
        <w:footnoteRef/>
      </w:r>
      <w:r>
        <w:t xml:space="preserve"> </w:t>
      </w:r>
      <w:r w:rsidR="00EA78CA">
        <w:t xml:space="preserve">LOI Response </w:t>
      </w:r>
      <w:r>
        <w:t xml:space="preserve">at 8, Response to Inquiry 11(d). </w:t>
      </w:r>
    </w:p>
  </w:footnote>
  <w:footnote w:id="31">
    <w:p w:rsidR="00CF4C3A" w14:paraId="2D216BF7" w14:textId="7022AAE9">
      <w:pPr>
        <w:pStyle w:val="FootnoteText"/>
      </w:pPr>
      <w:r>
        <w:rPr>
          <w:rStyle w:val="FootnoteReference"/>
        </w:rPr>
        <w:footnoteRef/>
      </w:r>
      <w:r>
        <w:t xml:space="preserve"> </w:t>
      </w:r>
      <w:r>
        <w:rPr>
          <w:i/>
        </w:rPr>
        <w:t>Id.</w:t>
      </w:r>
      <w:r>
        <w:t xml:space="preserve"> at 6, Response to Inquiry 11(b).</w:t>
      </w:r>
    </w:p>
  </w:footnote>
  <w:footnote w:id="32">
    <w:p w:rsidR="00076A43" w:rsidP="00076A43" w14:paraId="1FFC70EC" w14:textId="671BAE89">
      <w:pPr>
        <w:pStyle w:val="FootnoteText"/>
      </w:pPr>
      <w:r>
        <w:rPr>
          <w:rStyle w:val="FootnoteReference"/>
        </w:rPr>
        <w:footnoteRef/>
      </w:r>
      <w:r>
        <w:t xml:space="preserve"> </w:t>
      </w:r>
      <w:r w:rsidRPr="002D63C3">
        <w:rPr>
          <w:kern w:val="20"/>
        </w:rPr>
        <w:t xml:space="preserve">47 U.S.C </w:t>
      </w:r>
      <w:r w:rsidRPr="002D63C3">
        <w:rPr>
          <w:kern w:val="20"/>
          <w:szCs w:val="24"/>
        </w:rPr>
        <w:t>§ 3</w:t>
      </w:r>
      <w:r>
        <w:rPr>
          <w:kern w:val="20"/>
          <w:szCs w:val="24"/>
        </w:rPr>
        <w:t>02a</w:t>
      </w:r>
      <w:r w:rsidRPr="002D63C3">
        <w:rPr>
          <w:kern w:val="20"/>
          <w:szCs w:val="24"/>
        </w:rPr>
        <w:t>(b).</w:t>
      </w:r>
      <w:r w:rsidRPr="002D63C3">
        <w:rPr>
          <w:kern w:val="20"/>
        </w:rPr>
        <w:t xml:space="preserve">  </w:t>
      </w:r>
    </w:p>
  </w:footnote>
  <w:footnote w:id="33">
    <w:p w:rsidR="00076A43" w:rsidP="00076A43" w14:paraId="3284D105" w14:textId="24FAFDE2">
      <w:pPr>
        <w:pStyle w:val="FootnoteText"/>
      </w:pPr>
      <w:r>
        <w:rPr>
          <w:rStyle w:val="FootnoteReference"/>
        </w:rPr>
        <w:footnoteRef/>
      </w:r>
      <w:r>
        <w:t xml:space="preserve"> 47 CFR § 2.803(b)(1).</w:t>
      </w:r>
    </w:p>
  </w:footnote>
  <w:footnote w:id="34">
    <w:p w:rsidR="00076A43" w:rsidRPr="009161EF" w:rsidP="00076A43" w14:paraId="2C538B01" w14:textId="4BEA903B">
      <w:pPr>
        <w:pStyle w:val="FootnoteText"/>
      </w:pPr>
      <w:r>
        <w:rPr>
          <w:rStyle w:val="FootnoteReference"/>
        </w:rPr>
        <w:footnoteRef/>
      </w:r>
      <w:r>
        <w:t xml:space="preserve"> 47 CFR §§ 2.925, 15.19, 15.21.</w:t>
      </w:r>
    </w:p>
  </w:footnote>
  <w:footnote w:id="35">
    <w:p w:rsidR="00CB2818" w14:paraId="1C086534" w14:textId="00AC0C11">
      <w:pPr>
        <w:pStyle w:val="FootnoteText"/>
      </w:pPr>
      <w:r>
        <w:rPr>
          <w:rStyle w:val="FootnoteReference"/>
        </w:rPr>
        <w:footnoteRef/>
      </w:r>
      <w:r>
        <w:t xml:space="preserve"> </w:t>
      </w:r>
      <w:r w:rsidR="00617B4B">
        <w:rPr>
          <w:i/>
        </w:rPr>
        <w:t xml:space="preserve">See </w:t>
      </w:r>
      <w:r>
        <w:t xml:space="preserve">47 CFR § 15.201(b). </w:t>
      </w:r>
      <w:r w:rsidR="00617B4B">
        <w:t xml:space="preserve"> </w:t>
      </w:r>
      <w:r w:rsidRPr="00CB2818">
        <w:t xml:space="preserve">An intentional radiator is “[a] device that intentionally generates and emits radio frequency energy by radiation or induction.”  </w:t>
      </w:r>
      <w:r w:rsidRPr="00CB2818">
        <w:rPr>
          <w:i/>
        </w:rPr>
        <w:t>Id</w:t>
      </w:r>
      <w:r w:rsidRPr="00CB2818">
        <w:t xml:space="preserve">. § 15.3(o).  A certification is an equipment authorization issued by the Commission or issued by a Telecommunication Certification Body (TCB) and authorized under the authority of the Commission, based on representations and test data submitted by the applicant.  </w:t>
      </w:r>
      <w:r w:rsidR="009F747D">
        <w:rPr>
          <w:i/>
        </w:rPr>
        <w:t>I</w:t>
      </w:r>
      <w:r w:rsidRPr="00CB2818">
        <w:rPr>
          <w:i/>
        </w:rPr>
        <w:t>d</w:t>
      </w:r>
      <w:r w:rsidRPr="00CB2818">
        <w:t>. § 2.907(a).  The equipment certification procedures can be found in 47 CFR §§ 2.1031-2.1060.</w:t>
      </w:r>
    </w:p>
  </w:footnote>
  <w:footnote w:id="36">
    <w:p w:rsidR="00CB2818" w14:paraId="091F4C71" w14:textId="732C8C82">
      <w:pPr>
        <w:pStyle w:val="FootnoteText"/>
      </w:pPr>
      <w:r>
        <w:rPr>
          <w:rStyle w:val="FootnoteReference"/>
        </w:rPr>
        <w:footnoteRef/>
      </w:r>
      <w:r>
        <w:t xml:space="preserve"> </w:t>
      </w:r>
      <w:r w:rsidR="00617B4B">
        <w:rPr>
          <w:i/>
        </w:rPr>
        <w:t xml:space="preserve">See </w:t>
      </w:r>
      <w:r>
        <w:t>47 CFR §</w:t>
      </w:r>
      <w:r w:rsidR="00F64C5A">
        <w:t>§</w:t>
      </w:r>
      <w:r>
        <w:t xml:space="preserve"> 2.803</w:t>
      </w:r>
      <w:r w:rsidR="009F747D">
        <w:t>,</w:t>
      </w:r>
      <w:r w:rsidR="00F64C5A">
        <w:t xml:space="preserve"> 15.19.</w:t>
      </w:r>
    </w:p>
  </w:footnote>
  <w:footnote w:id="37">
    <w:p w:rsidR="00C11CE1" w14:paraId="6F642F2C" w14:textId="1CFB0ACA">
      <w:pPr>
        <w:pStyle w:val="FootnoteText"/>
      </w:pPr>
      <w:r>
        <w:rPr>
          <w:rStyle w:val="FootnoteReference"/>
        </w:rPr>
        <w:footnoteRef/>
      </w:r>
      <w:r>
        <w:t xml:space="preserve"> </w:t>
      </w:r>
      <w:r w:rsidRPr="005643A6">
        <w:rPr>
          <w:i/>
          <w:iCs/>
        </w:rPr>
        <w:t>See</w:t>
      </w:r>
      <w:r>
        <w:t xml:space="preserve"> 47 CFR §§ 2.907(b), 2.908. </w:t>
      </w:r>
    </w:p>
  </w:footnote>
  <w:footnote w:id="38">
    <w:p w:rsidR="00E43ABF" w:rsidP="00E43ABF" w14:paraId="4CBBF6ED" w14:textId="4B8D9EDD">
      <w:pPr>
        <w:pStyle w:val="FootnoteText"/>
      </w:pPr>
      <w:r>
        <w:rPr>
          <w:rStyle w:val="FootnoteReference"/>
        </w:rPr>
        <w:footnoteRef/>
      </w:r>
      <w:r>
        <w:t xml:space="preserve"> </w:t>
      </w:r>
      <w:r>
        <w:rPr>
          <w:i/>
        </w:rPr>
        <w:t xml:space="preserve">See </w:t>
      </w:r>
      <w:r>
        <w:t xml:space="preserve">LOI Response at 3–6, Response to Inquiries 6, 9, 10, and 11(a).  Specifically, the charts provided in response to Inquiries 10 and 11(a) show the dates the Company began marketing each of the subject models and the dates each model received its FCC Grant of </w:t>
      </w:r>
      <w:r w:rsidR="004947B4">
        <w:t>Authorization</w:t>
      </w:r>
      <w:r>
        <w:t xml:space="preserve">, respectively.  As for the seven models noted, the company began marketing each device before the device was granted its </w:t>
      </w:r>
      <w:r w:rsidR="004947B4">
        <w:t>Authorization</w:t>
      </w:r>
      <w:r>
        <w:t xml:space="preserve">.  </w:t>
      </w:r>
      <w:r>
        <w:rPr>
          <w:i/>
        </w:rPr>
        <w:t>Id.</w:t>
      </w:r>
    </w:p>
  </w:footnote>
  <w:footnote w:id="39">
    <w:p w:rsidR="00E43ABF" w:rsidRPr="003103B2" w:rsidP="00E43ABF" w14:paraId="61FCAE4C" w14:textId="607532B9">
      <w:pPr>
        <w:pStyle w:val="FootnoteText"/>
      </w:pPr>
      <w:r>
        <w:rPr>
          <w:rStyle w:val="FootnoteReference"/>
        </w:rPr>
        <w:footnoteRef/>
      </w:r>
      <w:r>
        <w:t xml:space="preserve"> </w:t>
      </w:r>
      <w:r>
        <w:rPr>
          <w:i/>
          <w:iCs/>
        </w:rPr>
        <w:t xml:space="preserve">See </w:t>
      </w:r>
      <w:r>
        <w:t>LOI Response at 5-6, Response to Inquiries 10 and 11(a).</w:t>
      </w:r>
    </w:p>
  </w:footnote>
  <w:footnote w:id="40">
    <w:p w:rsidR="00E43ABF" w:rsidRPr="00542558" w:rsidP="00E43ABF" w14:paraId="35B78F66" w14:textId="77777777">
      <w:pPr>
        <w:pStyle w:val="FootnoteText"/>
      </w:pPr>
      <w:r>
        <w:rPr>
          <w:rStyle w:val="FootnoteReference"/>
        </w:rPr>
        <w:footnoteRef/>
      </w:r>
      <w:r>
        <w:t xml:space="preserve"> LOI Response at 7, Response to Inquiry 11(b).</w:t>
      </w:r>
    </w:p>
  </w:footnote>
  <w:footnote w:id="41">
    <w:p w:rsidR="00295DBF" w:rsidRPr="003A1F5C" w14:paraId="69A0A3E8" w14:textId="03D40383">
      <w:pPr>
        <w:pStyle w:val="FootnoteText"/>
      </w:pPr>
      <w:r>
        <w:rPr>
          <w:rStyle w:val="FootnoteReference"/>
        </w:rPr>
        <w:footnoteRef/>
      </w:r>
      <w:r>
        <w:t xml:space="preserve"> </w:t>
      </w:r>
      <w:r w:rsidR="003A1F5C">
        <w:rPr>
          <w:i/>
          <w:iCs/>
        </w:rPr>
        <w:t>See id.</w:t>
      </w:r>
      <w:r w:rsidR="00702341">
        <w:t>,</w:t>
      </w:r>
      <w:r w:rsidR="003A1F5C">
        <w:t xml:space="preserve"> Exhibit B</w:t>
      </w:r>
      <w:r w:rsidR="00702341">
        <w:t xml:space="preserve"> (schematics)</w:t>
      </w:r>
      <w:r w:rsidR="003A1F5C">
        <w:t>.</w:t>
      </w:r>
    </w:p>
  </w:footnote>
  <w:footnote w:id="42">
    <w:p w:rsidR="00C11CE1" w14:paraId="4524898E" w14:textId="7A549B48">
      <w:pPr>
        <w:pStyle w:val="FootnoteText"/>
      </w:pPr>
      <w:r>
        <w:rPr>
          <w:rStyle w:val="FootnoteReference"/>
        </w:rPr>
        <w:footnoteRef/>
      </w:r>
      <w:r>
        <w:t xml:space="preserve"> </w:t>
      </w:r>
      <w:r w:rsidRPr="009F2677" w:rsidR="000709B2">
        <w:rPr>
          <w:i/>
          <w:iCs/>
        </w:rPr>
        <w:t>See</w:t>
      </w:r>
      <w:r w:rsidR="000709B2">
        <w:t xml:space="preserve"> 47 CFR §§ 2.907(b), 2.908. </w:t>
      </w:r>
    </w:p>
  </w:footnote>
  <w:footnote w:id="43">
    <w:p w:rsidR="00C03CDD" w14:paraId="4C47AE1C" w14:textId="179AB384">
      <w:pPr>
        <w:pStyle w:val="FootnoteText"/>
      </w:pPr>
      <w:r>
        <w:rPr>
          <w:rStyle w:val="FootnoteReference"/>
        </w:rPr>
        <w:footnoteRef/>
      </w:r>
      <w:r>
        <w:t xml:space="preserve"> LOI Response at 7, Response to Inquiry 11(c).</w:t>
      </w:r>
    </w:p>
  </w:footnote>
  <w:footnote w:id="44">
    <w:p w:rsidR="00C03CDD" w14:paraId="17E18256" w14:textId="453F238F">
      <w:pPr>
        <w:pStyle w:val="FootnoteText"/>
      </w:pPr>
      <w:r>
        <w:rPr>
          <w:rStyle w:val="FootnoteReference"/>
        </w:rPr>
        <w:footnoteRef/>
      </w:r>
      <w:r>
        <w:t xml:space="preserve"> LOI Response at 8, Response to Inquiry 11(d).</w:t>
      </w:r>
    </w:p>
  </w:footnote>
  <w:footnote w:id="45">
    <w:p w:rsidR="0090510E" w14:paraId="155F379D" w14:textId="77777777">
      <w:pPr>
        <w:pStyle w:val="FootnoteText"/>
      </w:pPr>
      <w:r>
        <w:rPr>
          <w:rStyle w:val="FootnoteReference"/>
        </w:rPr>
        <w:footnoteRef/>
      </w:r>
      <w:r>
        <w:t xml:space="preserve"> </w:t>
      </w:r>
      <w:r w:rsidRPr="00BE70CC">
        <w:rPr>
          <w:szCs w:val="22"/>
        </w:rPr>
        <w:t xml:space="preserve">47 </w:t>
      </w:r>
      <w:r w:rsidR="000516D6">
        <w:rPr>
          <w:szCs w:val="22"/>
        </w:rPr>
        <w:t>CFR</w:t>
      </w:r>
      <w:r w:rsidRPr="00BE70CC">
        <w:rPr>
          <w:szCs w:val="22"/>
        </w:rPr>
        <w:t xml:space="preserve"> § 1.17</w:t>
      </w:r>
      <w:r>
        <w:rPr>
          <w:szCs w:val="22"/>
        </w:rPr>
        <w:t>.</w:t>
      </w:r>
    </w:p>
  </w:footnote>
  <w:footnote w:id="46">
    <w:p w:rsidR="0090510E" w14:paraId="00E53EBB"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47">
    <w:p w:rsidR="003C4AD3" w14:paraId="75A4445A" w14:textId="77777777">
      <w:pPr>
        <w:pStyle w:val="FootnoteText"/>
      </w:pPr>
      <w:r>
        <w:rPr>
          <w:rStyle w:val="FootnoteReference"/>
        </w:rPr>
        <w:footnoteRef/>
      </w:r>
      <w:r>
        <w:t xml:space="preserve"> </w:t>
      </w:r>
      <w:r w:rsidRPr="00BE70CC">
        <w:rPr>
          <w:kern w:val="2"/>
          <w:szCs w:val="22"/>
        </w:rPr>
        <w:t>5 U.S.C. § 552a(e)(3)</w:t>
      </w:r>
      <w:r>
        <w:rPr>
          <w:kern w:val="2"/>
          <w:szCs w:val="22"/>
        </w:rPr>
        <w:t>.</w:t>
      </w:r>
    </w:p>
  </w:footnote>
  <w:footnote w:id="48">
    <w:p w:rsidR="008A7791" w14:paraId="0E4DF9DB" w14:textId="42BE2EA4">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r>
        <w:t xml:space="preserve">  </w:t>
      </w:r>
    </w:p>
  </w:footnote>
  <w:footnote w:id="49">
    <w:p w:rsidR="003B34F9" w:rsidP="003B34F9" w14:paraId="39DF2848" w14:textId="77777777">
      <w:pPr>
        <w:pStyle w:val="FootnoteText"/>
      </w:pPr>
      <w:r>
        <w:rPr>
          <w:rStyle w:val="FootnoteReference"/>
        </w:rPr>
        <w:footnoteRef/>
      </w:r>
      <w:r>
        <w:t xml:space="preserve"> </w:t>
      </w:r>
      <w:r w:rsidRPr="007644B3">
        <w:rPr>
          <w:i/>
        </w:rPr>
        <w:t>See</w:t>
      </w:r>
      <w:r w:rsidRPr="007644B3">
        <w:t xml:space="preserve"> 47 U.S.C. § 503; 47 CFR § 1.80(b).  This amount is subject to further adjustment for inflation.  </w:t>
      </w:r>
      <w:r w:rsidRPr="0041729A">
        <w:rPr>
          <w:i/>
          <w:iCs/>
        </w:rPr>
        <w:t>See</w:t>
      </w:r>
      <w:r w:rsidRPr="007644B3">
        <w:t xml:space="preserve"> 47 CFR § 1.80(b)(9)).    </w:t>
      </w:r>
    </w:p>
  </w:footnote>
  <w:footnote w:id="50">
    <w:p w:rsidR="003B34F9" w:rsidP="003B34F9" w14:paraId="411933A3" w14:textId="77777777">
      <w:pPr>
        <w:pStyle w:val="FootnoteText"/>
      </w:pPr>
      <w:r>
        <w:rPr>
          <w:rStyle w:val="FootnoteReference"/>
        </w:rPr>
        <w:footnoteRef/>
      </w:r>
      <w:r>
        <w:t xml:space="preserve"> </w:t>
      </w:r>
      <w:r w:rsidRPr="007644B3">
        <w:rPr>
          <w:i/>
        </w:rPr>
        <w:t>See</w:t>
      </w:r>
      <w:r w:rsidRPr="007644B3">
        <w:t xml:space="preserve"> 47 U.S.C. § 503(b)(2)(E); 47 CFR § 1.80(b)(8).</w:t>
      </w:r>
    </w:p>
  </w:footnote>
  <w:footnote w:id="51">
    <w:p w:rsidR="006B3FCC" w:rsidP="006B3FCC" w14:paraId="7EDEDA1D" w14:textId="77777777">
      <w:pPr>
        <w:pStyle w:val="FootnoteText"/>
      </w:pPr>
      <w:r>
        <w:rPr>
          <w:rStyle w:val="FootnoteReference"/>
        </w:rPr>
        <w:footnoteRef/>
      </w:r>
      <w:r>
        <w:t xml:space="preserve"> </w:t>
      </w:r>
      <w:r w:rsidRPr="007644B3">
        <w:rPr>
          <w:i/>
        </w:rPr>
        <w:t>See supra</w:t>
      </w:r>
      <w:r w:rsidRPr="007644B3">
        <w:t xml:space="preserve"> paragraph </w:t>
      </w:r>
      <w:r>
        <w:t>2</w:t>
      </w:r>
      <w:r w:rsidRPr="007644B3">
        <w:t xml:space="preserve">.  </w:t>
      </w:r>
    </w:p>
  </w:footnote>
  <w:footnote w:id="52">
    <w:p w:rsidR="005D1BA6" w:rsidRPr="002D63C3" w14:paraId="46628BF0" w14:textId="77777777">
      <w:pPr>
        <w:pStyle w:val="FootnoteText"/>
      </w:pPr>
      <w:r w:rsidRPr="002D63C3">
        <w:rPr>
          <w:rStyle w:val="FootnoteReference"/>
        </w:rPr>
        <w:footnoteRef/>
      </w:r>
      <w:r w:rsidRPr="002D63C3">
        <w:t xml:space="preserve"> 47 U.S.C. §§ 154(i), 154(j).</w:t>
      </w:r>
    </w:p>
  </w:footnote>
  <w:footnote w:id="53">
    <w:p w:rsidR="003C4AD3" w14:paraId="4D9F4456" w14:textId="64E46DB3">
      <w:pPr>
        <w:pStyle w:val="FootnoteText"/>
      </w:pPr>
      <w:r>
        <w:rPr>
          <w:rStyle w:val="FootnoteReference"/>
        </w:rPr>
        <w:footnoteRef/>
      </w:r>
      <w:r>
        <w:t xml:space="preserve"> </w:t>
      </w:r>
      <w:r w:rsidRPr="001B2A9B" w:rsidR="006B3FCC">
        <w:t xml:space="preserve">47 U.S.C. § 302a(b); 47 CFR </w:t>
      </w:r>
      <w:r w:rsidR="006B3FCC">
        <w:t>§</w:t>
      </w:r>
      <w:r w:rsidRPr="001B2A9B" w:rsidR="006B3FCC">
        <w:t>§ 2.803</w:t>
      </w:r>
      <w:r w:rsidR="006B3FCC">
        <w:t>, 2.9</w:t>
      </w:r>
      <w:r w:rsidR="000147E0">
        <w:t>2</w:t>
      </w:r>
      <w:r w:rsidR="006B3FCC">
        <w:t>5, 15.19</w:t>
      </w:r>
      <w:r w:rsidR="00287ED1">
        <w:t>, 15.201</w:t>
      </w:r>
      <w:r w:rsidR="006B3FC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14:paraId="24B2CFA1" w14:textId="778EC59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E70CC">
      <w:rPr>
        <w:spacing w:val="-2"/>
      </w:rPr>
      <w:t xml:space="preserve">DA </w:t>
    </w:r>
    <w:r w:rsidR="007F59CE">
      <w:rPr>
        <w:spacing w:val="-2"/>
      </w:rPr>
      <w:t>20</w:t>
    </w:r>
    <w:r w:rsidRPr="00BE70CC">
      <w:rPr>
        <w:spacing w:val="-2"/>
      </w:rPr>
      <w:t>-</w:t>
    </w:r>
    <w:r w:rsidR="007F59CE">
      <w:rPr>
        <w:spacing w:val="-2"/>
      </w:rPr>
      <w:t>1539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417EDD" w:rsidP="001B048F" w14:paraId="3A47CFC3" w14:textId="3519325D">
    <w:pPr>
      <w:pStyle w:val="Header"/>
      <w:rPr>
        <w:b w:val="0"/>
      </w:rP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r>
    <w:r w:rsidRPr="00417EDD">
      <w:t>Federal Communications Commission</w:t>
    </w:r>
    <w:r w:rsidRPr="00417EDD">
      <w:tab/>
    </w:r>
    <w:r w:rsidRPr="00417EDD">
      <w:rPr>
        <w:spacing w:val="-2"/>
      </w:rPr>
      <w:t xml:space="preserve">DA </w:t>
    </w:r>
    <w:r w:rsidR="007F59CE">
      <w:rPr>
        <w:spacing w:val="-2"/>
      </w:rPr>
      <w:t>20</w:t>
    </w:r>
    <w:r w:rsidRPr="00417EDD">
      <w:rPr>
        <w:spacing w:val="-2"/>
      </w:rPr>
      <w:t>-</w:t>
    </w:r>
    <w:r w:rsidR="007F59CE">
      <w:rPr>
        <w:spacing w:val="-2"/>
      </w:rPr>
      <w:t>1539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multi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0"/>
    <w:lvlOverride w:ilvl="0">
      <w:lvl w:ilvl="0">
        <w:start w:val="0"/>
        <w:numFmt w:val="bullet"/>
        <w:pStyle w:val="par1"/>
        <w:lvlText w:val=""/>
        <w:legacy w:legacy="1" w:legacySpace="0" w:legacyIndent="360"/>
        <w:lvlJc w:val="left"/>
        <w:rPr>
          <w:rFonts w:ascii="Symbol" w:hAnsi="Symbol" w:hint="default"/>
        </w:rPr>
      </w:lvl>
    </w:lvlOverride>
  </w:num>
  <w:num w:numId="4">
    <w:abstractNumId w:val="7"/>
  </w:num>
  <w:num w:numId="5">
    <w:abstractNumId w:val="5"/>
  </w:num>
  <w:num w:numId="6">
    <w:abstractNumId w:val="7"/>
  </w:num>
  <w:num w:numId="7">
    <w:abstractNumId w:val="7"/>
  </w:num>
  <w:num w:numId="8">
    <w:abstractNumId w:val="7"/>
  </w:num>
  <w:num w:numId="9">
    <w:abstractNumId w:val="7"/>
  </w:num>
  <w:num w:numId="10">
    <w:abstractNumId w:val="7"/>
  </w:num>
  <w:num w:numId="11">
    <w:abstractNumId w:val="7"/>
    <w:lvlOverride w:ilvl="0">
      <w:startOverride w:val="1"/>
    </w:lvlOverride>
  </w:num>
  <w:num w:numId="12">
    <w:abstractNumId w:val="7"/>
  </w:num>
  <w:num w:numId="13">
    <w:abstractNumId w:val="7"/>
  </w:num>
  <w:num w:numId="14">
    <w:abstractNumId w:val="7"/>
    <w:lvlOverride w:ilvl="0">
      <w:startOverride w:val="1"/>
    </w:lvlOverride>
  </w:num>
  <w:num w:numId="15">
    <w:abstractNumId w:val="7"/>
  </w:num>
  <w:num w:numId="16">
    <w:abstractNumId w:val="7"/>
  </w:num>
  <w:num w:numId="17">
    <w:abstractNumId w:val="7"/>
  </w:num>
  <w:num w:numId="18">
    <w:abstractNumId w:val="7"/>
  </w:num>
  <w:num w:numId="19">
    <w:abstractNumId w:val="2"/>
  </w:num>
  <w:num w:numId="20">
    <w:abstractNumId w:val="6"/>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1EED"/>
    <w:rsid w:val="000024CA"/>
    <w:rsid w:val="00004D7D"/>
    <w:rsid w:val="00004EFA"/>
    <w:rsid w:val="00005148"/>
    <w:rsid w:val="00011E88"/>
    <w:rsid w:val="00014462"/>
    <w:rsid w:val="000147E0"/>
    <w:rsid w:val="000174F9"/>
    <w:rsid w:val="00022C58"/>
    <w:rsid w:val="00025845"/>
    <w:rsid w:val="000264B4"/>
    <w:rsid w:val="00027D71"/>
    <w:rsid w:val="00031AE8"/>
    <w:rsid w:val="00034F56"/>
    <w:rsid w:val="00036D58"/>
    <w:rsid w:val="00046E05"/>
    <w:rsid w:val="00047537"/>
    <w:rsid w:val="000516D6"/>
    <w:rsid w:val="000560DF"/>
    <w:rsid w:val="000604EB"/>
    <w:rsid w:val="0006278C"/>
    <w:rsid w:val="00062C44"/>
    <w:rsid w:val="000649FE"/>
    <w:rsid w:val="000709B2"/>
    <w:rsid w:val="00071A40"/>
    <w:rsid w:val="00071E3F"/>
    <w:rsid w:val="00072D7D"/>
    <w:rsid w:val="00074717"/>
    <w:rsid w:val="00076A43"/>
    <w:rsid w:val="00080535"/>
    <w:rsid w:val="000824AC"/>
    <w:rsid w:val="00083045"/>
    <w:rsid w:val="00083B8B"/>
    <w:rsid w:val="0008467D"/>
    <w:rsid w:val="000853AD"/>
    <w:rsid w:val="00086824"/>
    <w:rsid w:val="00091AE4"/>
    <w:rsid w:val="00092506"/>
    <w:rsid w:val="000962DF"/>
    <w:rsid w:val="00097330"/>
    <w:rsid w:val="00097F82"/>
    <w:rsid w:val="000A1E64"/>
    <w:rsid w:val="000A2CB9"/>
    <w:rsid w:val="000A3E68"/>
    <w:rsid w:val="000A4776"/>
    <w:rsid w:val="000A51C4"/>
    <w:rsid w:val="000B14C3"/>
    <w:rsid w:val="000B1C2B"/>
    <w:rsid w:val="000B29ED"/>
    <w:rsid w:val="000B5A18"/>
    <w:rsid w:val="000B5EE5"/>
    <w:rsid w:val="000B65A1"/>
    <w:rsid w:val="000B7657"/>
    <w:rsid w:val="000C6050"/>
    <w:rsid w:val="000C67D1"/>
    <w:rsid w:val="000D00D1"/>
    <w:rsid w:val="000D1391"/>
    <w:rsid w:val="000D3B2F"/>
    <w:rsid w:val="000E1951"/>
    <w:rsid w:val="000E2707"/>
    <w:rsid w:val="000E3600"/>
    <w:rsid w:val="000F1155"/>
    <w:rsid w:val="000F7408"/>
    <w:rsid w:val="00100646"/>
    <w:rsid w:val="00105A35"/>
    <w:rsid w:val="00111822"/>
    <w:rsid w:val="0011337B"/>
    <w:rsid w:val="0011414C"/>
    <w:rsid w:val="001164C6"/>
    <w:rsid w:val="0011687C"/>
    <w:rsid w:val="001205FE"/>
    <w:rsid w:val="00122909"/>
    <w:rsid w:val="00122BB3"/>
    <w:rsid w:val="0012427E"/>
    <w:rsid w:val="00125BA1"/>
    <w:rsid w:val="00126C88"/>
    <w:rsid w:val="00135F7F"/>
    <w:rsid w:val="00136476"/>
    <w:rsid w:val="0014055B"/>
    <w:rsid w:val="00141375"/>
    <w:rsid w:val="001426F0"/>
    <w:rsid w:val="00145E08"/>
    <w:rsid w:val="00151901"/>
    <w:rsid w:val="001532B1"/>
    <w:rsid w:val="00153904"/>
    <w:rsid w:val="00153CE0"/>
    <w:rsid w:val="00162161"/>
    <w:rsid w:val="00164D9B"/>
    <w:rsid w:val="001715BD"/>
    <w:rsid w:val="00173E98"/>
    <w:rsid w:val="001740BB"/>
    <w:rsid w:val="00180026"/>
    <w:rsid w:val="001819AF"/>
    <w:rsid w:val="001829BE"/>
    <w:rsid w:val="00191E98"/>
    <w:rsid w:val="00192DF0"/>
    <w:rsid w:val="00196224"/>
    <w:rsid w:val="00196B4E"/>
    <w:rsid w:val="001A29EF"/>
    <w:rsid w:val="001A2F40"/>
    <w:rsid w:val="001A38A4"/>
    <w:rsid w:val="001A548C"/>
    <w:rsid w:val="001A5AD7"/>
    <w:rsid w:val="001A69BA"/>
    <w:rsid w:val="001A7621"/>
    <w:rsid w:val="001A79FB"/>
    <w:rsid w:val="001B048F"/>
    <w:rsid w:val="001B071D"/>
    <w:rsid w:val="001B2A9B"/>
    <w:rsid w:val="001C3156"/>
    <w:rsid w:val="001C3B35"/>
    <w:rsid w:val="001C42B3"/>
    <w:rsid w:val="001C5223"/>
    <w:rsid w:val="001C6AEE"/>
    <w:rsid w:val="001D1CEF"/>
    <w:rsid w:val="001D3424"/>
    <w:rsid w:val="001D3C3D"/>
    <w:rsid w:val="001E135C"/>
    <w:rsid w:val="001E1906"/>
    <w:rsid w:val="001E36EE"/>
    <w:rsid w:val="001E401B"/>
    <w:rsid w:val="001E492E"/>
    <w:rsid w:val="001F2B76"/>
    <w:rsid w:val="001F4C63"/>
    <w:rsid w:val="001F5AA4"/>
    <w:rsid w:val="001F7EE0"/>
    <w:rsid w:val="00202CA4"/>
    <w:rsid w:val="0020643E"/>
    <w:rsid w:val="00212897"/>
    <w:rsid w:val="0021315C"/>
    <w:rsid w:val="002146E2"/>
    <w:rsid w:val="0021512A"/>
    <w:rsid w:val="00216312"/>
    <w:rsid w:val="00216759"/>
    <w:rsid w:val="00217852"/>
    <w:rsid w:val="00223173"/>
    <w:rsid w:val="00226191"/>
    <w:rsid w:val="0022665A"/>
    <w:rsid w:val="00231630"/>
    <w:rsid w:val="0023184F"/>
    <w:rsid w:val="00234BED"/>
    <w:rsid w:val="00236820"/>
    <w:rsid w:val="00246222"/>
    <w:rsid w:val="00250EDF"/>
    <w:rsid w:val="00252799"/>
    <w:rsid w:val="00256862"/>
    <w:rsid w:val="00256904"/>
    <w:rsid w:val="00256B42"/>
    <w:rsid w:val="00262742"/>
    <w:rsid w:val="002659F3"/>
    <w:rsid w:val="00265FC9"/>
    <w:rsid w:val="00270CD1"/>
    <w:rsid w:val="002710C5"/>
    <w:rsid w:val="0027183B"/>
    <w:rsid w:val="002718D7"/>
    <w:rsid w:val="00283E23"/>
    <w:rsid w:val="00283E59"/>
    <w:rsid w:val="00287564"/>
    <w:rsid w:val="00287ED1"/>
    <w:rsid w:val="0029116D"/>
    <w:rsid w:val="00295DBF"/>
    <w:rsid w:val="002966A1"/>
    <w:rsid w:val="00297424"/>
    <w:rsid w:val="002A1963"/>
    <w:rsid w:val="002A7316"/>
    <w:rsid w:val="002B3299"/>
    <w:rsid w:val="002B7493"/>
    <w:rsid w:val="002C12AD"/>
    <w:rsid w:val="002C2218"/>
    <w:rsid w:val="002C30C3"/>
    <w:rsid w:val="002C5505"/>
    <w:rsid w:val="002C66A2"/>
    <w:rsid w:val="002C7214"/>
    <w:rsid w:val="002D3A88"/>
    <w:rsid w:val="002D4CD9"/>
    <w:rsid w:val="002D54DB"/>
    <w:rsid w:val="002D63C3"/>
    <w:rsid w:val="002D6A81"/>
    <w:rsid w:val="002D74C4"/>
    <w:rsid w:val="002E046E"/>
    <w:rsid w:val="002E1671"/>
    <w:rsid w:val="002E16DE"/>
    <w:rsid w:val="002E3DE5"/>
    <w:rsid w:val="002E43B6"/>
    <w:rsid w:val="002E6027"/>
    <w:rsid w:val="002F2ACB"/>
    <w:rsid w:val="002F5E41"/>
    <w:rsid w:val="00306C34"/>
    <w:rsid w:val="00306C50"/>
    <w:rsid w:val="003103B2"/>
    <w:rsid w:val="0032053D"/>
    <w:rsid w:val="0032244D"/>
    <w:rsid w:val="00325463"/>
    <w:rsid w:val="00331B47"/>
    <w:rsid w:val="00331D4E"/>
    <w:rsid w:val="003325D4"/>
    <w:rsid w:val="003343CA"/>
    <w:rsid w:val="003368A3"/>
    <w:rsid w:val="003368E2"/>
    <w:rsid w:val="003400E9"/>
    <w:rsid w:val="00340246"/>
    <w:rsid w:val="00344871"/>
    <w:rsid w:val="00345F40"/>
    <w:rsid w:val="00346DCB"/>
    <w:rsid w:val="003472A7"/>
    <w:rsid w:val="00347397"/>
    <w:rsid w:val="00350389"/>
    <w:rsid w:val="00353E9D"/>
    <w:rsid w:val="00360A1D"/>
    <w:rsid w:val="00361B43"/>
    <w:rsid w:val="003623B1"/>
    <w:rsid w:val="00367723"/>
    <w:rsid w:val="00377EB5"/>
    <w:rsid w:val="00383C2B"/>
    <w:rsid w:val="003849A7"/>
    <w:rsid w:val="0039085A"/>
    <w:rsid w:val="0039768C"/>
    <w:rsid w:val="003A07BF"/>
    <w:rsid w:val="003A1F5C"/>
    <w:rsid w:val="003A4346"/>
    <w:rsid w:val="003A4767"/>
    <w:rsid w:val="003A5530"/>
    <w:rsid w:val="003A6F0A"/>
    <w:rsid w:val="003B18EB"/>
    <w:rsid w:val="003B2DC6"/>
    <w:rsid w:val="003B34F9"/>
    <w:rsid w:val="003B4544"/>
    <w:rsid w:val="003B5341"/>
    <w:rsid w:val="003B5EF6"/>
    <w:rsid w:val="003B6F75"/>
    <w:rsid w:val="003C0BCF"/>
    <w:rsid w:val="003C4AD3"/>
    <w:rsid w:val="003C6559"/>
    <w:rsid w:val="003C70B9"/>
    <w:rsid w:val="003D39AB"/>
    <w:rsid w:val="003D5B63"/>
    <w:rsid w:val="003D5BD6"/>
    <w:rsid w:val="003D76AE"/>
    <w:rsid w:val="003E36EC"/>
    <w:rsid w:val="003E3782"/>
    <w:rsid w:val="003E4976"/>
    <w:rsid w:val="003E4BA1"/>
    <w:rsid w:val="003E5CB1"/>
    <w:rsid w:val="003E7003"/>
    <w:rsid w:val="003F2924"/>
    <w:rsid w:val="003F2F66"/>
    <w:rsid w:val="003F62F5"/>
    <w:rsid w:val="004016AD"/>
    <w:rsid w:val="00403B86"/>
    <w:rsid w:val="004144F5"/>
    <w:rsid w:val="00415670"/>
    <w:rsid w:val="0041693D"/>
    <w:rsid w:val="00416F51"/>
    <w:rsid w:val="0041729A"/>
    <w:rsid w:val="00417EDD"/>
    <w:rsid w:val="004200CE"/>
    <w:rsid w:val="0042056B"/>
    <w:rsid w:val="00426316"/>
    <w:rsid w:val="00431572"/>
    <w:rsid w:val="00431B89"/>
    <w:rsid w:val="0043344F"/>
    <w:rsid w:val="004343FF"/>
    <w:rsid w:val="00436A9E"/>
    <w:rsid w:val="00436E88"/>
    <w:rsid w:val="00440A04"/>
    <w:rsid w:val="004421D7"/>
    <w:rsid w:val="00446ECD"/>
    <w:rsid w:val="00452C14"/>
    <w:rsid w:val="00455DD0"/>
    <w:rsid w:val="0045707A"/>
    <w:rsid w:val="00457AE7"/>
    <w:rsid w:val="004604BF"/>
    <w:rsid w:val="0046052E"/>
    <w:rsid w:val="00466CC6"/>
    <w:rsid w:val="00467066"/>
    <w:rsid w:val="004703D9"/>
    <w:rsid w:val="0047221C"/>
    <w:rsid w:val="0047253A"/>
    <w:rsid w:val="004736A1"/>
    <w:rsid w:val="00475B4D"/>
    <w:rsid w:val="004806B5"/>
    <w:rsid w:val="00485B85"/>
    <w:rsid w:val="004914A8"/>
    <w:rsid w:val="004947B4"/>
    <w:rsid w:val="00494E42"/>
    <w:rsid w:val="00497C1B"/>
    <w:rsid w:val="004A684E"/>
    <w:rsid w:val="004C3EDB"/>
    <w:rsid w:val="004C4957"/>
    <w:rsid w:val="004D3233"/>
    <w:rsid w:val="004D615B"/>
    <w:rsid w:val="004E218D"/>
    <w:rsid w:val="004E4FD9"/>
    <w:rsid w:val="004E5D01"/>
    <w:rsid w:val="004F0990"/>
    <w:rsid w:val="004F6A54"/>
    <w:rsid w:val="00500FF2"/>
    <w:rsid w:val="005043E9"/>
    <w:rsid w:val="0050528D"/>
    <w:rsid w:val="00505616"/>
    <w:rsid w:val="00512A5C"/>
    <w:rsid w:val="00512FF3"/>
    <w:rsid w:val="00514466"/>
    <w:rsid w:val="00514B5F"/>
    <w:rsid w:val="005214C9"/>
    <w:rsid w:val="00521CFC"/>
    <w:rsid w:val="00522727"/>
    <w:rsid w:val="00525537"/>
    <w:rsid w:val="00526086"/>
    <w:rsid w:val="00526174"/>
    <w:rsid w:val="005321F0"/>
    <w:rsid w:val="0053391F"/>
    <w:rsid w:val="00534069"/>
    <w:rsid w:val="00535D18"/>
    <w:rsid w:val="00535EBC"/>
    <w:rsid w:val="00537EE6"/>
    <w:rsid w:val="00540AA8"/>
    <w:rsid w:val="005415C8"/>
    <w:rsid w:val="0054220C"/>
    <w:rsid w:val="00542558"/>
    <w:rsid w:val="00543C45"/>
    <w:rsid w:val="005440C1"/>
    <w:rsid w:val="00545EF8"/>
    <w:rsid w:val="00547654"/>
    <w:rsid w:val="0055148F"/>
    <w:rsid w:val="00552923"/>
    <w:rsid w:val="00557BF1"/>
    <w:rsid w:val="00560703"/>
    <w:rsid w:val="005643A6"/>
    <w:rsid w:val="0056704D"/>
    <w:rsid w:val="00567C95"/>
    <w:rsid w:val="00567D8D"/>
    <w:rsid w:val="00577A3E"/>
    <w:rsid w:val="00581BBE"/>
    <w:rsid w:val="005942FC"/>
    <w:rsid w:val="0059732E"/>
    <w:rsid w:val="005A72DD"/>
    <w:rsid w:val="005B0C6D"/>
    <w:rsid w:val="005B1C29"/>
    <w:rsid w:val="005B2B36"/>
    <w:rsid w:val="005B3158"/>
    <w:rsid w:val="005B4CEA"/>
    <w:rsid w:val="005B67ED"/>
    <w:rsid w:val="005B7286"/>
    <w:rsid w:val="005C2A5A"/>
    <w:rsid w:val="005C30D4"/>
    <w:rsid w:val="005C3B18"/>
    <w:rsid w:val="005C6D63"/>
    <w:rsid w:val="005C738B"/>
    <w:rsid w:val="005D1BA6"/>
    <w:rsid w:val="005D250F"/>
    <w:rsid w:val="005D364B"/>
    <w:rsid w:val="005D4F7D"/>
    <w:rsid w:val="005D7BE2"/>
    <w:rsid w:val="005E3AB7"/>
    <w:rsid w:val="005E3D9F"/>
    <w:rsid w:val="005E50EF"/>
    <w:rsid w:val="005E6F60"/>
    <w:rsid w:val="005F1C5D"/>
    <w:rsid w:val="005F5A5F"/>
    <w:rsid w:val="005F61E6"/>
    <w:rsid w:val="005F7995"/>
    <w:rsid w:val="00600EA1"/>
    <w:rsid w:val="006011E1"/>
    <w:rsid w:val="006020E8"/>
    <w:rsid w:val="00603106"/>
    <w:rsid w:val="00603B91"/>
    <w:rsid w:val="00606E02"/>
    <w:rsid w:val="00613D2B"/>
    <w:rsid w:val="006168A4"/>
    <w:rsid w:val="00616FE6"/>
    <w:rsid w:val="00617B4B"/>
    <w:rsid w:val="00622396"/>
    <w:rsid w:val="006247FF"/>
    <w:rsid w:val="00624EEA"/>
    <w:rsid w:val="00625476"/>
    <w:rsid w:val="006266C0"/>
    <w:rsid w:val="0063038A"/>
    <w:rsid w:val="00634F84"/>
    <w:rsid w:val="00637D3F"/>
    <w:rsid w:val="00637EFD"/>
    <w:rsid w:val="00640EAA"/>
    <w:rsid w:val="00644983"/>
    <w:rsid w:val="0064498D"/>
    <w:rsid w:val="00645907"/>
    <w:rsid w:val="00645AB5"/>
    <w:rsid w:val="0064729F"/>
    <w:rsid w:val="006472F4"/>
    <w:rsid w:val="00650C92"/>
    <w:rsid w:val="00653DFB"/>
    <w:rsid w:val="00654D13"/>
    <w:rsid w:val="006557D7"/>
    <w:rsid w:val="0065677C"/>
    <w:rsid w:val="006606A3"/>
    <w:rsid w:val="00661DE5"/>
    <w:rsid w:val="00662835"/>
    <w:rsid w:val="00662841"/>
    <w:rsid w:val="0066537F"/>
    <w:rsid w:val="00671666"/>
    <w:rsid w:val="006716C0"/>
    <w:rsid w:val="00672014"/>
    <w:rsid w:val="006733A8"/>
    <w:rsid w:val="00673674"/>
    <w:rsid w:val="00674B18"/>
    <w:rsid w:val="00683E53"/>
    <w:rsid w:val="00686968"/>
    <w:rsid w:val="006877E7"/>
    <w:rsid w:val="00694119"/>
    <w:rsid w:val="006956FE"/>
    <w:rsid w:val="006A6FD0"/>
    <w:rsid w:val="006B080E"/>
    <w:rsid w:val="006B3FCC"/>
    <w:rsid w:val="006B730D"/>
    <w:rsid w:val="006B73E8"/>
    <w:rsid w:val="006C1DED"/>
    <w:rsid w:val="006C5CCB"/>
    <w:rsid w:val="006D051C"/>
    <w:rsid w:val="006D2212"/>
    <w:rsid w:val="006D550A"/>
    <w:rsid w:val="006D724F"/>
    <w:rsid w:val="006D7FF3"/>
    <w:rsid w:val="006E0AFF"/>
    <w:rsid w:val="006E3B0D"/>
    <w:rsid w:val="006E6234"/>
    <w:rsid w:val="006E728E"/>
    <w:rsid w:val="006E7714"/>
    <w:rsid w:val="006F120E"/>
    <w:rsid w:val="006F7457"/>
    <w:rsid w:val="0070041C"/>
    <w:rsid w:val="0070184C"/>
    <w:rsid w:val="00702341"/>
    <w:rsid w:val="007039F2"/>
    <w:rsid w:val="00704843"/>
    <w:rsid w:val="007115F7"/>
    <w:rsid w:val="00714FD7"/>
    <w:rsid w:val="00715666"/>
    <w:rsid w:val="00716E89"/>
    <w:rsid w:val="007177B4"/>
    <w:rsid w:val="0072776E"/>
    <w:rsid w:val="00727F4F"/>
    <w:rsid w:val="00731211"/>
    <w:rsid w:val="0073326F"/>
    <w:rsid w:val="00735CF3"/>
    <w:rsid w:val="00737A8B"/>
    <w:rsid w:val="00741AF8"/>
    <w:rsid w:val="00743885"/>
    <w:rsid w:val="00743CDB"/>
    <w:rsid w:val="00745AB4"/>
    <w:rsid w:val="007470E1"/>
    <w:rsid w:val="007479D6"/>
    <w:rsid w:val="00752D0E"/>
    <w:rsid w:val="00753BD2"/>
    <w:rsid w:val="00755564"/>
    <w:rsid w:val="00757E63"/>
    <w:rsid w:val="00760F30"/>
    <w:rsid w:val="00761767"/>
    <w:rsid w:val="007644B3"/>
    <w:rsid w:val="00765619"/>
    <w:rsid w:val="007676B3"/>
    <w:rsid w:val="0077073F"/>
    <w:rsid w:val="0077103F"/>
    <w:rsid w:val="0077224C"/>
    <w:rsid w:val="00774410"/>
    <w:rsid w:val="00774542"/>
    <w:rsid w:val="00775B05"/>
    <w:rsid w:val="00781642"/>
    <w:rsid w:val="00782257"/>
    <w:rsid w:val="00783D94"/>
    <w:rsid w:val="00785525"/>
    <w:rsid w:val="00785772"/>
    <w:rsid w:val="00785F08"/>
    <w:rsid w:val="00787DBC"/>
    <w:rsid w:val="00791577"/>
    <w:rsid w:val="007951CA"/>
    <w:rsid w:val="007A2AF2"/>
    <w:rsid w:val="007A4004"/>
    <w:rsid w:val="007A400F"/>
    <w:rsid w:val="007A6B82"/>
    <w:rsid w:val="007B1B20"/>
    <w:rsid w:val="007B1C3F"/>
    <w:rsid w:val="007B25BE"/>
    <w:rsid w:val="007C197B"/>
    <w:rsid w:val="007C3555"/>
    <w:rsid w:val="007C3802"/>
    <w:rsid w:val="007C3FB4"/>
    <w:rsid w:val="007C416C"/>
    <w:rsid w:val="007D14CE"/>
    <w:rsid w:val="007D2CCF"/>
    <w:rsid w:val="007D4DBA"/>
    <w:rsid w:val="007D5A9E"/>
    <w:rsid w:val="007D5BA0"/>
    <w:rsid w:val="007E39BB"/>
    <w:rsid w:val="007E7DF7"/>
    <w:rsid w:val="007F1E8C"/>
    <w:rsid w:val="007F3C22"/>
    <w:rsid w:val="007F59CE"/>
    <w:rsid w:val="008006EA"/>
    <w:rsid w:val="0080144D"/>
    <w:rsid w:val="008025CC"/>
    <w:rsid w:val="00803F83"/>
    <w:rsid w:val="00804AA7"/>
    <w:rsid w:val="00806AEF"/>
    <w:rsid w:val="00807A16"/>
    <w:rsid w:val="0081363E"/>
    <w:rsid w:val="00817123"/>
    <w:rsid w:val="00817170"/>
    <w:rsid w:val="00817B30"/>
    <w:rsid w:val="008218CC"/>
    <w:rsid w:val="00821C87"/>
    <w:rsid w:val="008226BB"/>
    <w:rsid w:val="00823395"/>
    <w:rsid w:val="008249C6"/>
    <w:rsid w:val="00832E95"/>
    <w:rsid w:val="00833B7B"/>
    <w:rsid w:val="00835377"/>
    <w:rsid w:val="00836DF6"/>
    <w:rsid w:val="0084691E"/>
    <w:rsid w:val="00854197"/>
    <w:rsid w:val="00856312"/>
    <w:rsid w:val="00857078"/>
    <w:rsid w:val="0086293F"/>
    <w:rsid w:val="00862B6D"/>
    <w:rsid w:val="008635E6"/>
    <w:rsid w:val="00864084"/>
    <w:rsid w:val="0086522F"/>
    <w:rsid w:val="008661A4"/>
    <w:rsid w:val="008666BC"/>
    <w:rsid w:val="0087066B"/>
    <w:rsid w:val="00873195"/>
    <w:rsid w:val="00874CFC"/>
    <w:rsid w:val="008756F2"/>
    <w:rsid w:val="008820D7"/>
    <w:rsid w:val="00884AA0"/>
    <w:rsid w:val="00886C3A"/>
    <w:rsid w:val="00890DC3"/>
    <w:rsid w:val="0089607B"/>
    <w:rsid w:val="008A1A2C"/>
    <w:rsid w:val="008A7791"/>
    <w:rsid w:val="008B1964"/>
    <w:rsid w:val="008B27C1"/>
    <w:rsid w:val="008B7FFE"/>
    <w:rsid w:val="008C0FB2"/>
    <w:rsid w:val="008C1091"/>
    <w:rsid w:val="008D6AFE"/>
    <w:rsid w:val="008E0A6E"/>
    <w:rsid w:val="008E0D87"/>
    <w:rsid w:val="008E2010"/>
    <w:rsid w:val="008E633E"/>
    <w:rsid w:val="008F0F79"/>
    <w:rsid w:val="008F13B3"/>
    <w:rsid w:val="008F21BF"/>
    <w:rsid w:val="008F3480"/>
    <w:rsid w:val="008F4A93"/>
    <w:rsid w:val="009012DC"/>
    <w:rsid w:val="00901EA9"/>
    <w:rsid w:val="0090510E"/>
    <w:rsid w:val="00913674"/>
    <w:rsid w:val="009150E9"/>
    <w:rsid w:val="009161EF"/>
    <w:rsid w:val="00920FB9"/>
    <w:rsid w:val="00922BC7"/>
    <w:rsid w:val="00924198"/>
    <w:rsid w:val="009244F0"/>
    <w:rsid w:val="00925F9A"/>
    <w:rsid w:val="00931DBC"/>
    <w:rsid w:val="00935596"/>
    <w:rsid w:val="0093638C"/>
    <w:rsid w:val="00937A4E"/>
    <w:rsid w:val="009540CD"/>
    <w:rsid w:val="0095507B"/>
    <w:rsid w:val="00955661"/>
    <w:rsid w:val="009658DD"/>
    <w:rsid w:val="0096675D"/>
    <w:rsid w:val="009714F0"/>
    <w:rsid w:val="00975ABC"/>
    <w:rsid w:val="00976134"/>
    <w:rsid w:val="0097633D"/>
    <w:rsid w:val="00980AA0"/>
    <w:rsid w:val="00981A39"/>
    <w:rsid w:val="00985084"/>
    <w:rsid w:val="00985AAB"/>
    <w:rsid w:val="009868EF"/>
    <w:rsid w:val="00986DA1"/>
    <w:rsid w:val="00992A29"/>
    <w:rsid w:val="00994386"/>
    <w:rsid w:val="0099722B"/>
    <w:rsid w:val="009A01CF"/>
    <w:rsid w:val="009A09C6"/>
    <w:rsid w:val="009A31E8"/>
    <w:rsid w:val="009A323D"/>
    <w:rsid w:val="009A3AE5"/>
    <w:rsid w:val="009A3C52"/>
    <w:rsid w:val="009A4C09"/>
    <w:rsid w:val="009B05D9"/>
    <w:rsid w:val="009B1061"/>
    <w:rsid w:val="009B2C59"/>
    <w:rsid w:val="009B3E58"/>
    <w:rsid w:val="009B6882"/>
    <w:rsid w:val="009B6F55"/>
    <w:rsid w:val="009B78FB"/>
    <w:rsid w:val="009C2411"/>
    <w:rsid w:val="009C3321"/>
    <w:rsid w:val="009C46AB"/>
    <w:rsid w:val="009C6AD9"/>
    <w:rsid w:val="009D0C63"/>
    <w:rsid w:val="009D5355"/>
    <w:rsid w:val="009E1094"/>
    <w:rsid w:val="009E36D5"/>
    <w:rsid w:val="009E44EE"/>
    <w:rsid w:val="009E53A5"/>
    <w:rsid w:val="009E708F"/>
    <w:rsid w:val="009E73FC"/>
    <w:rsid w:val="009F1DC9"/>
    <w:rsid w:val="009F2677"/>
    <w:rsid w:val="009F5E7B"/>
    <w:rsid w:val="009F747D"/>
    <w:rsid w:val="00A002F4"/>
    <w:rsid w:val="00A00AE0"/>
    <w:rsid w:val="00A01D1A"/>
    <w:rsid w:val="00A047AF"/>
    <w:rsid w:val="00A0567A"/>
    <w:rsid w:val="00A10460"/>
    <w:rsid w:val="00A1048F"/>
    <w:rsid w:val="00A128D2"/>
    <w:rsid w:val="00A1447A"/>
    <w:rsid w:val="00A14E35"/>
    <w:rsid w:val="00A174D4"/>
    <w:rsid w:val="00A204BA"/>
    <w:rsid w:val="00A20570"/>
    <w:rsid w:val="00A223C9"/>
    <w:rsid w:val="00A2302F"/>
    <w:rsid w:val="00A230E1"/>
    <w:rsid w:val="00A23B07"/>
    <w:rsid w:val="00A24CD1"/>
    <w:rsid w:val="00A25819"/>
    <w:rsid w:val="00A26C54"/>
    <w:rsid w:val="00A34CA1"/>
    <w:rsid w:val="00A35D97"/>
    <w:rsid w:val="00A3796D"/>
    <w:rsid w:val="00A41565"/>
    <w:rsid w:val="00A42341"/>
    <w:rsid w:val="00A42EB4"/>
    <w:rsid w:val="00A45420"/>
    <w:rsid w:val="00A46B53"/>
    <w:rsid w:val="00A52CEE"/>
    <w:rsid w:val="00A55903"/>
    <w:rsid w:val="00A63865"/>
    <w:rsid w:val="00A67519"/>
    <w:rsid w:val="00A70445"/>
    <w:rsid w:val="00A72CBE"/>
    <w:rsid w:val="00A83EFC"/>
    <w:rsid w:val="00A8604A"/>
    <w:rsid w:val="00A92C53"/>
    <w:rsid w:val="00A95983"/>
    <w:rsid w:val="00A96073"/>
    <w:rsid w:val="00AA19E7"/>
    <w:rsid w:val="00AA1C42"/>
    <w:rsid w:val="00AA614F"/>
    <w:rsid w:val="00AA7EE6"/>
    <w:rsid w:val="00AB2A81"/>
    <w:rsid w:val="00AB3FF0"/>
    <w:rsid w:val="00AB6E78"/>
    <w:rsid w:val="00AC08EF"/>
    <w:rsid w:val="00AC0A30"/>
    <w:rsid w:val="00AC262E"/>
    <w:rsid w:val="00AC7682"/>
    <w:rsid w:val="00AC7905"/>
    <w:rsid w:val="00AD35D3"/>
    <w:rsid w:val="00AD4369"/>
    <w:rsid w:val="00AD525D"/>
    <w:rsid w:val="00AD533E"/>
    <w:rsid w:val="00AD6211"/>
    <w:rsid w:val="00AE4E71"/>
    <w:rsid w:val="00AE5D1D"/>
    <w:rsid w:val="00AE6CDF"/>
    <w:rsid w:val="00AF2483"/>
    <w:rsid w:val="00AF3A64"/>
    <w:rsid w:val="00AF6122"/>
    <w:rsid w:val="00B02E8E"/>
    <w:rsid w:val="00B046DF"/>
    <w:rsid w:val="00B0601B"/>
    <w:rsid w:val="00B102D9"/>
    <w:rsid w:val="00B106C6"/>
    <w:rsid w:val="00B122C3"/>
    <w:rsid w:val="00B20811"/>
    <w:rsid w:val="00B21753"/>
    <w:rsid w:val="00B246DD"/>
    <w:rsid w:val="00B24CAF"/>
    <w:rsid w:val="00B26603"/>
    <w:rsid w:val="00B26A61"/>
    <w:rsid w:val="00B27BB5"/>
    <w:rsid w:val="00B307A4"/>
    <w:rsid w:val="00B30DB6"/>
    <w:rsid w:val="00B31407"/>
    <w:rsid w:val="00B32925"/>
    <w:rsid w:val="00B40B35"/>
    <w:rsid w:val="00B40FF7"/>
    <w:rsid w:val="00B45EF4"/>
    <w:rsid w:val="00B52F5E"/>
    <w:rsid w:val="00B60614"/>
    <w:rsid w:val="00B661C1"/>
    <w:rsid w:val="00B70A0B"/>
    <w:rsid w:val="00B72451"/>
    <w:rsid w:val="00B72A6B"/>
    <w:rsid w:val="00B7385F"/>
    <w:rsid w:val="00B8042F"/>
    <w:rsid w:val="00B84DAA"/>
    <w:rsid w:val="00B85F3E"/>
    <w:rsid w:val="00B87834"/>
    <w:rsid w:val="00B92C5E"/>
    <w:rsid w:val="00B94B3D"/>
    <w:rsid w:val="00BA0DEA"/>
    <w:rsid w:val="00BA60B2"/>
    <w:rsid w:val="00BB18C9"/>
    <w:rsid w:val="00BB2B10"/>
    <w:rsid w:val="00BB4888"/>
    <w:rsid w:val="00BB6D6F"/>
    <w:rsid w:val="00BC09DE"/>
    <w:rsid w:val="00BC3C88"/>
    <w:rsid w:val="00BC3FB6"/>
    <w:rsid w:val="00BC4F98"/>
    <w:rsid w:val="00BC75BE"/>
    <w:rsid w:val="00BD0B73"/>
    <w:rsid w:val="00BD5C10"/>
    <w:rsid w:val="00BD747D"/>
    <w:rsid w:val="00BE70CC"/>
    <w:rsid w:val="00BF0775"/>
    <w:rsid w:val="00BF0CB5"/>
    <w:rsid w:val="00BF1744"/>
    <w:rsid w:val="00BF39AF"/>
    <w:rsid w:val="00BF790E"/>
    <w:rsid w:val="00C00002"/>
    <w:rsid w:val="00C02572"/>
    <w:rsid w:val="00C03CDD"/>
    <w:rsid w:val="00C063BE"/>
    <w:rsid w:val="00C07DC3"/>
    <w:rsid w:val="00C11CE1"/>
    <w:rsid w:val="00C11CF4"/>
    <w:rsid w:val="00C128B3"/>
    <w:rsid w:val="00C135FF"/>
    <w:rsid w:val="00C14EBB"/>
    <w:rsid w:val="00C211BD"/>
    <w:rsid w:val="00C22DEB"/>
    <w:rsid w:val="00C22E21"/>
    <w:rsid w:val="00C2400C"/>
    <w:rsid w:val="00C26770"/>
    <w:rsid w:val="00C26850"/>
    <w:rsid w:val="00C30219"/>
    <w:rsid w:val="00C30B5C"/>
    <w:rsid w:val="00C32570"/>
    <w:rsid w:val="00C32B5E"/>
    <w:rsid w:val="00C34AFD"/>
    <w:rsid w:val="00C40F5E"/>
    <w:rsid w:val="00C42D39"/>
    <w:rsid w:val="00C5575E"/>
    <w:rsid w:val="00C56DF8"/>
    <w:rsid w:val="00C71041"/>
    <w:rsid w:val="00C710A4"/>
    <w:rsid w:val="00C733B7"/>
    <w:rsid w:val="00C74064"/>
    <w:rsid w:val="00C7583B"/>
    <w:rsid w:val="00C8027D"/>
    <w:rsid w:val="00C802DF"/>
    <w:rsid w:val="00C80AB7"/>
    <w:rsid w:val="00C81248"/>
    <w:rsid w:val="00C81DFC"/>
    <w:rsid w:val="00C82A24"/>
    <w:rsid w:val="00C835A2"/>
    <w:rsid w:val="00C855E5"/>
    <w:rsid w:val="00C87665"/>
    <w:rsid w:val="00C93DFC"/>
    <w:rsid w:val="00C94CA7"/>
    <w:rsid w:val="00C9559E"/>
    <w:rsid w:val="00C9673A"/>
    <w:rsid w:val="00C972A1"/>
    <w:rsid w:val="00C9782C"/>
    <w:rsid w:val="00C97F25"/>
    <w:rsid w:val="00CA1722"/>
    <w:rsid w:val="00CA74A0"/>
    <w:rsid w:val="00CB2818"/>
    <w:rsid w:val="00CB6C25"/>
    <w:rsid w:val="00CB6E37"/>
    <w:rsid w:val="00CC3CFE"/>
    <w:rsid w:val="00CC56D9"/>
    <w:rsid w:val="00CC660D"/>
    <w:rsid w:val="00CC6B2D"/>
    <w:rsid w:val="00CD3F08"/>
    <w:rsid w:val="00CD7A1B"/>
    <w:rsid w:val="00CE3004"/>
    <w:rsid w:val="00CE38CD"/>
    <w:rsid w:val="00CE6474"/>
    <w:rsid w:val="00CF0892"/>
    <w:rsid w:val="00CF0BCD"/>
    <w:rsid w:val="00CF0CBE"/>
    <w:rsid w:val="00CF2340"/>
    <w:rsid w:val="00CF2C2E"/>
    <w:rsid w:val="00CF4C3A"/>
    <w:rsid w:val="00CF537E"/>
    <w:rsid w:val="00CF6B67"/>
    <w:rsid w:val="00D043C5"/>
    <w:rsid w:val="00D05B66"/>
    <w:rsid w:val="00D063E7"/>
    <w:rsid w:val="00D137D5"/>
    <w:rsid w:val="00D14032"/>
    <w:rsid w:val="00D154A7"/>
    <w:rsid w:val="00D15C2F"/>
    <w:rsid w:val="00D21410"/>
    <w:rsid w:val="00D23943"/>
    <w:rsid w:val="00D24053"/>
    <w:rsid w:val="00D246FF"/>
    <w:rsid w:val="00D249F3"/>
    <w:rsid w:val="00D24DE3"/>
    <w:rsid w:val="00D3754E"/>
    <w:rsid w:val="00D417DA"/>
    <w:rsid w:val="00D51005"/>
    <w:rsid w:val="00D55192"/>
    <w:rsid w:val="00D603A8"/>
    <w:rsid w:val="00D6046B"/>
    <w:rsid w:val="00D63321"/>
    <w:rsid w:val="00D64C26"/>
    <w:rsid w:val="00D64F83"/>
    <w:rsid w:val="00D658A6"/>
    <w:rsid w:val="00D66F0E"/>
    <w:rsid w:val="00D70675"/>
    <w:rsid w:val="00D708C9"/>
    <w:rsid w:val="00D70FC6"/>
    <w:rsid w:val="00D727E1"/>
    <w:rsid w:val="00D7539A"/>
    <w:rsid w:val="00D75D1C"/>
    <w:rsid w:val="00D77881"/>
    <w:rsid w:val="00D82A8B"/>
    <w:rsid w:val="00D8343D"/>
    <w:rsid w:val="00D84E2A"/>
    <w:rsid w:val="00D87E6F"/>
    <w:rsid w:val="00D97BCF"/>
    <w:rsid w:val="00DB04B0"/>
    <w:rsid w:val="00DB110F"/>
    <w:rsid w:val="00DB209B"/>
    <w:rsid w:val="00DB2BB8"/>
    <w:rsid w:val="00DB2D65"/>
    <w:rsid w:val="00DC68F5"/>
    <w:rsid w:val="00DD066D"/>
    <w:rsid w:val="00DD17B4"/>
    <w:rsid w:val="00DD355E"/>
    <w:rsid w:val="00DE45C6"/>
    <w:rsid w:val="00DE6594"/>
    <w:rsid w:val="00DE7C45"/>
    <w:rsid w:val="00DF2FC3"/>
    <w:rsid w:val="00DF3690"/>
    <w:rsid w:val="00DF461A"/>
    <w:rsid w:val="00DF49C5"/>
    <w:rsid w:val="00E01DF0"/>
    <w:rsid w:val="00E02FBA"/>
    <w:rsid w:val="00E03C5E"/>
    <w:rsid w:val="00E0401A"/>
    <w:rsid w:val="00E10693"/>
    <w:rsid w:val="00E10B1C"/>
    <w:rsid w:val="00E12E5A"/>
    <w:rsid w:val="00E136B4"/>
    <w:rsid w:val="00E20614"/>
    <w:rsid w:val="00E20DA8"/>
    <w:rsid w:val="00E216B3"/>
    <w:rsid w:val="00E22621"/>
    <w:rsid w:val="00E2305D"/>
    <w:rsid w:val="00E273E3"/>
    <w:rsid w:val="00E32B89"/>
    <w:rsid w:val="00E35FB5"/>
    <w:rsid w:val="00E37301"/>
    <w:rsid w:val="00E40344"/>
    <w:rsid w:val="00E41348"/>
    <w:rsid w:val="00E43ABF"/>
    <w:rsid w:val="00E44BA5"/>
    <w:rsid w:val="00E454F5"/>
    <w:rsid w:val="00E51553"/>
    <w:rsid w:val="00E51F9F"/>
    <w:rsid w:val="00E57ED1"/>
    <w:rsid w:val="00E61780"/>
    <w:rsid w:val="00E64D28"/>
    <w:rsid w:val="00E650AE"/>
    <w:rsid w:val="00E6792A"/>
    <w:rsid w:val="00E74600"/>
    <w:rsid w:val="00E755D1"/>
    <w:rsid w:val="00E82357"/>
    <w:rsid w:val="00E87690"/>
    <w:rsid w:val="00E916DD"/>
    <w:rsid w:val="00E9402D"/>
    <w:rsid w:val="00E94E6A"/>
    <w:rsid w:val="00E95342"/>
    <w:rsid w:val="00EA439A"/>
    <w:rsid w:val="00EA538E"/>
    <w:rsid w:val="00EA5601"/>
    <w:rsid w:val="00EA58FB"/>
    <w:rsid w:val="00EA78CA"/>
    <w:rsid w:val="00EA7BC5"/>
    <w:rsid w:val="00EB5C8E"/>
    <w:rsid w:val="00EB73B3"/>
    <w:rsid w:val="00EC01C8"/>
    <w:rsid w:val="00EC389E"/>
    <w:rsid w:val="00EC43A5"/>
    <w:rsid w:val="00EC59F7"/>
    <w:rsid w:val="00EC6192"/>
    <w:rsid w:val="00EC6858"/>
    <w:rsid w:val="00ED001A"/>
    <w:rsid w:val="00ED1C70"/>
    <w:rsid w:val="00ED5A07"/>
    <w:rsid w:val="00ED7F11"/>
    <w:rsid w:val="00EE05DB"/>
    <w:rsid w:val="00EE194C"/>
    <w:rsid w:val="00EE36BE"/>
    <w:rsid w:val="00EE68F9"/>
    <w:rsid w:val="00EE6E00"/>
    <w:rsid w:val="00EF1FDD"/>
    <w:rsid w:val="00EF23E9"/>
    <w:rsid w:val="00EF2D22"/>
    <w:rsid w:val="00EF3412"/>
    <w:rsid w:val="00EF49F0"/>
    <w:rsid w:val="00EF5B91"/>
    <w:rsid w:val="00EF7A32"/>
    <w:rsid w:val="00F0262C"/>
    <w:rsid w:val="00F03DF9"/>
    <w:rsid w:val="00F122FD"/>
    <w:rsid w:val="00F14821"/>
    <w:rsid w:val="00F14DE2"/>
    <w:rsid w:val="00F156C3"/>
    <w:rsid w:val="00F15E74"/>
    <w:rsid w:val="00F16485"/>
    <w:rsid w:val="00F210F9"/>
    <w:rsid w:val="00F22950"/>
    <w:rsid w:val="00F22E6D"/>
    <w:rsid w:val="00F2657F"/>
    <w:rsid w:val="00F30189"/>
    <w:rsid w:val="00F30D80"/>
    <w:rsid w:val="00F35991"/>
    <w:rsid w:val="00F41816"/>
    <w:rsid w:val="00F46D0C"/>
    <w:rsid w:val="00F50F55"/>
    <w:rsid w:val="00F51AF3"/>
    <w:rsid w:val="00F555F8"/>
    <w:rsid w:val="00F62082"/>
    <w:rsid w:val="00F64877"/>
    <w:rsid w:val="00F64C5A"/>
    <w:rsid w:val="00F6754D"/>
    <w:rsid w:val="00F70045"/>
    <w:rsid w:val="00F714A9"/>
    <w:rsid w:val="00F71736"/>
    <w:rsid w:val="00F71EB5"/>
    <w:rsid w:val="00F80BCB"/>
    <w:rsid w:val="00F83951"/>
    <w:rsid w:val="00F84343"/>
    <w:rsid w:val="00F85D8D"/>
    <w:rsid w:val="00F8613C"/>
    <w:rsid w:val="00F90362"/>
    <w:rsid w:val="00F93126"/>
    <w:rsid w:val="00F9326A"/>
    <w:rsid w:val="00F9751A"/>
    <w:rsid w:val="00F978F7"/>
    <w:rsid w:val="00FA0181"/>
    <w:rsid w:val="00FA2BC9"/>
    <w:rsid w:val="00FA3463"/>
    <w:rsid w:val="00FA532F"/>
    <w:rsid w:val="00FA581C"/>
    <w:rsid w:val="00FB450C"/>
    <w:rsid w:val="00FC1C58"/>
    <w:rsid w:val="00FC280F"/>
    <w:rsid w:val="00FC7FFE"/>
    <w:rsid w:val="00FD0A14"/>
    <w:rsid w:val="00FD0A5B"/>
    <w:rsid w:val="00FD2047"/>
    <w:rsid w:val="00FD2585"/>
    <w:rsid w:val="00FE74AF"/>
    <w:rsid w:val="00FF0865"/>
    <w:rsid w:val="00FF10F5"/>
    <w:rsid w:val="27EBA2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45"/>
    <w:pPr>
      <w:widowControl w:val="0"/>
    </w:pPr>
    <w:rPr>
      <w:snapToGrid w:val="0"/>
      <w:kern w:val="28"/>
      <w:szCs w:val="20"/>
    </w:rPr>
  </w:style>
  <w:style w:type="paragraph" w:styleId="Heading1">
    <w:name w:val="heading 1"/>
    <w:basedOn w:val="Normal"/>
    <w:next w:val="ParaNum"/>
    <w:link w:val="Heading1Char"/>
    <w:qFormat/>
    <w:rsid w:val="00A7044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70445"/>
    <w:pPr>
      <w:keepNext/>
      <w:numPr>
        <w:ilvl w:val="1"/>
        <w:numId w:val="2"/>
      </w:numPr>
      <w:spacing w:after="120"/>
      <w:outlineLvl w:val="1"/>
    </w:pPr>
    <w:rPr>
      <w:b/>
    </w:rPr>
  </w:style>
  <w:style w:type="paragraph" w:styleId="Heading3">
    <w:name w:val="heading 3"/>
    <w:basedOn w:val="Normal"/>
    <w:next w:val="ParaNum"/>
    <w:link w:val="Heading3Char"/>
    <w:qFormat/>
    <w:rsid w:val="00A7044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7044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70445"/>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7044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7044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7044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7044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704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0445"/>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A70445"/>
    <w:pPr>
      <w:numPr>
        <w:numId w:val="1"/>
      </w:numPr>
      <w:tabs>
        <w:tab w:val="clear" w:pos="1080"/>
        <w:tab w:val="num" w:pos="1440"/>
      </w:tabs>
      <w:spacing w:after="120"/>
    </w:pPr>
  </w:style>
  <w:style w:type="paragraph" w:styleId="EndnoteText">
    <w:name w:val="endnote text"/>
    <w:basedOn w:val="Normal"/>
    <w:link w:val="EndnoteTextChar"/>
    <w:semiHidden/>
    <w:rsid w:val="00A70445"/>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A70445"/>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A70445"/>
    <w:pPr>
      <w:spacing w:after="120"/>
    </w:pPr>
    <w:rPr>
      <w:sz w:val="20"/>
      <w:szCs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sz w:val="20"/>
      <w:szCs w:val="20"/>
    </w:rPr>
  </w:style>
  <w:style w:type="character" w:styleId="FootnoteReference">
    <w:name w:val="footnote reference"/>
    <w:aliases w:val="(NECG) Footnote Reference,Appel note de bas de p,FR,Footnote Reference/,Footnote Reference1,Style 12,Style 124,Style 13,Style 17,Style 3,Style 4,Style 6,fr,o"/>
    <w:rsid w:val="00A70445"/>
    <w:rPr>
      <w:rFonts w:ascii="Times New Roman" w:hAnsi="Times New Roman"/>
      <w:dstrike w:val="0"/>
      <w:color w:val="auto"/>
      <w:sz w:val="20"/>
      <w:vertAlign w:val="superscript"/>
    </w:rPr>
  </w:style>
  <w:style w:type="paragraph" w:styleId="TOC1">
    <w:name w:val="toc 1"/>
    <w:basedOn w:val="Normal"/>
    <w:next w:val="Normal"/>
    <w:rsid w:val="00A7044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0445"/>
    <w:pPr>
      <w:tabs>
        <w:tab w:val="left" w:pos="720"/>
        <w:tab w:val="right" w:leader="dot" w:pos="9360"/>
      </w:tabs>
      <w:suppressAutoHyphens/>
      <w:ind w:left="720" w:right="720" w:hanging="360"/>
    </w:pPr>
    <w:rPr>
      <w:noProof/>
    </w:rPr>
  </w:style>
  <w:style w:type="paragraph" w:styleId="TOC3">
    <w:name w:val="toc 3"/>
    <w:basedOn w:val="Normal"/>
    <w:next w:val="Normal"/>
    <w:semiHidden/>
    <w:rsid w:val="00A7044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04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04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044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044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044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044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0445"/>
    <w:pPr>
      <w:tabs>
        <w:tab w:val="right" w:pos="9360"/>
      </w:tabs>
      <w:suppressAutoHyphens/>
    </w:pPr>
  </w:style>
  <w:style w:type="character" w:customStyle="1" w:styleId="EquationCaption">
    <w:name w:val="_Equation Caption"/>
    <w:rsid w:val="00A70445"/>
  </w:style>
  <w:style w:type="paragraph" w:styleId="Header">
    <w:name w:val="header"/>
    <w:basedOn w:val="Normal"/>
    <w:link w:val="HeaderChar"/>
    <w:autoRedefine/>
    <w:rsid w:val="00A70445"/>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uiPriority w:val="99"/>
    <w:rsid w:val="00A70445"/>
    <w:pPr>
      <w:tabs>
        <w:tab w:val="center" w:pos="4320"/>
        <w:tab w:val="right" w:pos="8640"/>
      </w:tabs>
    </w:pPr>
  </w:style>
  <w:style w:type="character" w:customStyle="1" w:styleId="FooterChar">
    <w:name w:val="Footer Char"/>
    <w:link w:val="Footer"/>
    <w:uiPriority w:val="99"/>
    <w:locked/>
    <w:rsid w:val="00A70445"/>
    <w:rPr>
      <w:snapToGrid w:val="0"/>
      <w:kern w:val="28"/>
      <w:szCs w:val="20"/>
    </w:rPr>
  </w:style>
  <w:style w:type="character" w:styleId="PageNumber">
    <w:name w:val="page number"/>
    <w:basedOn w:val="DefaultParagraphFont"/>
    <w:rsid w:val="00A70445"/>
  </w:style>
  <w:style w:type="paragraph" w:styleId="BlockText">
    <w:name w:val="Block Text"/>
    <w:basedOn w:val="Normal"/>
    <w:rsid w:val="00A70445"/>
    <w:pPr>
      <w:spacing w:after="240"/>
      <w:ind w:left="1440" w:right="1440"/>
    </w:pPr>
  </w:style>
  <w:style w:type="paragraph" w:customStyle="1" w:styleId="Paratitle">
    <w:name w:val="Para title"/>
    <w:basedOn w:val="Normal"/>
    <w:rsid w:val="00A70445"/>
    <w:pPr>
      <w:tabs>
        <w:tab w:val="center" w:pos="9270"/>
      </w:tabs>
      <w:spacing w:after="240"/>
    </w:pPr>
    <w:rPr>
      <w:spacing w:val="-2"/>
    </w:rPr>
  </w:style>
  <w:style w:type="paragraph" w:customStyle="1" w:styleId="Bullet">
    <w:name w:val="Bullet"/>
    <w:basedOn w:val="Normal"/>
    <w:rsid w:val="00A70445"/>
    <w:pPr>
      <w:tabs>
        <w:tab w:val="left" w:pos="2160"/>
      </w:tabs>
      <w:spacing w:after="220"/>
      <w:ind w:left="2160" w:hanging="720"/>
    </w:pPr>
  </w:style>
  <w:style w:type="paragraph" w:customStyle="1" w:styleId="TableFormat">
    <w:name w:val="TableFormat"/>
    <w:basedOn w:val="Bullet"/>
    <w:rsid w:val="00A70445"/>
    <w:pPr>
      <w:tabs>
        <w:tab w:val="clear" w:pos="2160"/>
        <w:tab w:val="left" w:pos="5040"/>
      </w:tabs>
      <w:ind w:left="5040" w:hanging="3600"/>
    </w:pPr>
  </w:style>
  <w:style w:type="paragraph" w:customStyle="1" w:styleId="TOCTitle">
    <w:name w:val="TOC Title"/>
    <w:basedOn w:val="Normal"/>
    <w:rsid w:val="00A704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0445"/>
    <w:pPr>
      <w:jc w:val="center"/>
    </w:pPr>
    <w:rPr>
      <w:rFonts w:ascii="Times New Roman Bold" w:hAnsi="Times New Roman Bold"/>
      <w:b/>
      <w:bCs/>
      <w:caps/>
      <w:szCs w:val="22"/>
    </w:rPr>
  </w:style>
  <w:style w:type="character" w:styleId="Hyperlink">
    <w:name w:val="Hyperlink"/>
    <w:rsid w:val="00A70445"/>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sz w:val="20"/>
    </w:rPr>
  </w:style>
  <w:style w:type="character" w:customStyle="1" w:styleId="par1Char">
    <w:name w:val="par1 Char"/>
    <w:link w:val="par1"/>
    <w:uiPriority w:val="99"/>
    <w:locked/>
    <w:rsid w:val="003343CA"/>
    <w:rPr>
      <w:rFonts w:asciiTheme="minorHAnsi" w:eastAsiaTheme="minorHAnsi" w:hAnsiTheme="minorHAnsi" w:cstheme="minorBidi"/>
      <w:snapToGrid w:val="0"/>
      <w:sz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character" w:customStyle="1" w:styleId="UnresolvedMention">
    <w:name w:val="Unresolved Mention"/>
    <w:basedOn w:val="DefaultParagraphFont"/>
    <w:uiPriority w:val="99"/>
    <w:semiHidden/>
    <w:unhideWhenUsed/>
    <w:rsid w:val="000A1E64"/>
    <w:rPr>
      <w:color w:val="605E5C"/>
      <w:shd w:val="clear" w:color="auto" w:fill="E1DFDD"/>
    </w:rPr>
  </w:style>
  <w:style w:type="paragraph" w:styleId="Revision">
    <w:name w:val="Revision"/>
    <w:hidden/>
    <w:uiPriority w:val="99"/>
    <w:semiHidden/>
    <w:rsid w:val="00DB2D65"/>
    <w:rPr>
      <w:snapToGrid w:val="0"/>
      <w:kern w:val="28"/>
      <w:szCs w:val="20"/>
    </w:rPr>
  </w:style>
  <w:style w:type="character" w:customStyle="1" w:styleId="rrfootnoteCharCharChar">
    <w:name w:val="rrfootnote Char Char Char"/>
    <w:aliases w:val="Styl Char,Style 5 Char Char Char,fn Char"/>
    <w:uiPriority w:val="99"/>
    <w:rsid w:val="00B60614"/>
    <w:rPr>
      <w:sz w:val="20"/>
      <w:szCs w:val="20"/>
    </w:rPr>
  </w:style>
  <w:style w:type="table" w:styleId="TableGrid">
    <w:name w:val="Table Grid"/>
    <w:basedOn w:val="TableNormal"/>
    <w:uiPriority w:val="59"/>
    <w:locked/>
    <w:rsid w:val="0085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aul.noone@fcc.gov" TargetMode="External" /><Relationship Id="rId6" Type="http://schemas.openxmlformats.org/officeDocument/2006/relationships/hyperlink" Target="mailto:EB-SED-Respons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ryme.com/index.php?l=product_list&amp;c=71" TargetMode="External" /><Relationship Id="rId2" Type="http://schemas.openxmlformats.org/officeDocument/2006/relationships/hyperlink" Target="https://apps.fcc.gov/oetcf/tcb/reports/Tcb731GrantForm.cfm?mode=COPY&amp;RequestTimeout=500&amp;tcb_code=&amp;application_id=CxNoSKWIX0Jf6Q9n%2BcZOrA%3D%3D&amp;fcc_id=XTS-BT-PTT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