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B20363" w:rsidP="00EF7878" w14:paraId="186F7369" w14:textId="1DE71085">
      <w:pPr>
        <w:ind w:left="432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CE7F21">
        <w:rPr>
          <w:b/>
          <w:sz w:val="24"/>
        </w:rPr>
        <w:t xml:space="preserve">DA </w:t>
      </w:r>
      <w:r>
        <w:rPr>
          <w:b/>
          <w:sz w:val="24"/>
        </w:rPr>
        <w:t>20-1544</w:t>
      </w:r>
    </w:p>
    <w:p w:rsidR="00013A8B" w:rsidRPr="00B20363" w:rsidP="00013A8B" w14:paraId="06AB3D11" w14:textId="04D867C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bookmarkStart w:id="0" w:name="_GoBack"/>
      <w:bookmarkEnd w:id="0"/>
      <w:r w:rsidR="00CE7F21">
        <w:rPr>
          <w:b/>
          <w:sz w:val="24"/>
        </w:rPr>
        <w:t xml:space="preserve">December </w:t>
      </w:r>
      <w:r w:rsidR="00C72CF1">
        <w:rPr>
          <w:b/>
          <w:sz w:val="24"/>
        </w:rPr>
        <w:t>30</w:t>
      </w:r>
      <w:r w:rsidR="00CE7F21">
        <w:rPr>
          <w:b/>
          <w:sz w:val="24"/>
        </w:rPr>
        <w:t>, 2020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143E1874">
      <w:pPr>
        <w:spacing w:after="120"/>
        <w:ind w:firstLine="720"/>
        <w:rPr>
          <w:snapToGrid/>
        </w:rPr>
      </w:pPr>
      <w:r>
        <w:t xml:space="preserve">On </w:t>
      </w:r>
      <w:r w:rsidR="002C44DA">
        <w:t>October 1</w:t>
      </w:r>
      <w:r>
        <w:t xml:space="preserve">, 2020, television stations located in </w:t>
      </w:r>
      <w:r w:rsidR="005A3A5E">
        <w:t>Florida, Puerto Rico, and the Virgin Islands,</w:t>
      </w:r>
      <w:r>
        <w:t xml:space="preserve"> were required to file applications for license renewal for terms expiring on </w:t>
      </w:r>
      <w:r w:rsidR="005A3A5E">
        <w:t>February</w:t>
      </w:r>
      <w:r>
        <w:t xml:space="preserve"> 1, 202</w:t>
      </w:r>
      <w:r w:rsidR="00961226">
        <w:t>1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</w:t>
      </w:r>
      <w:r w:rsidR="007C17DA">
        <w:t>February</w:t>
      </w:r>
      <w:r>
        <w:t xml:space="preserve"> 1, 202</w:t>
      </w:r>
      <w:r w:rsidR="00961226">
        <w:t>1</w:t>
      </w:r>
      <w:r>
        <w:t>, provided no renewal application is received by midnight on the date of expiration:</w:t>
      </w:r>
    </w:p>
    <w:p w:rsidR="00013A8B" w:rsidP="00622C9B" w14:paraId="3A81191D" w14:textId="1ADB26CE"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70"/>
        <w:gridCol w:w="1350"/>
        <w:gridCol w:w="3690"/>
      </w:tblGrid>
      <w:tr w14:paraId="3DA8E5DC" w14:textId="77777777" w:rsidTr="00F800A8">
        <w:tblPrEx>
          <w:tblW w:w="936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50" w:type="dxa"/>
            <w:shd w:val="clear" w:color="auto" w:fill="auto"/>
            <w:vAlign w:val="center"/>
          </w:tcPr>
          <w:p w:rsidR="00425A2C" w:rsidRPr="00F800A8" w:rsidP="00F800A8" w14:paraId="0CA3AAE3" w14:textId="07EA346F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Call Sign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5A2C" w:rsidRPr="00F800A8" w:rsidP="00F800A8" w14:paraId="7DDF7A3D" w14:textId="16E4C2D4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Community of License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5A2C" w:rsidRPr="00F800A8" w:rsidP="00F800A8" w14:paraId="016163B6" w14:textId="07318787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Facility ID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25A2C" w:rsidRPr="00F800A8" w:rsidP="00F800A8" w14:paraId="103ADFD0" w14:textId="1DF685DC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Licensee</w:t>
            </w:r>
          </w:p>
        </w:tc>
      </w:tr>
      <w:tr w14:paraId="61BD6C08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3610B2DE" w14:textId="0758FF3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W44DH-D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39AACDA9" w14:textId="110982C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CAGUAS, PUERTO RICO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68A08C28" w14:textId="4D3A28F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184034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722DCA79" w14:textId="7D8892E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CAGUAS COMMUNITY TELEVISION</w:t>
            </w:r>
          </w:p>
        </w:tc>
      </w:tr>
      <w:tr w14:paraId="39BC1A9B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3AE65449" w14:textId="25CCF7B7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WPRU-LP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313C4525" w14:textId="775E15A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AQUADILLA, PUERTO RICO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70356100" w14:textId="6281695E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127514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4AD71E8E" w14:textId="4127774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CARIBBEAN BROADCASTING NETWORK, LLC</w:t>
            </w:r>
          </w:p>
        </w:tc>
      </w:tr>
      <w:tr w14:paraId="0763B023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0055912B" w14:textId="21FC1F2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WSJX-LP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6DAEBE77" w14:textId="4A124D2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AQUADILLA, PUERTO RICO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63CDBCA3" w14:textId="5BBECEFE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128825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66CAA688" w14:textId="1A2524D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CARIBBEAN BROADCASTING NETWORK, LLC</w:t>
            </w:r>
          </w:p>
        </w:tc>
      </w:tr>
      <w:tr w14:paraId="555F8C52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4CDB3B06" w14:textId="720C6BC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WBWP-LD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11743FE1" w14:textId="5518810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WEST PALM BEACH, FLORIDA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33C36764" w14:textId="2A54019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56130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6A623A32" w14:textId="79E45C67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H&amp;R PRODUCTION GROUP, LLC</w:t>
            </w:r>
          </w:p>
        </w:tc>
      </w:tr>
      <w:tr w14:paraId="4D2B8714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4D96FECE" w14:textId="38EFF7A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W14DQ-D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34B9F695" w14:textId="4D0000F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BARTOW, FLORIDA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5D35927C" w14:textId="340D279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187412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6B418F83" w14:textId="0D08767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zCs w:val="22"/>
                <w:shd w:val="clear" w:color="auto" w:fill="FFFFFF"/>
              </w:rPr>
              <w:t>HENRY B. HOLMES, JR.</w:t>
            </w:r>
          </w:p>
        </w:tc>
      </w:tr>
      <w:tr w14:paraId="3BD9F50F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19E9F916" w14:textId="5C04B6C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W36EC-D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40058D45" w14:textId="6C8F31D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BARTOW, FLORIDA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30096676" w14:textId="77B43CF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187418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73AC80E6" w14:textId="17F3459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zCs w:val="22"/>
                <w:shd w:val="clear" w:color="auto" w:fill="FFFFFF"/>
              </w:rPr>
              <w:t>HENRY B. HOLMES, JR.</w:t>
            </w:r>
          </w:p>
        </w:tc>
      </w:tr>
      <w:tr w14:paraId="390A57BD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66AF1789" w14:textId="2DA7D96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W39DE-D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6626CD3E" w14:textId="0F51FCC6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CAYEY, PUERTO RICO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799CA1A1" w14:textId="5892E42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184017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08F1A317" w14:textId="7FC2727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LIBERTY TECHNICAL COLLEGE</w:t>
            </w:r>
          </w:p>
        </w:tc>
      </w:tr>
      <w:tr w14:paraId="3ABC8C8F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5CD4B1D8" w14:textId="67F1C75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WEWA-LD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66B7908C" w14:textId="22BC31DE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WEWAHITCHKA, FLORIDA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2B3125F9" w14:textId="1646CC7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39344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178A9681" w14:textId="6CBF7AD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NICHOLS BROADASTING GROUP, LLC</w:t>
            </w:r>
          </w:p>
        </w:tc>
      </w:tr>
      <w:tr w14:paraId="0FD5E8C9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6E691E8A" w14:textId="0B61252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WWRP-LP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51C5971B" w14:textId="6AF8F5C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TALLAHASSEE, FLORIDA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2442D422" w14:textId="351F8C9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3034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32D0D05A" w14:textId="72F494A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RESTORATION PLACE, INC.</w:t>
            </w:r>
          </w:p>
        </w:tc>
      </w:tr>
      <w:tr w14:paraId="11C8D508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1C502390" w14:textId="2E4E90D6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WXCK-LP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49711C29" w14:textId="12A0E8D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CHIEFLAND, FLORIDA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13522A5D" w14:textId="1662152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63896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522FE09D" w14:textId="4C6E911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SUNCOAST BROADCASTING OF LAFAYETTE COUNTY</w:t>
            </w:r>
          </w:p>
        </w:tc>
      </w:tr>
      <w:tr w14:paraId="4D8F5236" w14:textId="77777777" w:rsidTr="00F800A8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  <w:hideMark/>
          </w:tcPr>
          <w:p w:rsidR="00620E43" w:rsidRPr="00620E43" w:rsidP="00F800A8" w14:paraId="60A16042" w14:textId="6F80C17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WWEO-LD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29F6A157" w14:textId="28C64B9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DEFUNIAK SPRINGS, FLORIDA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75984684" w14:textId="4BD2B397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0E43">
              <w:rPr>
                <w:snapToGrid/>
                <w:kern w:val="0"/>
                <w:szCs w:val="22"/>
              </w:rPr>
              <w:t>2941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6DD633D5" w14:textId="49C64F2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F800A8">
              <w:rPr>
                <w:snapToGrid/>
                <w:kern w:val="0"/>
                <w:szCs w:val="22"/>
              </w:rPr>
              <w:t>WORLD EVANGELISM OUTREACH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620E43" w:rsidRPr="00930ECF" w:rsidP="008B5583" w14:paraId="232012DD" w14:textId="77777777">
      <w:pPr>
        <w:rPr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2D0697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42A1F9A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5AF36B16" w14:textId="758FC524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Street, N.E.</w:t>
                </w:r>
              </w:p>
              <w:p w:rsidR="009838BC" w:rsidP="009838BC" w14:paraId="476008A7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1261.6pt,56.7pt" to="1729.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7FBBB188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5E96B61A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56D4DB7C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98"/>
    <w:rsid w:val="000072CE"/>
    <w:rsid w:val="00013A8B"/>
    <w:rsid w:val="00021445"/>
    <w:rsid w:val="00036039"/>
    <w:rsid w:val="00037F90"/>
    <w:rsid w:val="000875BF"/>
    <w:rsid w:val="00096D8C"/>
    <w:rsid w:val="000C0B65"/>
    <w:rsid w:val="000D2F1E"/>
    <w:rsid w:val="000D6313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2C44DA"/>
    <w:rsid w:val="002F7798"/>
    <w:rsid w:val="00343749"/>
    <w:rsid w:val="00357D50"/>
    <w:rsid w:val="003925DC"/>
    <w:rsid w:val="003B0550"/>
    <w:rsid w:val="003B0C3F"/>
    <w:rsid w:val="003B694F"/>
    <w:rsid w:val="003F171C"/>
    <w:rsid w:val="00412FC5"/>
    <w:rsid w:val="00422276"/>
    <w:rsid w:val="004242F1"/>
    <w:rsid w:val="00425A2C"/>
    <w:rsid w:val="00445A00"/>
    <w:rsid w:val="00451B0F"/>
    <w:rsid w:val="0046125F"/>
    <w:rsid w:val="00477E99"/>
    <w:rsid w:val="00487524"/>
    <w:rsid w:val="00496106"/>
    <w:rsid w:val="004A7BF8"/>
    <w:rsid w:val="004C12D0"/>
    <w:rsid w:val="004C2EE3"/>
    <w:rsid w:val="004E4A22"/>
    <w:rsid w:val="00511968"/>
    <w:rsid w:val="005154CF"/>
    <w:rsid w:val="0055614C"/>
    <w:rsid w:val="00573140"/>
    <w:rsid w:val="005A3A5E"/>
    <w:rsid w:val="005F7D5C"/>
    <w:rsid w:val="006009A7"/>
    <w:rsid w:val="00607BA5"/>
    <w:rsid w:val="00620E43"/>
    <w:rsid w:val="00622C9B"/>
    <w:rsid w:val="00626EB6"/>
    <w:rsid w:val="006353A3"/>
    <w:rsid w:val="00655D03"/>
    <w:rsid w:val="00683F84"/>
    <w:rsid w:val="006A6A81"/>
    <w:rsid w:val="006E26AF"/>
    <w:rsid w:val="006F31FD"/>
    <w:rsid w:val="006F7393"/>
    <w:rsid w:val="0070224F"/>
    <w:rsid w:val="007115F7"/>
    <w:rsid w:val="00785689"/>
    <w:rsid w:val="0079754B"/>
    <w:rsid w:val="007A1E6D"/>
    <w:rsid w:val="007C17DA"/>
    <w:rsid w:val="00822CE0"/>
    <w:rsid w:val="00837C62"/>
    <w:rsid w:val="00841AB1"/>
    <w:rsid w:val="00864C0A"/>
    <w:rsid w:val="008A5110"/>
    <w:rsid w:val="008B5583"/>
    <w:rsid w:val="008C22FD"/>
    <w:rsid w:val="00910F12"/>
    <w:rsid w:val="00926503"/>
    <w:rsid w:val="00930ECF"/>
    <w:rsid w:val="00961226"/>
    <w:rsid w:val="00980AE7"/>
    <w:rsid w:val="009838BC"/>
    <w:rsid w:val="00A45F4F"/>
    <w:rsid w:val="00A600A9"/>
    <w:rsid w:val="00A866AC"/>
    <w:rsid w:val="00AA55B7"/>
    <w:rsid w:val="00AA5B9E"/>
    <w:rsid w:val="00AB2407"/>
    <w:rsid w:val="00AB53DF"/>
    <w:rsid w:val="00AC46DA"/>
    <w:rsid w:val="00B07E5C"/>
    <w:rsid w:val="00B20363"/>
    <w:rsid w:val="00B326E3"/>
    <w:rsid w:val="00B6214A"/>
    <w:rsid w:val="00B811F7"/>
    <w:rsid w:val="00BA5DC6"/>
    <w:rsid w:val="00BA6196"/>
    <w:rsid w:val="00BC6D8C"/>
    <w:rsid w:val="00C16AF2"/>
    <w:rsid w:val="00C2420D"/>
    <w:rsid w:val="00C34006"/>
    <w:rsid w:val="00C426B1"/>
    <w:rsid w:val="00C72CF1"/>
    <w:rsid w:val="00C82B6B"/>
    <w:rsid w:val="00C90D6A"/>
    <w:rsid w:val="00CC72B6"/>
    <w:rsid w:val="00CE7F21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0F5B"/>
    <w:rsid w:val="00E155B7"/>
    <w:rsid w:val="00E5409F"/>
    <w:rsid w:val="00E763EB"/>
    <w:rsid w:val="00EC0185"/>
    <w:rsid w:val="00EF7878"/>
    <w:rsid w:val="00F021FA"/>
    <w:rsid w:val="00F57ACA"/>
    <w:rsid w:val="00F62E97"/>
    <w:rsid w:val="00F64209"/>
    <w:rsid w:val="00F800A8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