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bookmarkStart w:id="0" w:name="_GoBack"/>
    <w:bookmarkEnd w:id="0"/>
    <w:p w:rsidR="00013A8B" w:rsidRPr="00A858A2" w:rsidP="00013A8B" w14:paraId="6B938ACC" w14:textId="752CF53D">
      <w:pPr>
        <w:jc w:val="right"/>
        <w:rPr>
          <w:b/>
          <w:szCs w:val="22"/>
        </w:rPr>
      </w:pPr>
      <w:r>
        <w:rPr>
          <w:b/>
          <w:szCs w:val="22"/>
        </w:rPr>
        <w:fldChar w:fldCharType="begin">
          <w:ffData>
            <w:name w:val="Text1"/>
            <w:enabled/>
            <w:calcOnExit w:val="0"/>
            <w:textInput>
              <w:default w:val="DA 20-1545"/>
            </w:textInput>
          </w:ffData>
        </w:fldChar>
      </w:r>
      <w:r>
        <w:rPr>
          <w:b/>
          <w:szCs w:val="22"/>
        </w:rPr>
        <w:instrText xml:space="preserve"> </w:instrText>
      </w:r>
      <w:bookmarkStart w:id="1" w:name="Text1"/>
      <w:r>
        <w:rPr>
          <w:b/>
          <w:szCs w:val="22"/>
        </w:rPr>
        <w:instrText xml:space="preserve">FORMTEXT </w:instrText>
      </w:r>
      <w:r>
        <w:rPr>
          <w:b/>
          <w:szCs w:val="22"/>
        </w:rPr>
        <w:fldChar w:fldCharType="separate"/>
      </w:r>
      <w:r>
        <w:rPr>
          <w:b/>
          <w:noProof/>
          <w:szCs w:val="22"/>
        </w:rPr>
        <w:t>DA 20-1545</w:t>
      </w:r>
      <w:r>
        <w:rPr>
          <w:b/>
          <w:szCs w:val="22"/>
        </w:rPr>
        <w:fldChar w:fldCharType="end"/>
      </w:r>
      <w:bookmarkEnd w:id="1"/>
    </w:p>
    <w:p w:rsidR="00013A8B" w:rsidRPr="00A858A2" w:rsidP="00013A8B" w14:paraId="164099A4" w14:textId="58C9218A">
      <w:pPr>
        <w:spacing w:before="60"/>
        <w:jc w:val="right"/>
        <w:rPr>
          <w:b/>
          <w:szCs w:val="22"/>
        </w:rPr>
      </w:pPr>
      <w:r w:rsidRPr="00A858A2">
        <w:rPr>
          <w:b/>
          <w:szCs w:val="22"/>
        </w:rPr>
        <w:t xml:space="preserve">Released:  </w:t>
      </w:r>
      <w:r w:rsidR="00D14250">
        <w:rPr>
          <w:b/>
          <w:szCs w:val="22"/>
        </w:rPr>
        <w:t>December 30, 2020</w:t>
      </w:r>
    </w:p>
    <w:p w:rsidR="00013A8B" w:rsidRPr="00A858A2" w:rsidP="00013A8B" w14:paraId="4752E0D9" w14:textId="77777777">
      <w:pPr>
        <w:jc w:val="right"/>
        <w:rPr>
          <w:szCs w:val="22"/>
        </w:rPr>
      </w:pPr>
    </w:p>
    <w:p w:rsidR="00013A8B" w:rsidRPr="00A858A2" w:rsidP="00013A8B" w14:paraId="5188CE7B" w14:textId="2E1D1ED8">
      <w:pPr>
        <w:spacing w:after="240"/>
        <w:jc w:val="center"/>
        <w:rPr>
          <w:b/>
          <w:caps/>
          <w:szCs w:val="22"/>
        </w:rPr>
      </w:pPr>
      <w:r w:rsidRPr="00A858A2">
        <w:rPr>
          <w:b/>
          <w:szCs w:val="22"/>
        </w:rPr>
        <w:t xml:space="preserve">INTERNATIONAL BUREAU SEEKS COMMENT </w:t>
      </w:r>
      <w:r>
        <w:rPr>
          <w:b/>
          <w:szCs w:val="22"/>
        </w:rPr>
        <w:t>O</w:t>
      </w:r>
      <w:r w:rsidRPr="00A858A2">
        <w:rPr>
          <w:b/>
          <w:szCs w:val="22"/>
        </w:rPr>
        <w:t xml:space="preserve">N STANDARD QUESTIONS </w:t>
      </w:r>
      <w:r>
        <w:rPr>
          <w:b/>
          <w:szCs w:val="22"/>
        </w:rPr>
        <w:t>F</w:t>
      </w:r>
      <w:r w:rsidRPr="00A858A2">
        <w:rPr>
          <w:b/>
          <w:szCs w:val="22"/>
        </w:rPr>
        <w:t xml:space="preserve">OR APPLICANTS </w:t>
      </w:r>
      <w:r>
        <w:rPr>
          <w:b/>
          <w:szCs w:val="22"/>
        </w:rPr>
        <w:t>WHOSE APPLICATIONS WILL BE REFERRED TO THE EXECUTIVE BRANCH FOR REVIEW DUE TO FOREIGN OWNERSHIP</w:t>
      </w:r>
    </w:p>
    <w:p w:rsidR="00013A8B" w:rsidRPr="00A858A2" w:rsidP="00013A8B" w14:paraId="515484DA" w14:textId="1B045975">
      <w:pPr>
        <w:jc w:val="center"/>
        <w:rPr>
          <w:b/>
          <w:szCs w:val="22"/>
        </w:rPr>
      </w:pPr>
      <w:r w:rsidRPr="00A858A2">
        <w:rPr>
          <w:b/>
          <w:szCs w:val="22"/>
        </w:rPr>
        <w:t>IB Docket No. 16-155</w:t>
      </w:r>
    </w:p>
    <w:p w:rsidR="0056120F" w:rsidRPr="00A858A2" w:rsidP="00013A8B" w14:paraId="10E8AEA8" w14:textId="49810BA4">
      <w:pPr>
        <w:jc w:val="center"/>
        <w:rPr>
          <w:b/>
          <w:szCs w:val="22"/>
        </w:rPr>
      </w:pPr>
    </w:p>
    <w:p w:rsidR="0056120F" w:rsidRPr="00A858A2" w:rsidP="0056120F" w14:paraId="46983239" w14:textId="565D01FC">
      <w:pPr>
        <w:rPr>
          <w:b/>
          <w:szCs w:val="22"/>
        </w:rPr>
      </w:pPr>
      <w:r w:rsidRPr="00A858A2">
        <w:rPr>
          <w:b/>
          <w:szCs w:val="22"/>
        </w:rPr>
        <w:t xml:space="preserve">Comments Due: </w:t>
      </w:r>
      <w:r w:rsidR="00B533BF">
        <w:rPr>
          <w:b/>
          <w:szCs w:val="22"/>
        </w:rPr>
        <w:t>30</w:t>
      </w:r>
      <w:r w:rsidRPr="00A858A2">
        <w:rPr>
          <w:b/>
          <w:szCs w:val="22"/>
        </w:rPr>
        <w:t xml:space="preserve"> days </w:t>
      </w:r>
      <w:r w:rsidRPr="00A858A2">
        <w:rPr>
          <w:rFonts w:eastAsia="Calibri"/>
          <w:b/>
          <w:szCs w:val="22"/>
        </w:rPr>
        <w:t xml:space="preserve">after </w:t>
      </w:r>
      <w:r w:rsidR="00B533BF">
        <w:rPr>
          <w:rFonts w:eastAsia="Calibri"/>
          <w:b/>
          <w:szCs w:val="22"/>
        </w:rPr>
        <w:t>publication in the Federal Register</w:t>
      </w:r>
    </w:p>
    <w:p w:rsidR="0056120F" w:rsidRPr="00A858A2" w:rsidP="0056120F" w14:paraId="76A87DA6" w14:textId="78E877D2">
      <w:pPr>
        <w:rPr>
          <w:b/>
          <w:szCs w:val="22"/>
        </w:rPr>
      </w:pPr>
      <w:r w:rsidRPr="00A858A2">
        <w:rPr>
          <w:b/>
          <w:szCs w:val="22"/>
        </w:rPr>
        <w:t xml:space="preserve">Reply Comments Due: </w:t>
      </w:r>
      <w:r w:rsidR="00B533BF">
        <w:rPr>
          <w:b/>
          <w:szCs w:val="22"/>
        </w:rPr>
        <w:t>45</w:t>
      </w:r>
      <w:r w:rsidRPr="00A858A2">
        <w:rPr>
          <w:b/>
          <w:szCs w:val="22"/>
        </w:rPr>
        <w:t xml:space="preserve"> days after </w:t>
      </w:r>
      <w:r w:rsidR="00B533BF">
        <w:rPr>
          <w:b/>
          <w:szCs w:val="22"/>
        </w:rPr>
        <w:t>publication in the Federal Register</w:t>
      </w:r>
    </w:p>
    <w:p w:rsidR="00F96F63" w:rsidRPr="00A858A2" w:rsidP="00F96F63" w14:paraId="32796FBF" w14:textId="77777777">
      <w:pPr>
        <w:rPr>
          <w:szCs w:val="22"/>
        </w:rPr>
      </w:pPr>
      <w:bookmarkStart w:id="2" w:name="TOChere"/>
    </w:p>
    <w:bookmarkEnd w:id="2"/>
    <w:p w:rsidR="00482BD5" w:rsidP="00315009" w14:paraId="7513027F" w14:textId="397F47D1">
      <w:pPr>
        <w:ind w:firstLine="720"/>
        <w:rPr>
          <w:szCs w:val="22"/>
        </w:rPr>
      </w:pPr>
      <w:r>
        <w:rPr>
          <w:szCs w:val="22"/>
        </w:rPr>
        <w:t xml:space="preserve">By </w:t>
      </w:r>
      <w:r w:rsidR="008778CD">
        <w:rPr>
          <w:szCs w:val="22"/>
        </w:rPr>
        <w:t>this Public Notice,</w:t>
      </w:r>
      <w:r w:rsidR="00C323B4">
        <w:rPr>
          <w:szCs w:val="22"/>
        </w:rPr>
        <w:t xml:space="preserve"> </w:t>
      </w:r>
      <w:r w:rsidR="008778CD">
        <w:rPr>
          <w:szCs w:val="22"/>
        </w:rPr>
        <w:t xml:space="preserve">we </w:t>
      </w:r>
      <w:r w:rsidRPr="00A858A2" w:rsidR="008778CD">
        <w:rPr>
          <w:szCs w:val="22"/>
        </w:rPr>
        <w:t xml:space="preserve">seek comment on </w:t>
      </w:r>
      <w:r w:rsidR="00C323B4">
        <w:rPr>
          <w:szCs w:val="22"/>
        </w:rPr>
        <w:t xml:space="preserve">a set of standardized </w:t>
      </w:r>
      <w:r w:rsidR="00750FA9">
        <w:rPr>
          <w:szCs w:val="22"/>
        </w:rPr>
        <w:t xml:space="preserve">national security and law enforcement </w:t>
      </w:r>
      <w:r w:rsidR="00C323B4">
        <w:rPr>
          <w:szCs w:val="22"/>
        </w:rPr>
        <w:t xml:space="preserve">questions (Standard Questions) </w:t>
      </w:r>
      <w:r w:rsidR="003174FE">
        <w:rPr>
          <w:szCs w:val="22"/>
        </w:rPr>
        <w:t xml:space="preserve">that proponents of </w:t>
      </w:r>
      <w:r w:rsidR="00645747">
        <w:rPr>
          <w:szCs w:val="22"/>
        </w:rPr>
        <w:t>certain ap</w:t>
      </w:r>
      <w:r w:rsidR="008778CD">
        <w:rPr>
          <w:szCs w:val="22"/>
        </w:rPr>
        <w:t>plicat</w:t>
      </w:r>
      <w:r w:rsidR="00645747">
        <w:rPr>
          <w:szCs w:val="22"/>
        </w:rPr>
        <w:t>ions</w:t>
      </w:r>
      <w:r w:rsidR="00C323B4">
        <w:rPr>
          <w:szCs w:val="22"/>
        </w:rPr>
        <w:t xml:space="preserve"> </w:t>
      </w:r>
      <w:r w:rsidR="00424E36">
        <w:rPr>
          <w:szCs w:val="22"/>
        </w:rPr>
        <w:t>and petitions</w:t>
      </w:r>
      <w:r w:rsidR="00750FA9">
        <w:rPr>
          <w:szCs w:val="22"/>
        </w:rPr>
        <w:t xml:space="preserve"> involving </w:t>
      </w:r>
      <w:r w:rsidR="00645747">
        <w:rPr>
          <w:szCs w:val="22"/>
        </w:rPr>
        <w:t>reportable foreign ownership</w:t>
      </w:r>
      <w:r w:rsidR="003174FE">
        <w:rPr>
          <w:szCs w:val="22"/>
        </w:rPr>
        <w:t xml:space="preserve"> will be required to answer as part of the review process</w:t>
      </w:r>
      <w:r w:rsidR="008778CD">
        <w:rPr>
          <w:szCs w:val="22"/>
        </w:rPr>
        <w:t xml:space="preserve">.  </w:t>
      </w:r>
      <w:r w:rsidRPr="00A858A2" w:rsidR="00DF720F">
        <w:rPr>
          <w:szCs w:val="22"/>
        </w:rPr>
        <w:t xml:space="preserve">In the </w:t>
      </w:r>
      <w:r w:rsidRPr="00A858A2" w:rsidR="00DF720F">
        <w:rPr>
          <w:i/>
          <w:iCs/>
          <w:szCs w:val="22"/>
        </w:rPr>
        <w:t xml:space="preserve">Executive Branch </w:t>
      </w:r>
      <w:r w:rsidRPr="00A858A2" w:rsidR="00D73717">
        <w:rPr>
          <w:i/>
          <w:iCs/>
          <w:szCs w:val="22"/>
        </w:rPr>
        <w:t>Review Order</w:t>
      </w:r>
      <w:r w:rsidRPr="00A858A2" w:rsidR="004A433D">
        <w:rPr>
          <w:szCs w:val="22"/>
        </w:rPr>
        <w:t xml:space="preserve">, the Commission adopted rules and </w:t>
      </w:r>
      <w:r w:rsidRPr="00A858A2" w:rsidR="00C21F4E">
        <w:rPr>
          <w:szCs w:val="22"/>
        </w:rPr>
        <w:t xml:space="preserve">procedures </w:t>
      </w:r>
      <w:r w:rsidR="007811C2">
        <w:rPr>
          <w:szCs w:val="22"/>
        </w:rPr>
        <w:t xml:space="preserve">to facilitate a more streamlined and transparent review process </w:t>
      </w:r>
      <w:r w:rsidRPr="00A858A2" w:rsidR="00D73717">
        <w:rPr>
          <w:szCs w:val="22"/>
        </w:rPr>
        <w:t xml:space="preserve">for coordinating </w:t>
      </w:r>
      <w:r w:rsidR="006A264A">
        <w:rPr>
          <w:szCs w:val="22"/>
        </w:rPr>
        <w:t>these</w:t>
      </w:r>
      <w:r w:rsidRPr="00A858A2" w:rsidR="006A264A">
        <w:rPr>
          <w:szCs w:val="22"/>
        </w:rPr>
        <w:t xml:space="preserve"> </w:t>
      </w:r>
      <w:r w:rsidRPr="00A858A2" w:rsidR="00D73717">
        <w:rPr>
          <w:szCs w:val="22"/>
        </w:rPr>
        <w:t xml:space="preserve">applications </w:t>
      </w:r>
      <w:r w:rsidR="00424E36">
        <w:rPr>
          <w:szCs w:val="22"/>
        </w:rPr>
        <w:t xml:space="preserve">and petitions </w:t>
      </w:r>
      <w:r w:rsidRPr="00A858A2" w:rsidR="00C21F4E">
        <w:rPr>
          <w:szCs w:val="22"/>
        </w:rPr>
        <w:t xml:space="preserve">with the Executive Branch </w:t>
      </w:r>
      <w:r w:rsidR="008B19D4">
        <w:rPr>
          <w:szCs w:val="22"/>
        </w:rPr>
        <w:t>agencies</w:t>
      </w:r>
      <w:r>
        <w:rPr>
          <w:rStyle w:val="FootnoteReference"/>
          <w:szCs w:val="22"/>
        </w:rPr>
        <w:footnoteReference w:id="3"/>
      </w:r>
      <w:r w:rsidR="008B19D4">
        <w:rPr>
          <w:szCs w:val="22"/>
        </w:rPr>
        <w:t xml:space="preserve"> </w:t>
      </w:r>
      <w:r w:rsidRPr="00A858A2" w:rsidR="00C21F4E">
        <w:rPr>
          <w:szCs w:val="22"/>
        </w:rPr>
        <w:t>for any national security, law enforcement, foreign policy, or trade policy issues</w:t>
      </w:r>
      <w:r w:rsidRPr="00A858A2" w:rsidR="004A433D">
        <w:rPr>
          <w:szCs w:val="22"/>
        </w:rPr>
        <w:t>.</w:t>
      </w:r>
      <w:r>
        <w:rPr>
          <w:rStyle w:val="FootnoteReference"/>
          <w:szCs w:val="22"/>
        </w:rPr>
        <w:footnoteReference w:id="4"/>
      </w:r>
      <w:r w:rsidRPr="00A858A2" w:rsidR="00C21F4E">
        <w:rPr>
          <w:szCs w:val="22"/>
        </w:rPr>
        <w:t xml:space="preserve">  </w:t>
      </w:r>
      <w:r>
        <w:rPr>
          <w:szCs w:val="22"/>
        </w:rPr>
        <w:t xml:space="preserve">The Commission refers </w:t>
      </w:r>
      <w:r w:rsidRPr="00A6734B">
        <w:rPr>
          <w:szCs w:val="22"/>
        </w:rPr>
        <w:t>applications for</w:t>
      </w:r>
      <w:r>
        <w:rPr>
          <w:szCs w:val="22"/>
        </w:rPr>
        <w:t xml:space="preserve"> </w:t>
      </w:r>
      <w:r w:rsidRPr="00A6734B">
        <w:rPr>
          <w:szCs w:val="22"/>
        </w:rPr>
        <w:t xml:space="preserve">international section 214 authorizations and submarine cable licenses </w:t>
      </w:r>
      <w:r w:rsidR="00985DB9">
        <w:rPr>
          <w:szCs w:val="22"/>
        </w:rPr>
        <w:t>and applications</w:t>
      </w:r>
      <w:r w:rsidRPr="00A6734B">
        <w:rPr>
          <w:szCs w:val="22"/>
        </w:rPr>
        <w:t xml:space="preserve"> to assign, transfer control o</w:t>
      </w:r>
      <w:r>
        <w:rPr>
          <w:szCs w:val="22"/>
        </w:rPr>
        <w:t xml:space="preserve">r </w:t>
      </w:r>
      <w:r>
        <w:t>modify such authorizations and licenses where the applicant has reportable foreign ownership, and all petitions for section 310(b) foreign ownership rulings</w:t>
      </w:r>
      <w:r>
        <w:rPr>
          <w:szCs w:val="22"/>
        </w:rPr>
        <w:t>.</w:t>
      </w:r>
      <w:r>
        <w:rPr>
          <w:rStyle w:val="FootnoteReference"/>
          <w:szCs w:val="22"/>
        </w:rPr>
        <w:footnoteReference w:id="5"/>
      </w:r>
      <w:r>
        <w:rPr>
          <w:szCs w:val="22"/>
        </w:rPr>
        <w:t xml:space="preserve">  </w:t>
      </w:r>
    </w:p>
    <w:p w:rsidR="00482BD5" w:rsidP="00315009" w14:paraId="35319227" w14:textId="77777777">
      <w:pPr>
        <w:ind w:firstLine="720"/>
        <w:rPr>
          <w:szCs w:val="22"/>
        </w:rPr>
      </w:pPr>
    </w:p>
    <w:p w:rsidR="00914194" w:rsidP="00315009" w14:paraId="162E81BB" w14:textId="1A3CF5EC">
      <w:pPr>
        <w:ind w:firstLine="720"/>
        <w:rPr>
          <w:szCs w:val="22"/>
        </w:rPr>
      </w:pPr>
      <w:r>
        <w:rPr>
          <w:szCs w:val="22"/>
        </w:rPr>
        <w:t xml:space="preserve">To </w:t>
      </w:r>
      <w:r w:rsidR="00482BD5">
        <w:rPr>
          <w:szCs w:val="22"/>
        </w:rPr>
        <w:t xml:space="preserve">expedite the Executive Branch </w:t>
      </w:r>
      <w:r w:rsidR="00F42D2A">
        <w:rPr>
          <w:szCs w:val="22"/>
        </w:rPr>
        <w:t xml:space="preserve">agencies’ review of such </w:t>
      </w:r>
      <w:r w:rsidR="007811C2">
        <w:rPr>
          <w:szCs w:val="22"/>
        </w:rPr>
        <w:t xml:space="preserve">applications </w:t>
      </w:r>
      <w:r w:rsidR="00F42D2A">
        <w:rPr>
          <w:szCs w:val="22"/>
        </w:rPr>
        <w:t xml:space="preserve">and petitions, </w:t>
      </w:r>
      <w:r w:rsidR="007811C2">
        <w:rPr>
          <w:szCs w:val="22"/>
        </w:rPr>
        <w:t xml:space="preserve">applicants </w:t>
      </w:r>
      <w:r w:rsidR="00F42D2A">
        <w:rPr>
          <w:szCs w:val="22"/>
        </w:rPr>
        <w:t xml:space="preserve">and petitioners </w:t>
      </w:r>
      <w:r w:rsidR="00472DB5">
        <w:rPr>
          <w:szCs w:val="22"/>
        </w:rPr>
        <w:t>will</w:t>
      </w:r>
      <w:r w:rsidR="007811C2">
        <w:rPr>
          <w:szCs w:val="22"/>
        </w:rPr>
        <w:t xml:space="preserve"> </w:t>
      </w:r>
      <w:r w:rsidRPr="00A858A2" w:rsidR="00A876E5">
        <w:rPr>
          <w:szCs w:val="22"/>
        </w:rPr>
        <w:t xml:space="preserve">provide </w:t>
      </w:r>
      <w:r w:rsidR="007811C2">
        <w:rPr>
          <w:szCs w:val="22"/>
        </w:rPr>
        <w:t xml:space="preserve">responses to </w:t>
      </w:r>
      <w:r>
        <w:rPr>
          <w:szCs w:val="22"/>
        </w:rPr>
        <w:t xml:space="preserve">the Standard Questions </w:t>
      </w:r>
      <w:r w:rsidRPr="00A858A2" w:rsidR="00326D52">
        <w:rPr>
          <w:szCs w:val="22"/>
        </w:rPr>
        <w:t xml:space="preserve">directly to the </w:t>
      </w:r>
      <w:r w:rsidRPr="00A858A2" w:rsidR="00F53082">
        <w:rPr>
          <w:szCs w:val="22"/>
        </w:rPr>
        <w:t>Committee for the Assessment of Foreign Participation in the United States Telecommunications Services Sector (</w:t>
      </w:r>
      <w:bookmarkStart w:id="3" w:name="_Hlk58246758"/>
      <w:r w:rsidRPr="00A858A2" w:rsidR="00F53082">
        <w:rPr>
          <w:szCs w:val="22"/>
        </w:rPr>
        <w:t>Committee)</w:t>
      </w:r>
      <w:r w:rsidRPr="00A858A2" w:rsidR="00EA5253">
        <w:rPr>
          <w:szCs w:val="22"/>
        </w:rPr>
        <w:t xml:space="preserve"> </w:t>
      </w:r>
      <w:r w:rsidRPr="00A858A2" w:rsidR="00185ADA">
        <w:rPr>
          <w:szCs w:val="22"/>
        </w:rPr>
        <w:t xml:space="preserve">prior to or at the same time that </w:t>
      </w:r>
      <w:r w:rsidR="006A264A">
        <w:rPr>
          <w:szCs w:val="22"/>
        </w:rPr>
        <w:t>they</w:t>
      </w:r>
      <w:r w:rsidRPr="00A858A2" w:rsidR="006A264A">
        <w:rPr>
          <w:szCs w:val="22"/>
        </w:rPr>
        <w:t xml:space="preserve"> </w:t>
      </w:r>
      <w:r w:rsidRPr="00A858A2" w:rsidR="00FB41E3">
        <w:rPr>
          <w:szCs w:val="22"/>
        </w:rPr>
        <w:t>file a</w:t>
      </w:r>
      <w:r w:rsidRPr="00A858A2" w:rsidR="00185ADA">
        <w:rPr>
          <w:szCs w:val="22"/>
        </w:rPr>
        <w:t>pplication</w:t>
      </w:r>
      <w:r w:rsidR="00472DB5">
        <w:rPr>
          <w:szCs w:val="22"/>
        </w:rPr>
        <w:t>s</w:t>
      </w:r>
      <w:r w:rsidRPr="00A858A2" w:rsidR="00185ADA">
        <w:rPr>
          <w:szCs w:val="22"/>
        </w:rPr>
        <w:t xml:space="preserve"> </w:t>
      </w:r>
      <w:r w:rsidR="00472DB5">
        <w:rPr>
          <w:szCs w:val="22"/>
        </w:rPr>
        <w:t xml:space="preserve">or </w:t>
      </w:r>
      <w:r w:rsidR="00F42D2A">
        <w:rPr>
          <w:szCs w:val="22"/>
        </w:rPr>
        <w:t>petition</w:t>
      </w:r>
      <w:r w:rsidR="00472DB5">
        <w:rPr>
          <w:szCs w:val="22"/>
        </w:rPr>
        <w:t>s</w:t>
      </w:r>
      <w:r w:rsidR="00F42D2A">
        <w:rPr>
          <w:szCs w:val="22"/>
        </w:rPr>
        <w:t xml:space="preserve"> </w:t>
      </w:r>
      <w:r w:rsidRPr="00A858A2" w:rsidR="00185ADA">
        <w:rPr>
          <w:szCs w:val="22"/>
        </w:rPr>
        <w:t>with the Commission</w:t>
      </w:r>
      <w:bookmarkEnd w:id="3"/>
      <w:r w:rsidRPr="00A858A2" w:rsidR="00185ADA">
        <w:rPr>
          <w:szCs w:val="22"/>
        </w:rPr>
        <w:t>.</w:t>
      </w:r>
      <w:r>
        <w:rPr>
          <w:rStyle w:val="FootnoteReference"/>
          <w:szCs w:val="22"/>
        </w:rPr>
        <w:footnoteReference w:id="6"/>
      </w:r>
      <w:r w:rsidRPr="00A858A2" w:rsidR="00F361DE">
        <w:rPr>
          <w:szCs w:val="22"/>
        </w:rPr>
        <w:t xml:space="preserve">  </w:t>
      </w:r>
      <w:r w:rsidRPr="00A858A2" w:rsidR="00F361DE">
        <w:rPr>
          <w:szCs w:val="22"/>
        </w:rPr>
        <w:t>The Commission adopted five categories of information to be provided by an applicant</w:t>
      </w:r>
      <w:r w:rsidR="00EB3A3A">
        <w:rPr>
          <w:szCs w:val="22"/>
        </w:rPr>
        <w:t xml:space="preserve"> or petitioner</w:t>
      </w:r>
      <w:r w:rsidR="00C40033">
        <w:rPr>
          <w:szCs w:val="22"/>
        </w:rPr>
        <w:t>.</w:t>
      </w:r>
      <w:r>
        <w:rPr>
          <w:rStyle w:val="FootnoteReference"/>
          <w:szCs w:val="22"/>
        </w:rPr>
        <w:footnoteReference w:id="7"/>
      </w:r>
      <w:r w:rsidR="007811C2">
        <w:rPr>
          <w:szCs w:val="22"/>
        </w:rPr>
        <w:t xml:space="preserve"> </w:t>
      </w:r>
      <w:r w:rsidR="00C40033">
        <w:rPr>
          <w:szCs w:val="22"/>
        </w:rPr>
        <w:t xml:space="preserve"> The Commission </w:t>
      </w:r>
      <w:r w:rsidRPr="00A858A2" w:rsidR="00F361DE">
        <w:rPr>
          <w:szCs w:val="22"/>
        </w:rPr>
        <w:t xml:space="preserve">directed the International Bureau </w:t>
      </w:r>
      <w:r w:rsidRPr="00A858A2" w:rsidR="0054181C">
        <w:rPr>
          <w:szCs w:val="22"/>
        </w:rPr>
        <w:t xml:space="preserve">(Bureau) </w:t>
      </w:r>
      <w:r w:rsidRPr="00A858A2" w:rsidR="00F361DE">
        <w:rPr>
          <w:szCs w:val="22"/>
        </w:rPr>
        <w:t xml:space="preserve">to </w:t>
      </w:r>
      <w:r w:rsidRPr="00A858A2" w:rsidR="003B61E5">
        <w:rPr>
          <w:szCs w:val="22"/>
        </w:rPr>
        <w:t>d</w:t>
      </w:r>
      <w:r w:rsidR="00315009">
        <w:rPr>
          <w:szCs w:val="22"/>
        </w:rPr>
        <w:t>evelop</w:t>
      </w:r>
      <w:r w:rsidRPr="00A858A2" w:rsidR="003B61E5">
        <w:rPr>
          <w:szCs w:val="22"/>
        </w:rPr>
        <w:t xml:space="preserve">, </w:t>
      </w:r>
      <w:r w:rsidR="007811C2">
        <w:rPr>
          <w:szCs w:val="22"/>
        </w:rPr>
        <w:t>s</w:t>
      </w:r>
      <w:r w:rsidR="00315009">
        <w:rPr>
          <w:szCs w:val="22"/>
        </w:rPr>
        <w:t>olicit</w:t>
      </w:r>
      <w:r w:rsidR="007811C2">
        <w:rPr>
          <w:szCs w:val="22"/>
        </w:rPr>
        <w:t xml:space="preserve"> comment</w:t>
      </w:r>
      <w:r w:rsidR="00315009">
        <w:rPr>
          <w:szCs w:val="22"/>
        </w:rPr>
        <w:t xml:space="preserve"> on</w:t>
      </w:r>
      <w:r w:rsidR="007811C2">
        <w:rPr>
          <w:szCs w:val="22"/>
        </w:rPr>
        <w:t xml:space="preserve">, </w:t>
      </w:r>
      <w:r w:rsidR="00482BD5">
        <w:rPr>
          <w:szCs w:val="22"/>
        </w:rPr>
        <w:t xml:space="preserve">and </w:t>
      </w:r>
      <w:r w:rsidRPr="00A858A2" w:rsidR="003B61E5">
        <w:rPr>
          <w:szCs w:val="22"/>
        </w:rPr>
        <w:t>make available</w:t>
      </w:r>
      <w:r w:rsidR="0011695B">
        <w:rPr>
          <w:szCs w:val="22"/>
        </w:rPr>
        <w:t xml:space="preserve"> </w:t>
      </w:r>
      <w:r w:rsidRPr="00A858A2" w:rsidR="0011695B">
        <w:rPr>
          <w:szCs w:val="22"/>
        </w:rPr>
        <w:t>on a publicly available website</w:t>
      </w:r>
      <w:r w:rsidRPr="00A858A2" w:rsidR="003B61E5">
        <w:rPr>
          <w:szCs w:val="22"/>
        </w:rPr>
        <w:t xml:space="preserve"> </w:t>
      </w:r>
      <w:r w:rsidR="007811C2">
        <w:rPr>
          <w:szCs w:val="22"/>
        </w:rPr>
        <w:t xml:space="preserve">the Standard Questions </w:t>
      </w:r>
      <w:r w:rsidR="00A6734B">
        <w:rPr>
          <w:szCs w:val="22"/>
        </w:rPr>
        <w:t xml:space="preserve">that will </w:t>
      </w:r>
      <w:r w:rsidRPr="00A858A2" w:rsidR="00A6734B">
        <w:rPr>
          <w:szCs w:val="22"/>
        </w:rPr>
        <w:t>elicit the information needed by the Committee within those categories of information</w:t>
      </w:r>
      <w:r w:rsidR="00A6734B">
        <w:rPr>
          <w:szCs w:val="22"/>
        </w:rPr>
        <w:t>.</w:t>
      </w:r>
      <w:r>
        <w:rPr>
          <w:rStyle w:val="FootnoteReference"/>
          <w:szCs w:val="22"/>
        </w:rPr>
        <w:footnoteReference w:id="8"/>
      </w:r>
      <w:r w:rsidR="00A6734B">
        <w:rPr>
          <w:szCs w:val="22"/>
        </w:rPr>
        <w:t xml:space="preserve">  The Bureau will also</w:t>
      </w:r>
      <w:r w:rsidR="00315009">
        <w:rPr>
          <w:szCs w:val="22"/>
        </w:rPr>
        <w:t xml:space="preserve"> </w:t>
      </w:r>
      <w:r w:rsidR="00315009">
        <w:t xml:space="preserve">maintain and update the </w:t>
      </w:r>
      <w:r w:rsidR="002F550C">
        <w:t>Standard Q</w:t>
      </w:r>
      <w:r w:rsidR="00315009">
        <w:t>uestions, as needed</w:t>
      </w:r>
      <w:r w:rsidRPr="00A858A2" w:rsidR="003B61E5">
        <w:rPr>
          <w:szCs w:val="22"/>
        </w:rPr>
        <w:t>.</w:t>
      </w:r>
      <w:r>
        <w:rPr>
          <w:rStyle w:val="FootnoteReference"/>
          <w:szCs w:val="22"/>
        </w:rPr>
        <w:footnoteReference w:id="9"/>
      </w:r>
      <w:r w:rsidRPr="00A858A2" w:rsidR="003B61E5">
        <w:rPr>
          <w:szCs w:val="22"/>
        </w:rPr>
        <w:t xml:space="preserve">  </w:t>
      </w:r>
    </w:p>
    <w:p w:rsidR="00C40033" w:rsidP="00A876E5" w14:paraId="0BBD5282" w14:textId="77777777">
      <w:pPr>
        <w:ind w:firstLine="720"/>
        <w:rPr>
          <w:szCs w:val="22"/>
        </w:rPr>
      </w:pPr>
    </w:p>
    <w:p w:rsidR="008B6563" w:rsidP="00960F02" w14:paraId="421AEB6C" w14:textId="108C8D6D">
      <w:pPr>
        <w:ind w:firstLine="720"/>
        <w:rPr>
          <w:szCs w:val="22"/>
        </w:rPr>
      </w:pPr>
      <w:r>
        <w:rPr>
          <w:szCs w:val="22"/>
        </w:rPr>
        <w:t>W</w:t>
      </w:r>
      <w:r>
        <w:rPr>
          <w:szCs w:val="22"/>
        </w:rPr>
        <w:t>e seek comment on t</w:t>
      </w:r>
      <w:r w:rsidRPr="00A858A2">
        <w:rPr>
          <w:szCs w:val="22"/>
        </w:rPr>
        <w:t>he</w:t>
      </w:r>
      <w:r>
        <w:rPr>
          <w:szCs w:val="22"/>
        </w:rPr>
        <w:t xml:space="preserve"> </w:t>
      </w:r>
      <w:r w:rsidRPr="00A858A2">
        <w:rPr>
          <w:szCs w:val="22"/>
        </w:rPr>
        <w:t xml:space="preserve">Standard Questions </w:t>
      </w:r>
      <w:r w:rsidR="00F53519">
        <w:rPr>
          <w:szCs w:val="22"/>
        </w:rPr>
        <w:t xml:space="preserve">set out </w:t>
      </w:r>
      <w:r w:rsidR="00C323B4">
        <w:rPr>
          <w:szCs w:val="22"/>
        </w:rPr>
        <w:t xml:space="preserve">in each of the </w:t>
      </w:r>
      <w:r w:rsidR="007811C2">
        <w:rPr>
          <w:szCs w:val="22"/>
        </w:rPr>
        <w:t xml:space="preserve">following </w:t>
      </w:r>
      <w:r w:rsidR="008B0D56">
        <w:rPr>
          <w:szCs w:val="22"/>
        </w:rPr>
        <w:t>A</w:t>
      </w:r>
      <w:r w:rsidR="00C323B4">
        <w:rPr>
          <w:szCs w:val="22"/>
        </w:rPr>
        <w:t>ttachments</w:t>
      </w:r>
      <w:r w:rsidR="00315009">
        <w:rPr>
          <w:szCs w:val="22"/>
        </w:rPr>
        <w:t xml:space="preserve">, </w:t>
      </w:r>
      <w:r>
        <w:rPr>
          <w:szCs w:val="22"/>
        </w:rPr>
        <w:t xml:space="preserve">which are </w:t>
      </w:r>
      <w:r w:rsidR="00C323B4">
        <w:rPr>
          <w:szCs w:val="22"/>
        </w:rPr>
        <w:t>iden</w:t>
      </w:r>
      <w:r w:rsidR="00315009">
        <w:rPr>
          <w:szCs w:val="22"/>
        </w:rPr>
        <w:t>t</w:t>
      </w:r>
      <w:r w:rsidR="00C323B4">
        <w:rPr>
          <w:szCs w:val="22"/>
        </w:rPr>
        <w:t xml:space="preserve">ified by </w:t>
      </w:r>
      <w:r w:rsidR="00315009">
        <w:rPr>
          <w:szCs w:val="22"/>
        </w:rPr>
        <w:t xml:space="preserve">the </w:t>
      </w:r>
      <w:r>
        <w:rPr>
          <w:szCs w:val="22"/>
        </w:rPr>
        <w:t xml:space="preserve">type </w:t>
      </w:r>
      <w:r w:rsidR="00C323B4">
        <w:rPr>
          <w:szCs w:val="22"/>
        </w:rPr>
        <w:t>of appli</w:t>
      </w:r>
      <w:r w:rsidR="002153EB">
        <w:rPr>
          <w:szCs w:val="22"/>
        </w:rPr>
        <w:t>cation</w:t>
      </w:r>
      <w:r>
        <w:rPr>
          <w:szCs w:val="22"/>
        </w:rPr>
        <w:t xml:space="preserve"> or petition</w:t>
      </w:r>
      <w:r w:rsidR="002153EB">
        <w:rPr>
          <w:szCs w:val="22"/>
        </w:rPr>
        <w:t xml:space="preserve">.  The Standard Questions </w:t>
      </w:r>
      <w:r w:rsidRPr="00A858A2">
        <w:rPr>
          <w:szCs w:val="22"/>
        </w:rPr>
        <w:t xml:space="preserve">are based upon </w:t>
      </w:r>
      <w:r w:rsidR="00315009">
        <w:rPr>
          <w:szCs w:val="22"/>
        </w:rPr>
        <w:t xml:space="preserve">current </w:t>
      </w:r>
      <w:r w:rsidRPr="00A858A2">
        <w:rPr>
          <w:szCs w:val="22"/>
        </w:rPr>
        <w:t>questionnaires used by the Committee to obtain information from applicants</w:t>
      </w:r>
      <w:r>
        <w:rPr>
          <w:szCs w:val="22"/>
        </w:rPr>
        <w:t xml:space="preserve"> and petitioners</w:t>
      </w:r>
      <w:r w:rsidRPr="00A858A2">
        <w:rPr>
          <w:szCs w:val="22"/>
        </w:rPr>
        <w:t>.</w:t>
      </w:r>
      <w:r>
        <w:rPr>
          <w:rStyle w:val="FootnoteReference"/>
          <w:szCs w:val="22"/>
        </w:rPr>
        <w:footnoteReference w:id="10"/>
      </w:r>
      <w:r w:rsidRPr="00A858A2">
        <w:rPr>
          <w:szCs w:val="22"/>
        </w:rPr>
        <w:t xml:space="preserve">  </w:t>
      </w:r>
    </w:p>
    <w:p w:rsidR="00914194" w:rsidRPr="00830AFE" w:rsidP="00A876E5" w14:paraId="073A1C7D" w14:textId="77777777">
      <w:pPr>
        <w:ind w:firstLine="720"/>
        <w:rPr>
          <w:b/>
          <w:bCs/>
          <w:szCs w:val="22"/>
        </w:rPr>
      </w:pPr>
    </w:p>
    <w:p w:rsidR="00185ADA" w:rsidRPr="00BF579D" w:rsidP="00BF579D" w14:paraId="37FBECA9" w14:textId="1E28DDCA">
      <w:pPr>
        <w:pStyle w:val="BodyText"/>
        <w:numPr>
          <w:ilvl w:val="0"/>
          <w:numId w:val="11"/>
        </w:numPr>
        <w:kinsoku w:val="0"/>
        <w:overflowPunct w:val="0"/>
        <w:spacing w:after="120"/>
        <w:rPr>
          <w:szCs w:val="22"/>
        </w:rPr>
      </w:pPr>
      <w:r w:rsidRPr="00061CA4">
        <w:rPr>
          <w:b/>
          <w:bCs/>
          <w:sz w:val="22"/>
          <w:szCs w:val="22"/>
        </w:rPr>
        <w:t xml:space="preserve">Attachment A - </w:t>
      </w:r>
      <w:r w:rsidRPr="00BF579D" w:rsidR="00BF579D">
        <w:rPr>
          <w:b/>
          <w:bCs/>
          <w:sz w:val="22"/>
          <w:szCs w:val="22"/>
        </w:rPr>
        <w:t>Standard Questions for an International Section 214 Authorization Application</w:t>
      </w:r>
      <w:r w:rsidRPr="00061CA4" w:rsidR="007C4E02">
        <w:rPr>
          <w:b/>
          <w:bCs/>
          <w:sz w:val="22"/>
          <w:szCs w:val="22"/>
        </w:rPr>
        <w:t>.</w:t>
      </w:r>
      <w:r w:rsidRPr="00061CA4" w:rsidR="007C4E02">
        <w:rPr>
          <w:sz w:val="22"/>
          <w:szCs w:val="22"/>
        </w:rPr>
        <w:t xml:space="preserve">  </w:t>
      </w:r>
      <w:r w:rsidRPr="00061CA4">
        <w:rPr>
          <w:sz w:val="22"/>
          <w:szCs w:val="22"/>
        </w:rPr>
        <w:t xml:space="preserve"> </w:t>
      </w:r>
      <w:r w:rsidRPr="00061CA4" w:rsidR="007C4E02">
        <w:rPr>
          <w:sz w:val="22"/>
          <w:szCs w:val="22"/>
        </w:rPr>
        <w:t xml:space="preserve">Standard </w:t>
      </w:r>
      <w:r w:rsidRPr="00BF579D" w:rsidR="007C4E02">
        <w:rPr>
          <w:sz w:val="22"/>
          <w:szCs w:val="22"/>
        </w:rPr>
        <w:t>Questions for</w:t>
      </w:r>
      <w:r w:rsidRPr="00BF579D">
        <w:rPr>
          <w:szCs w:val="22"/>
        </w:rPr>
        <w:t xml:space="preserve"> </w:t>
      </w:r>
      <w:r w:rsidRPr="00BF579D" w:rsidR="00914194">
        <w:rPr>
          <w:szCs w:val="22"/>
        </w:rPr>
        <w:t>an international section 214 authorization</w:t>
      </w:r>
      <w:r w:rsidRPr="00BF579D" w:rsidR="00087EA8">
        <w:rPr>
          <w:szCs w:val="22"/>
        </w:rPr>
        <w:t xml:space="preserve"> application filed pursuant to </w:t>
      </w:r>
      <w:r w:rsidRPr="00BF579D" w:rsidR="00087EA8">
        <w:t>47 CFR § 63.18</w:t>
      </w:r>
      <w:r w:rsidRPr="00BF579D" w:rsidR="007C4E02">
        <w:rPr>
          <w:szCs w:val="22"/>
        </w:rPr>
        <w:t>,</w:t>
      </w:r>
      <w:r w:rsidRPr="00BF579D" w:rsidR="00914194">
        <w:rPr>
          <w:szCs w:val="22"/>
        </w:rPr>
        <w:t xml:space="preserve"> including a modification of an existing authorization</w:t>
      </w:r>
      <w:r w:rsidRPr="00BF579D" w:rsidR="00435351">
        <w:rPr>
          <w:szCs w:val="22"/>
        </w:rPr>
        <w:t>;</w:t>
      </w:r>
    </w:p>
    <w:p w:rsidR="00914194" w:rsidRPr="00061CA4" w:rsidP="00CB0165" w14:paraId="56C1522B" w14:textId="6254E29D">
      <w:pPr>
        <w:pStyle w:val="BodyText"/>
        <w:numPr>
          <w:ilvl w:val="0"/>
          <w:numId w:val="11"/>
        </w:numPr>
        <w:kinsoku w:val="0"/>
        <w:overflowPunct w:val="0"/>
        <w:spacing w:after="120"/>
        <w:rPr>
          <w:szCs w:val="22"/>
        </w:rPr>
      </w:pPr>
      <w:r w:rsidRPr="00061CA4">
        <w:rPr>
          <w:b/>
          <w:bCs/>
          <w:sz w:val="22"/>
          <w:szCs w:val="22"/>
        </w:rPr>
        <w:t>Attachment B</w:t>
      </w:r>
      <w:r w:rsidRPr="00061CA4">
        <w:rPr>
          <w:sz w:val="22"/>
          <w:szCs w:val="22"/>
        </w:rPr>
        <w:t xml:space="preserve"> - </w:t>
      </w:r>
      <w:r w:rsidRPr="00061CA4" w:rsidR="00061CA4">
        <w:rPr>
          <w:b/>
          <w:bCs/>
          <w:sz w:val="22"/>
          <w:szCs w:val="22"/>
        </w:rPr>
        <w:t>Standard Questions for an Application for an Assignment or Transfer of Control of an International Section 214 Authorization</w:t>
      </w:r>
      <w:r w:rsidRPr="00061CA4" w:rsidR="007C4E02">
        <w:rPr>
          <w:b/>
          <w:bCs/>
          <w:sz w:val="22"/>
          <w:szCs w:val="22"/>
        </w:rPr>
        <w:t xml:space="preserve">.  </w:t>
      </w:r>
      <w:r w:rsidRPr="00061CA4" w:rsidR="007C4E02">
        <w:rPr>
          <w:sz w:val="22"/>
          <w:szCs w:val="22"/>
        </w:rPr>
        <w:t>Standard Questions for</w:t>
      </w:r>
      <w:r w:rsidRPr="00061CA4">
        <w:rPr>
          <w:szCs w:val="22"/>
        </w:rPr>
        <w:t xml:space="preserve"> </w:t>
      </w:r>
      <w:r w:rsidRPr="00061CA4">
        <w:rPr>
          <w:szCs w:val="22"/>
        </w:rPr>
        <w:t>an assignment or transfer of control of an international section 214 authorization</w:t>
      </w:r>
      <w:r w:rsidRPr="00061CA4" w:rsidR="00561DA8">
        <w:rPr>
          <w:szCs w:val="22"/>
        </w:rPr>
        <w:t xml:space="preserve"> application filed pursuant to </w:t>
      </w:r>
      <w:r w:rsidRPr="00061CA4" w:rsidR="00561DA8">
        <w:t>47 CFR § 63.18</w:t>
      </w:r>
      <w:r w:rsidRPr="00061CA4" w:rsidR="00435351">
        <w:rPr>
          <w:szCs w:val="22"/>
        </w:rPr>
        <w:t>;</w:t>
      </w:r>
    </w:p>
    <w:p w:rsidR="00914194" w:rsidRPr="005962AD" w:rsidP="00061CA4" w14:paraId="74AE8541" w14:textId="5F4E030C">
      <w:pPr>
        <w:pStyle w:val="BodyText"/>
        <w:numPr>
          <w:ilvl w:val="0"/>
          <w:numId w:val="11"/>
        </w:numPr>
        <w:kinsoku w:val="0"/>
        <w:overflowPunct w:val="0"/>
        <w:spacing w:after="120"/>
        <w:rPr>
          <w:szCs w:val="22"/>
        </w:rPr>
      </w:pPr>
      <w:r w:rsidRPr="005962AD">
        <w:rPr>
          <w:b/>
          <w:bCs/>
          <w:sz w:val="22"/>
          <w:szCs w:val="22"/>
        </w:rPr>
        <w:t>Attachment C</w:t>
      </w:r>
      <w:r w:rsidRPr="005962AD">
        <w:rPr>
          <w:sz w:val="22"/>
          <w:szCs w:val="22"/>
        </w:rPr>
        <w:t xml:space="preserve"> - </w:t>
      </w:r>
      <w:r w:rsidRPr="005962AD" w:rsidR="00061CA4">
        <w:rPr>
          <w:b/>
          <w:bCs/>
          <w:sz w:val="22"/>
          <w:szCs w:val="22"/>
        </w:rPr>
        <w:t>Standard Questions for Submarine Cable Landing License Application</w:t>
      </w:r>
      <w:r w:rsidRPr="005962AD" w:rsidR="007C4E02">
        <w:rPr>
          <w:b/>
          <w:bCs/>
          <w:sz w:val="22"/>
          <w:szCs w:val="22"/>
        </w:rPr>
        <w:t>.</w:t>
      </w:r>
      <w:r w:rsidRPr="005962AD" w:rsidR="007C4E02">
        <w:rPr>
          <w:sz w:val="22"/>
          <w:szCs w:val="22"/>
        </w:rPr>
        <w:t xml:space="preserve">  Standard Questions for</w:t>
      </w:r>
      <w:r w:rsidRPr="005962AD">
        <w:rPr>
          <w:sz w:val="22"/>
          <w:szCs w:val="22"/>
        </w:rPr>
        <w:t xml:space="preserve"> </w:t>
      </w:r>
      <w:r w:rsidRPr="005962AD">
        <w:rPr>
          <w:szCs w:val="22"/>
        </w:rPr>
        <w:t>a cable landing license</w:t>
      </w:r>
      <w:r w:rsidRPr="005962AD" w:rsidR="00561DA8">
        <w:rPr>
          <w:szCs w:val="22"/>
        </w:rPr>
        <w:t xml:space="preserve"> application filed pursuant to </w:t>
      </w:r>
      <w:r w:rsidRPr="005962AD" w:rsidR="00561DA8">
        <w:t>47 CFR § 1.767</w:t>
      </w:r>
      <w:r w:rsidRPr="005962AD">
        <w:rPr>
          <w:szCs w:val="22"/>
        </w:rPr>
        <w:t xml:space="preserve"> including a modification of an existing license</w:t>
      </w:r>
      <w:r w:rsidRPr="005962AD" w:rsidR="00435351">
        <w:rPr>
          <w:szCs w:val="22"/>
        </w:rPr>
        <w:t>;</w:t>
      </w:r>
    </w:p>
    <w:p w:rsidR="00914194" w:rsidRPr="007B5F25" w:rsidP="00A47B7F" w14:paraId="161C0E55" w14:textId="3CF0B615">
      <w:pPr>
        <w:pStyle w:val="BodyText"/>
        <w:numPr>
          <w:ilvl w:val="0"/>
          <w:numId w:val="11"/>
        </w:numPr>
        <w:kinsoku w:val="0"/>
        <w:overflowPunct w:val="0"/>
        <w:spacing w:after="120"/>
        <w:rPr>
          <w:szCs w:val="22"/>
        </w:rPr>
      </w:pPr>
      <w:r w:rsidRPr="007B5F25">
        <w:rPr>
          <w:b/>
          <w:bCs/>
          <w:sz w:val="22"/>
          <w:szCs w:val="22"/>
        </w:rPr>
        <w:t>Attachment D</w:t>
      </w:r>
      <w:r w:rsidRPr="007B5F25">
        <w:rPr>
          <w:sz w:val="22"/>
          <w:szCs w:val="22"/>
        </w:rPr>
        <w:t xml:space="preserve"> - </w:t>
      </w:r>
      <w:r w:rsidRPr="007B5F25" w:rsidR="005962AD">
        <w:rPr>
          <w:b/>
          <w:bCs/>
          <w:sz w:val="22"/>
          <w:szCs w:val="22"/>
        </w:rPr>
        <w:t>Standard Questions for an Application for Assignment or Transfer of Control of a Submarine Cable Landing License</w:t>
      </w:r>
      <w:r w:rsidRPr="007B5F25" w:rsidR="007C4E02">
        <w:rPr>
          <w:b/>
          <w:bCs/>
          <w:sz w:val="22"/>
          <w:szCs w:val="22"/>
        </w:rPr>
        <w:t xml:space="preserve">.  </w:t>
      </w:r>
      <w:r w:rsidRPr="007B5F25" w:rsidR="007C4E02">
        <w:rPr>
          <w:sz w:val="22"/>
          <w:szCs w:val="22"/>
        </w:rPr>
        <w:t xml:space="preserve">Standard </w:t>
      </w:r>
      <w:r w:rsidRPr="007B5F25" w:rsidR="00D5776C">
        <w:rPr>
          <w:sz w:val="22"/>
          <w:szCs w:val="22"/>
        </w:rPr>
        <w:t>Q</w:t>
      </w:r>
      <w:r w:rsidRPr="007B5F25" w:rsidR="007C4E02">
        <w:rPr>
          <w:sz w:val="22"/>
          <w:szCs w:val="22"/>
        </w:rPr>
        <w:t>uestions for</w:t>
      </w:r>
      <w:r w:rsidRPr="007B5F25">
        <w:rPr>
          <w:sz w:val="22"/>
          <w:szCs w:val="22"/>
        </w:rPr>
        <w:t xml:space="preserve"> </w:t>
      </w:r>
      <w:r w:rsidRPr="007B5F25">
        <w:rPr>
          <w:szCs w:val="22"/>
        </w:rPr>
        <w:t>an assignment or transfer of control of a cable landing license</w:t>
      </w:r>
      <w:r w:rsidRPr="007B5F25" w:rsidR="00561DA8">
        <w:rPr>
          <w:szCs w:val="22"/>
        </w:rPr>
        <w:t xml:space="preserve"> application filed pursuant to </w:t>
      </w:r>
      <w:r w:rsidRPr="007B5F25" w:rsidR="00561DA8">
        <w:t>47 CFR § 1.767</w:t>
      </w:r>
      <w:r w:rsidRPr="007B5F25" w:rsidR="00435351">
        <w:rPr>
          <w:szCs w:val="22"/>
        </w:rPr>
        <w:t>;</w:t>
      </w:r>
    </w:p>
    <w:p w:rsidR="00914194" w:rsidRPr="007B5F25" w:rsidP="00CF2A9E" w14:paraId="00307FE1" w14:textId="4601F673">
      <w:pPr>
        <w:pStyle w:val="BodyText"/>
        <w:numPr>
          <w:ilvl w:val="0"/>
          <w:numId w:val="11"/>
        </w:numPr>
        <w:kinsoku w:val="0"/>
        <w:overflowPunct w:val="0"/>
        <w:spacing w:after="120"/>
        <w:rPr>
          <w:szCs w:val="22"/>
        </w:rPr>
      </w:pPr>
      <w:r w:rsidRPr="007B5F25">
        <w:rPr>
          <w:b/>
          <w:bCs/>
          <w:sz w:val="22"/>
          <w:szCs w:val="22"/>
        </w:rPr>
        <w:t>Attachment E</w:t>
      </w:r>
      <w:r w:rsidRPr="007B5F25">
        <w:rPr>
          <w:sz w:val="22"/>
          <w:szCs w:val="22"/>
        </w:rPr>
        <w:t xml:space="preserve"> - </w:t>
      </w:r>
      <w:r w:rsidRPr="007B5F25" w:rsidR="007B5F25">
        <w:rPr>
          <w:b/>
          <w:bCs/>
          <w:sz w:val="22"/>
          <w:szCs w:val="22"/>
        </w:rPr>
        <w:t xml:space="preserve">Standard Questions for Section 310(b) Petition for Declaratory Ruling </w:t>
      </w:r>
      <w:r w:rsidR="006F7319">
        <w:rPr>
          <w:b/>
          <w:bCs/>
          <w:sz w:val="22"/>
          <w:szCs w:val="22"/>
        </w:rPr>
        <w:t>Involving</w:t>
      </w:r>
      <w:r w:rsidRPr="007B5F25" w:rsidR="006F7319">
        <w:rPr>
          <w:b/>
          <w:bCs/>
          <w:sz w:val="22"/>
          <w:szCs w:val="22"/>
        </w:rPr>
        <w:t xml:space="preserve"> </w:t>
      </w:r>
      <w:r w:rsidRPr="007B5F25" w:rsidR="007B5F25">
        <w:rPr>
          <w:b/>
          <w:bCs/>
          <w:sz w:val="22"/>
          <w:szCs w:val="22"/>
        </w:rPr>
        <w:t>a Broadcast Licensee</w:t>
      </w:r>
      <w:r w:rsidRPr="007B5F25" w:rsidR="007C4E02">
        <w:rPr>
          <w:b/>
          <w:bCs/>
          <w:sz w:val="22"/>
          <w:szCs w:val="22"/>
        </w:rPr>
        <w:t>.</w:t>
      </w:r>
      <w:r w:rsidRPr="007B5F25" w:rsidR="007C4E02">
        <w:rPr>
          <w:sz w:val="22"/>
          <w:szCs w:val="22"/>
        </w:rPr>
        <w:t xml:space="preserve">  Standard </w:t>
      </w:r>
      <w:r w:rsidRPr="007B5F25" w:rsidR="002F550C">
        <w:rPr>
          <w:sz w:val="22"/>
          <w:szCs w:val="22"/>
        </w:rPr>
        <w:t>Q</w:t>
      </w:r>
      <w:r w:rsidRPr="007B5F25" w:rsidR="007C4E02">
        <w:rPr>
          <w:sz w:val="22"/>
          <w:szCs w:val="22"/>
        </w:rPr>
        <w:t>uestions for</w:t>
      </w:r>
      <w:r w:rsidRPr="007B5F25">
        <w:rPr>
          <w:sz w:val="22"/>
          <w:szCs w:val="22"/>
        </w:rPr>
        <w:t xml:space="preserve"> </w:t>
      </w:r>
      <w:r w:rsidRPr="007B5F25">
        <w:rPr>
          <w:szCs w:val="22"/>
        </w:rPr>
        <w:t xml:space="preserve">a petition for declaratory ruling for foreign ownership </w:t>
      </w:r>
      <w:r w:rsidRPr="007B5F25" w:rsidR="002B791D">
        <w:rPr>
          <w:szCs w:val="22"/>
        </w:rPr>
        <w:t xml:space="preserve">in a broadcast licensee above the benchmark in </w:t>
      </w:r>
      <w:r w:rsidRPr="007B5F25" w:rsidR="007915A2">
        <w:rPr>
          <w:szCs w:val="22"/>
        </w:rPr>
        <w:t>s</w:t>
      </w:r>
      <w:r w:rsidRPr="007B5F25" w:rsidR="002B791D">
        <w:rPr>
          <w:szCs w:val="22"/>
        </w:rPr>
        <w:t>ection 310(b) of the Communications Act (the Act)</w:t>
      </w:r>
      <w:r w:rsidRPr="007B5F25" w:rsidR="009126AE">
        <w:rPr>
          <w:szCs w:val="22"/>
        </w:rPr>
        <w:t xml:space="preserve"> </w:t>
      </w:r>
      <w:r w:rsidRPr="007B5F25" w:rsidR="009126AE">
        <w:t>filed pursuant to 47 CFR §§ 1.5000-1.5004</w:t>
      </w:r>
      <w:r w:rsidRPr="007B5F25" w:rsidR="00435351">
        <w:rPr>
          <w:szCs w:val="22"/>
        </w:rPr>
        <w:t xml:space="preserve">; </w:t>
      </w:r>
    </w:p>
    <w:p w:rsidR="002B791D" w:rsidRPr="00510944" w:rsidP="00510944" w14:paraId="5F3445BC" w14:textId="277A0ED8">
      <w:pPr>
        <w:pStyle w:val="BodyText"/>
        <w:numPr>
          <w:ilvl w:val="0"/>
          <w:numId w:val="11"/>
        </w:numPr>
        <w:kinsoku w:val="0"/>
        <w:overflowPunct w:val="0"/>
        <w:spacing w:after="120"/>
        <w:rPr>
          <w:szCs w:val="22"/>
        </w:rPr>
      </w:pPr>
      <w:r w:rsidRPr="00510944">
        <w:rPr>
          <w:b/>
          <w:bCs/>
          <w:sz w:val="22"/>
          <w:szCs w:val="22"/>
        </w:rPr>
        <w:t>Attachment F</w:t>
      </w:r>
      <w:r w:rsidRPr="00510944">
        <w:rPr>
          <w:sz w:val="22"/>
          <w:szCs w:val="22"/>
        </w:rPr>
        <w:t xml:space="preserve"> - </w:t>
      </w:r>
      <w:r w:rsidRPr="00320D1E" w:rsidR="00510944">
        <w:rPr>
          <w:b/>
          <w:bCs/>
          <w:sz w:val="22"/>
          <w:szCs w:val="22"/>
        </w:rPr>
        <w:t xml:space="preserve">Standard Questions for Section 310(b) Petition </w:t>
      </w:r>
      <w:r w:rsidR="00C41D9E">
        <w:rPr>
          <w:b/>
          <w:bCs/>
          <w:sz w:val="22"/>
          <w:szCs w:val="22"/>
        </w:rPr>
        <w:t>f</w:t>
      </w:r>
      <w:r w:rsidRPr="00320D1E" w:rsidR="00510944">
        <w:rPr>
          <w:b/>
          <w:bCs/>
          <w:sz w:val="22"/>
          <w:szCs w:val="22"/>
        </w:rPr>
        <w:t xml:space="preserve">or Declaratory Ruling </w:t>
      </w:r>
      <w:r w:rsidR="00D14250">
        <w:rPr>
          <w:b/>
          <w:bCs/>
          <w:sz w:val="22"/>
          <w:szCs w:val="22"/>
        </w:rPr>
        <w:t>I</w:t>
      </w:r>
      <w:r w:rsidRPr="00320D1E" w:rsidR="00D14250">
        <w:rPr>
          <w:b/>
          <w:bCs/>
          <w:sz w:val="22"/>
          <w:szCs w:val="22"/>
        </w:rPr>
        <w:t>nvolving</w:t>
      </w:r>
      <w:r w:rsidR="00D14250">
        <w:rPr>
          <w:b/>
          <w:bCs/>
          <w:sz w:val="22"/>
          <w:szCs w:val="22"/>
        </w:rPr>
        <w:t xml:space="preserve"> </w:t>
      </w:r>
      <w:r w:rsidR="00320D1E">
        <w:rPr>
          <w:b/>
          <w:bCs/>
          <w:sz w:val="22"/>
          <w:szCs w:val="22"/>
        </w:rPr>
        <w:t>a</w:t>
      </w:r>
      <w:r w:rsidR="00D60CF2">
        <w:rPr>
          <w:b/>
          <w:bCs/>
          <w:sz w:val="22"/>
          <w:szCs w:val="22"/>
        </w:rPr>
        <w:t xml:space="preserve"> </w:t>
      </w:r>
      <w:r w:rsidRPr="00320D1E" w:rsidR="00510944">
        <w:rPr>
          <w:b/>
          <w:bCs/>
          <w:sz w:val="22"/>
          <w:szCs w:val="22"/>
        </w:rPr>
        <w:t xml:space="preserve">Common Carrier Wireless </w:t>
      </w:r>
      <w:r w:rsidR="00D60CF2">
        <w:rPr>
          <w:b/>
          <w:bCs/>
          <w:sz w:val="22"/>
          <w:szCs w:val="22"/>
        </w:rPr>
        <w:t xml:space="preserve">or Common Carrier Earth Station </w:t>
      </w:r>
      <w:r w:rsidRPr="00320D1E" w:rsidR="00510944">
        <w:rPr>
          <w:b/>
          <w:bCs/>
          <w:sz w:val="22"/>
          <w:szCs w:val="22"/>
        </w:rPr>
        <w:t>Licensee</w:t>
      </w:r>
      <w:r w:rsidRPr="00D60CF2" w:rsidR="007C4E02">
        <w:rPr>
          <w:b/>
          <w:bCs/>
          <w:sz w:val="22"/>
          <w:szCs w:val="22"/>
        </w:rPr>
        <w:t xml:space="preserve">.  </w:t>
      </w:r>
      <w:r w:rsidRPr="00D60CF2" w:rsidR="007C4E02">
        <w:rPr>
          <w:sz w:val="22"/>
          <w:szCs w:val="22"/>
        </w:rPr>
        <w:t>Standard Questions for a</w:t>
      </w:r>
      <w:r w:rsidRPr="00D60CF2">
        <w:rPr>
          <w:szCs w:val="22"/>
        </w:rPr>
        <w:t xml:space="preserve"> petition for declaratory ruling for foreign ownership in a common carrier wireless </w:t>
      </w:r>
      <w:r w:rsidR="00D60CF2">
        <w:rPr>
          <w:szCs w:val="22"/>
        </w:rPr>
        <w:t xml:space="preserve">or common carrier earth station </w:t>
      </w:r>
      <w:r w:rsidRPr="00D60CF2">
        <w:rPr>
          <w:szCs w:val="22"/>
        </w:rPr>
        <w:t>licensee above the benchmark</w:t>
      </w:r>
      <w:r w:rsidRPr="00D60CF2" w:rsidR="00F53519">
        <w:rPr>
          <w:szCs w:val="22"/>
        </w:rPr>
        <w:t>s</w:t>
      </w:r>
      <w:r w:rsidRPr="00D60CF2">
        <w:rPr>
          <w:szCs w:val="22"/>
        </w:rPr>
        <w:t xml:space="preserve"> in </w:t>
      </w:r>
      <w:r w:rsidRPr="00D60CF2" w:rsidR="00D4121D">
        <w:rPr>
          <w:szCs w:val="22"/>
        </w:rPr>
        <w:t>s</w:t>
      </w:r>
      <w:r w:rsidRPr="00D60CF2">
        <w:rPr>
          <w:szCs w:val="22"/>
        </w:rPr>
        <w:t>ection 310(b) of the Act</w:t>
      </w:r>
      <w:r w:rsidRPr="00D60CF2" w:rsidR="009126AE">
        <w:rPr>
          <w:szCs w:val="22"/>
        </w:rPr>
        <w:t xml:space="preserve"> </w:t>
      </w:r>
      <w:r w:rsidR="009126AE">
        <w:t xml:space="preserve">filed pursuant to 47 CFR </w:t>
      </w:r>
      <w:r w:rsidRPr="00E817ED" w:rsidR="009126AE">
        <w:t>§§ 1</w:t>
      </w:r>
      <w:r w:rsidRPr="002A3E3A" w:rsidR="009126AE">
        <w:t>.5</w:t>
      </w:r>
      <w:r w:rsidRPr="004761C9" w:rsidR="009126AE">
        <w:t>000</w:t>
      </w:r>
      <w:r w:rsidR="009126AE">
        <w:t>-1.5004</w:t>
      </w:r>
      <w:r w:rsidR="00E66ED8">
        <w:t>; and</w:t>
      </w:r>
    </w:p>
    <w:p w:rsidR="002153EB" w:rsidRPr="00BA536B" w:rsidP="00983882" w14:paraId="105B3DD4" w14:textId="526127BE">
      <w:pPr>
        <w:pStyle w:val="BodyText"/>
        <w:widowControl/>
        <w:numPr>
          <w:ilvl w:val="0"/>
          <w:numId w:val="11"/>
        </w:numPr>
        <w:kinsoku w:val="0"/>
        <w:overflowPunct w:val="0"/>
        <w:rPr>
          <w:sz w:val="22"/>
          <w:szCs w:val="22"/>
        </w:rPr>
      </w:pPr>
      <w:r w:rsidRPr="00830AFE">
        <w:rPr>
          <w:b/>
          <w:bCs/>
          <w:sz w:val="22"/>
          <w:szCs w:val="22"/>
        </w:rPr>
        <w:t>Attachment G</w:t>
      </w:r>
      <w:r>
        <w:rPr>
          <w:sz w:val="22"/>
          <w:szCs w:val="22"/>
        </w:rPr>
        <w:t xml:space="preserve"> - Personally Identifiable Information (PII) Supplement</w:t>
      </w:r>
      <w:r w:rsidR="007C4E02">
        <w:rPr>
          <w:sz w:val="22"/>
          <w:szCs w:val="22"/>
        </w:rPr>
        <w:t xml:space="preserve">. </w:t>
      </w:r>
      <w:r w:rsidR="008B0D56">
        <w:rPr>
          <w:sz w:val="22"/>
          <w:szCs w:val="22"/>
        </w:rPr>
        <w:t>All t</w:t>
      </w:r>
      <w:r w:rsidR="008B0D56">
        <w:t>he Standard Questions reference a supplement to assist the Committee on identifying PII. </w:t>
      </w:r>
    </w:p>
    <w:p w:rsidR="00BA536B" w:rsidRPr="00BA536B" w:rsidP="00BA536B" w14:paraId="743E734B" w14:textId="77777777">
      <w:pPr>
        <w:pStyle w:val="BodyText"/>
        <w:kinsoku w:val="0"/>
        <w:overflowPunct w:val="0"/>
        <w:ind w:left="1440"/>
        <w:rPr>
          <w:sz w:val="22"/>
          <w:szCs w:val="22"/>
        </w:rPr>
      </w:pPr>
    </w:p>
    <w:p w:rsidR="0019701E" w:rsidRPr="00A858A2" w:rsidP="002C2584" w14:paraId="230C565E" w14:textId="1F82789E">
      <w:pPr>
        <w:ind w:firstLine="720"/>
        <w:rPr>
          <w:szCs w:val="22"/>
        </w:rPr>
      </w:pPr>
      <w:r w:rsidRPr="00A858A2">
        <w:rPr>
          <w:szCs w:val="22"/>
        </w:rPr>
        <w:t xml:space="preserve">We </w:t>
      </w:r>
      <w:r w:rsidR="00FA1DD7">
        <w:rPr>
          <w:szCs w:val="22"/>
        </w:rPr>
        <w:t xml:space="preserve">seek comment on </w:t>
      </w:r>
      <w:r w:rsidR="007C4E02">
        <w:rPr>
          <w:szCs w:val="22"/>
        </w:rPr>
        <w:t>the questions</w:t>
      </w:r>
      <w:r w:rsidR="00FA1DD7">
        <w:rPr>
          <w:szCs w:val="22"/>
        </w:rPr>
        <w:t xml:space="preserve"> </w:t>
      </w:r>
      <w:r w:rsidR="00EB4E13">
        <w:rPr>
          <w:szCs w:val="22"/>
        </w:rPr>
        <w:t xml:space="preserve">in each of the </w:t>
      </w:r>
      <w:r w:rsidR="008B0D56">
        <w:rPr>
          <w:szCs w:val="22"/>
        </w:rPr>
        <w:t>A</w:t>
      </w:r>
      <w:r w:rsidR="00EB4E13">
        <w:rPr>
          <w:szCs w:val="22"/>
        </w:rPr>
        <w:t xml:space="preserve">ttachments.  </w:t>
      </w:r>
      <w:r w:rsidR="00482BD5">
        <w:rPr>
          <w:szCs w:val="22"/>
        </w:rPr>
        <w:t>If needed, t</w:t>
      </w:r>
      <w:r w:rsidR="00FA1DD7">
        <w:rPr>
          <w:szCs w:val="22"/>
        </w:rPr>
        <w:t>o help clarify the questions for applica</w:t>
      </w:r>
      <w:r w:rsidR="00A6734B">
        <w:rPr>
          <w:szCs w:val="22"/>
        </w:rPr>
        <w:t>nts</w:t>
      </w:r>
      <w:r w:rsidR="00824733">
        <w:rPr>
          <w:szCs w:val="22"/>
        </w:rPr>
        <w:t xml:space="preserve"> and petitioners</w:t>
      </w:r>
      <w:r w:rsidR="00FA1DD7">
        <w:rPr>
          <w:szCs w:val="22"/>
        </w:rPr>
        <w:t>,</w:t>
      </w:r>
      <w:r w:rsidR="002F550C">
        <w:rPr>
          <w:szCs w:val="22"/>
        </w:rPr>
        <w:t xml:space="preserve"> </w:t>
      </w:r>
      <w:r w:rsidR="00FA1DD7">
        <w:rPr>
          <w:szCs w:val="22"/>
        </w:rPr>
        <w:t>we</w:t>
      </w:r>
      <w:r w:rsidR="007C4E02">
        <w:rPr>
          <w:szCs w:val="22"/>
        </w:rPr>
        <w:t xml:space="preserve"> </w:t>
      </w:r>
      <w:r w:rsidR="00FA1DD7">
        <w:rPr>
          <w:szCs w:val="22"/>
        </w:rPr>
        <w:t xml:space="preserve">ask </w:t>
      </w:r>
      <w:r w:rsidR="00EB4E13">
        <w:rPr>
          <w:szCs w:val="22"/>
        </w:rPr>
        <w:t xml:space="preserve">that </w:t>
      </w:r>
      <w:r w:rsidR="00D5776C">
        <w:rPr>
          <w:szCs w:val="22"/>
        </w:rPr>
        <w:t xml:space="preserve">commenting </w:t>
      </w:r>
      <w:r w:rsidR="00FA1DD7">
        <w:rPr>
          <w:szCs w:val="22"/>
        </w:rPr>
        <w:t xml:space="preserve">parties </w:t>
      </w:r>
      <w:r w:rsidR="007C4E02">
        <w:rPr>
          <w:szCs w:val="22"/>
        </w:rPr>
        <w:t>provide specific</w:t>
      </w:r>
      <w:r w:rsidRPr="00A858A2">
        <w:rPr>
          <w:szCs w:val="22"/>
        </w:rPr>
        <w:t xml:space="preserve"> suggested </w:t>
      </w:r>
      <w:r w:rsidR="008B6563">
        <w:rPr>
          <w:szCs w:val="22"/>
        </w:rPr>
        <w:t>changes</w:t>
      </w:r>
      <w:r w:rsidRPr="00A858A2">
        <w:rPr>
          <w:szCs w:val="22"/>
        </w:rPr>
        <w:t xml:space="preserve"> to the language of the questions.  </w:t>
      </w:r>
      <w:r w:rsidR="00FA1DD7">
        <w:rPr>
          <w:kern w:val="0"/>
        </w:rPr>
        <w:t>W</w:t>
      </w:r>
      <w:r w:rsidR="003755B5">
        <w:rPr>
          <w:kern w:val="0"/>
        </w:rPr>
        <w:t xml:space="preserve">e seek comment on </w:t>
      </w:r>
      <w:r w:rsidR="007C4E02">
        <w:rPr>
          <w:kern w:val="0"/>
        </w:rPr>
        <w:t xml:space="preserve">whether there are questions that are not necessary or if there are any </w:t>
      </w:r>
      <w:r w:rsidR="00FA1DD7">
        <w:rPr>
          <w:kern w:val="0"/>
        </w:rPr>
        <w:t xml:space="preserve">questions </w:t>
      </w:r>
      <w:r w:rsidR="007C4E02">
        <w:rPr>
          <w:kern w:val="0"/>
        </w:rPr>
        <w:t xml:space="preserve">that we should include to help </w:t>
      </w:r>
      <w:r w:rsidR="00315009">
        <w:rPr>
          <w:kern w:val="0"/>
        </w:rPr>
        <w:t xml:space="preserve">expedite the </w:t>
      </w:r>
      <w:r w:rsidR="007C4E02">
        <w:rPr>
          <w:kern w:val="0"/>
        </w:rPr>
        <w:t>review process.  We</w:t>
      </w:r>
      <w:r w:rsidR="00FA1DD7">
        <w:rPr>
          <w:kern w:val="0"/>
        </w:rPr>
        <w:t xml:space="preserve"> </w:t>
      </w:r>
      <w:r w:rsidR="007C4E02">
        <w:rPr>
          <w:kern w:val="0"/>
        </w:rPr>
        <w:t xml:space="preserve">ask parties </w:t>
      </w:r>
      <w:r w:rsidR="00F53519">
        <w:rPr>
          <w:kern w:val="0"/>
        </w:rPr>
        <w:t xml:space="preserve">for comment </w:t>
      </w:r>
      <w:r w:rsidR="007C4E02">
        <w:rPr>
          <w:kern w:val="0"/>
        </w:rPr>
        <w:t xml:space="preserve">on </w:t>
      </w:r>
      <w:r w:rsidR="00320D1E">
        <w:rPr>
          <w:kern w:val="0"/>
        </w:rPr>
        <w:t xml:space="preserve">the definitions of </w:t>
      </w:r>
      <w:r w:rsidR="003755B5">
        <w:rPr>
          <w:kern w:val="0"/>
        </w:rPr>
        <w:t>key terms</w:t>
      </w:r>
      <w:r w:rsidR="00A6734B">
        <w:rPr>
          <w:kern w:val="0"/>
        </w:rPr>
        <w:t xml:space="preserve"> that are used in </w:t>
      </w:r>
      <w:r w:rsidR="007C4E02">
        <w:rPr>
          <w:kern w:val="0"/>
        </w:rPr>
        <w:t>the Attachments,</w:t>
      </w:r>
      <w:r w:rsidR="003755B5">
        <w:rPr>
          <w:kern w:val="0"/>
        </w:rPr>
        <w:t xml:space="preserve"> such as “corporate officers” and “senior-level” officers as well as “remote access” and “managed services.”</w:t>
      </w:r>
      <w:r>
        <w:rPr>
          <w:rStyle w:val="FootnoteReference"/>
          <w:kern w:val="0"/>
        </w:rPr>
        <w:footnoteReference w:id="11"/>
      </w:r>
      <w:r w:rsidR="003755B5">
        <w:rPr>
          <w:kern w:val="0"/>
        </w:rPr>
        <w:t xml:space="preserve">  </w:t>
      </w:r>
      <w:r w:rsidR="00C40033">
        <w:rPr>
          <w:kern w:val="0"/>
        </w:rPr>
        <w:t xml:space="preserve">We seek comment on </w:t>
      </w:r>
      <w:r w:rsidR="00E10A1C">
        <w:rPr>
          <w:kern w:val="0"/>
        </w:rPr>
        <w:t xml:space="preserve">how often, and under what circumstances, </w:t>
      </w:r>
      <w:r w:rsidR="00482BD5">
        <w:rPr>
          <w:kern w:val="0"/>
        </w:rPr>
        <w:t xml:space="preserve">the Bureau </w:t>
      </w:r>
      <w:r w:rsidR="00C40033">
        <w:rPr>
          <w:kern w:val="0"/>
        </w:rPr>
        <w:t xml:space="preserve">should reevaluate the </w:t>
      </w:r>
      <w:r w:rsidR="00E10A1C">
        <w:rPr>
          <w:kern w:val="0"/>
        </w:rPr>
        <w:t>Standard Q</w:t>
      </w:r>
      <w:r w:rsidR="00C40033">
        <w:rPr>
          <w:kern w:val="0"/>
        </w:rPr>
        <w:t>uestions</w:t>
      </w:r>
      <w:r w:rsidR="00EB4E13">
        <w:rPr>
          <w:kern w:val="0"/>
        </w:rPr>
        <w:t xml:space="preserve">.  </w:t>
      </w:r>
      <w:r w:rsidR="00315009">
        <w:rPr>
          <w:kern w:val="0"/>
        </w:rPr>
        <w:t xml:space="preserve">Finally, </w:t>
      </w:r>
      <w:r w:rsidR="00315009">
        <w:rPr>
          <w:szCs w:val="22"/>
        </w:rPr>
        <w:t>w</w:t>
      </w:r>
      <w:r w:rsidRPr="00A858A2" w:rsidR="003317BE">
        <w:rPr>
          <w:szCs w:val="22"/>
        </w:rPr>
        <w:t xml:space="preserve">e seek comment on how long it </w:t>
      </w:r>
      <w:r w:rsidR="00482BD5">
        <w:rPr>
          <w:szCs w:val="22"/>
        </w:rPr>
        <w:t xml:space="preserve">would </w:t>
      </w:r>
      <w:r w:rsidRPr="00A858A2" w:rsidR="003317BE">
        <w:rPr>
          <w:szCs w:val="22"/>
        </w:rPr>
        <w:t xml:space="preserve">take </w:t>
      </w:r>
      <w:r w:rsidR="00482BD5">
        <w:rPr>
          <w:szCs w:val="22"/>
        </w:rPr>
        <w:t xml:space="preserve">applicants </w:t>
      </w:r>
      <w:r w:rsidRPr="00A858A2" w:rsidR="003317BE">
        <w:rPr>
          <w:szCs w:val="22"/>
        </w:rPr>
        <w:t xml:space="preserve">to fill out each questionnaire. </w:t>
      </w:r>
    </w:p>
    <w:p w:rsidR="00A6734B" w:rsidRPr="00A858A2" w:rsidP="003317BE" w14:paraId="7C153A09" w14:textId="77777777">
      <w:pPr>
        <w:rPr>
          <w:szCs w:val="22"/>
        </w:rPr>
      </w:pPr>
    </w:p>
    <w:p w:rsidR="003317BE" w:rsidP="003317BE" w14:paraId="6ADAE69C" w14:textId="44702F3F">
      <w:pPr>
        <w:rPr>
          <w:szCs w:val="22"/>
        </w:rPr>
      </w:pPr>
      <w:r w:rsidRPr="00A858A2">
        <w:rPr>
          <w:szCs w:val="22"/>
        </w:rPr>
        <w:t xml:space="preserve"> </w:t>
      </w:r>
      <w:r w:rsidRPr="00A858A2" w:rsidR="00435351">
        <w:rPr>
          <w:szCs w:val="22"/>
        </w:rPr>
        <w:tab/>
      </w:r>
      <w:r w:rsidRPr="00A858A2" w:rsidR="0054181C">
        <w:rPr>
          <w:szCs w:val="22"/>
        </w:rPr>
        <w:t xml:space="preserve">After </w:t>
      </w:r>
      <w:r w:rsidR="00A6734B">
        <w:rPr>
          <w:szCs w:val="22"/>
        </w:rPr>
        <w:t xml:space="preserve">we </w:t>
      </w:r>
      <w:r w:rsidRPr="00A858A2" w:rsidR="0054181C">
        <w:rPr>
          <w:szCs w:val="22"/>
        </w:rPr>
        <w:t xml:space="preserve">review and consider </w:t>
      </w:r>
      <w:r w:rsidR="00F01A8E">
        <w:rPr>
          <w:szCs w:val="22"/>
        </w:rPr>
        <w:t>the</w:t>
      </w:r>
      <w:r w:rsidRPr="00A858A2" w:rsidR="0054181C">
        <w:rPr>
          <w:szCs w:val="22"/>
        </w:rPr>
        <w:t xml:space="preserve"> comments received on the Standard Questions, </w:t>
      </w:r>
      <w:r w:rsidR="008943A1">
        <w:rPr>
          <w:szCs w:val="22"/>
        </w:rPr>
        <w:t>we</w:t>
      </w:r>
      <w:r w:rsidRPr="00A858A2" w:rsidR="0054181C">
        <w:rPr>
          <w:szCs w:val="22"/>
        </w:rPr>
        <w:t xml:space="preserve"> </w:t>
      </w:r>
      <w:r w:rsidR="00B533BF">
        <w:rPr>
          <w:szCs w:val="22"/>
        </w:rPr>
        <w:t>will issue an Order addressing the comments</w:t>
      </w:r>
      <w:r w:rsidR="00F55479">
        <w:rPr>
          <w:szCs w:val="22"/>
        </w:rPr>
        <w:t xml:space="preserve"> and will seek approval for the</w:t>
      </w:r>
      <w:r w:rsidR="00B533BF">
        <w:rPr>
          <w:szCs w:val="22"/>
        </w:rPr>
        <w:t xml:space="preserve"> Standard Questions</w:t>
      </w:r>
      <w:r w:rsidR="00F55479">
        <w:rPr>
          <w:szCs w:val="22"/>
        </w:rPr>
        <w:t xml:space="preserve"> under the Paperwork Reduction Act. </w:t>
      </w:r>
      <w:r w:rsidR="002459CD">
        <w:rPr>
          <w:szCs w:val="22"/>
        </w:rPr>
        <w:t xml:space="preserve"> </w:t>
      </w:r>
      <w:r w:rsidR="00824733">
        <w:rPr>
          <w:szCs w:val="22"/>
        </w:rPr>
        <w:t>W</w:t>
      </w:r>
      <w:r w:rsidR="00FA1DD7">
        <w:rPr>
          <w:szCs w:val="22"/>
        </w:rPr>
        <w:t xml:space="preserve">e will issue a Public Notice informing the public of the effective date of </w:t>
      </w:r>
      <w:r w:rsidR="006A57B0">
        <w:rPr>
          <w:szCs w:val="22"/>
        </w:rPr>
        <w:t>the</w:t>
      </w:r>
      <w:r w:rsidR="00824733">
        <w:rPr>
          <w:szCs w:val="22"/>
        </w:rPr>
        <w:t xml:space="preserve"> Standard Questions. </w:t>
      </w:r>
      <w:bookmarkStart w:id="4" w:name="_Hlk58260511"/>
      <w:r w:rsidR="00824733">
        <w:rPr>
          <w:szCs w:val="22"/>
        </w:rPr>
        <w:t xml:space="preserve"> </w:t>
      </w:r>
      <w:r w:rsidRPr="00B533BF" w:rsidR="00C41D9E">
        <w:rPr>
          <w:szCs w:val="22"/>
        </w:rPr>
        <w:t>Following Public Notice of the effective date</w:t>
      </w:r>
      <w:r w:rsidRPr="00B533BF" w:rsidR="00824733">
        <w:rPr>
          <w:szCs w:val="22"/>
        </w:rPr>
        <w:t>,</w:t>
      </w:r>
      <w:r w:rsidR="00824733">
        <w:rPr>
          <w:szCs w:val="22"/>
        </w:rPr>
        <w:t xml:space="preserve"> </w:t>
      </w:r>
      <w:r w:rsidR="00B533BF">
        <w:rPr>
          <w:szCs w:val="22"/>
        </w:rPr>
        <w:t xml:space="preserve">the Standard Questions will be made available on the Commission’s website and </w:t>
      </w:r>
      <w:r w:rsidR="00C527F3">
        <w:rPr>
          <w:szCs w:val="22"/>
        </w:rPr>
        <w:t>all</w:t>
      </w:r>
      <w:r w:rsidR="00FA1DD7">
        <w:rPr>
          <w:szCs w:val="22"/>
        </w:rPr>
        <w:t xml:space="preserve"> </w:t>
      </w:r>
      <w:r w:rsidR="00824733">
        <w:rPr>
          <w:szCs w:val="22"/>
        </w:rPr>
        <w:t xml:space="preserve">parties </w:t>
      </w:r>
      <w:r w:rsidR="00C527F3">
        <w:rPr>
          <w:szCs w:val="22"/>
        </w:rPr>
        <w:t xml:space="preserve">filing applications </w:t>
      </w:r>
      <w:r w:rsidR="00824733">
        <w:rPr>
          <w:szCs w:val="22"/>
        </w:rPr>
        <w:t xml:space="preserve">or petitions </w:t>
      </w:r>
      <w:r w:rsidR="00C527F3">
        <w:rPr>
          <w:szCs w:val="22"/>
        </w:rPr>
        <w:t xml:space="preserve">subject to Executive Branch referral </w:t>
      </w:r>
      <w:r w:rsidR="00FA1DD7">
        <w:rPr>
          <w:szCs w:val="22"/>
        </w:rPr>
        <w:t xml:space="preserve">will be required to </w:t>
      </w:r>
      <w:r w:rsidR="00C527F3">
        <w:rPr>
          <w:szCs w:val="22"/>
        </w:rPr>
        <w:t>submit</w:t>
      </w:r>
      <w:r w:rsidR="00FA1DD7">
        <w:rPr>
          <w:szCs w:val="22"/>
        </w:rPr>
        <w:t xml:space="preserve"> answers to the Standard Questions</w:t>
      </w:r>
      <w:r w:rsidRPr="00FA1DD7" w:rsidR="00FA1DD7">
        <w:rPr>
          <w:szCs w:val="22"/>
        </w:rPr>
        <w:t xml:space="preserve"> </w:t>
      </w:r>
      <w:r w:rsidR="00FA1DD7">
        <w:rPr>
          <w:szCs w:val="22"/>
        </w:rPr>
        <w:t xml:space="preserve">to the </w:t>
      </w:r>
      <w:r w:rsidRPr="00A858A2" w:rsidR="00FA1DD7">
        <w:rPr>
          <w:szCs w:val="22"/>
        </w:rPr>
        <w:t xml:space="preserve">Committee prior to or at the same time that </w:t>
      </w:r>
      <w:r w:rsidR="00C527F3">
        <w:rPr>
          <w:szCs w:val="22"/>
        </w:rPr>
        <w:t>they</w:t>
      </w:r>
      <w:r w:rsidRPr="00A858A2" w:rsidR="00FA1DD7">
        <w:rPr>
          <w:szCs w:val="22"/>
        </w:rPr>
        <w:t xml:space="preserve"> file </w:t>
      </w:r>
      <w:r w:rsidR="00C527F3">
        <w:rPr>
          <w:szCs w:val="22"/>
        </w:rPr>
        <w:t>the</w:t>
      </w:r>
      <w:r w:rsidRPr="00A858A2" w:rsidR="00FA1DD7">
        <w:rPr>
          <w:szCs w:val="22"/>
        </w:rPr>
        <w:t xml:space="preserve"> application</w:t>
      </w:r>
      <w:r w:rsidR="00824733">
        <w:rPr>
          <w:szCs w:val="22"/>
        </w:rPr>
        <w:t xml:space="preserve"> or petition</w:t>
      </w:r>
      <w:r w:rsidRPr="00A858A2" w:rsidR="00FA1DD7">
        <w:rPr>
          <w:szCs w:val="22"/>
        </w:rPr>
        <w:t xml:space="preserve"> with the Commission</w:t>
      </w:r>
      <w:r w:rsidR="00FA1DD7">
        <w:rPr>
          <w:szCs w:val="22"/>
        </w:rPr>
        <w:t xml:space="preserve">. </w:t>
      </w:r>
      <w:bookmarkEnd w:id="4"/>
      <w:r w:rsidR="00FA1DD7">
        <w:rPr>
          <w:szCs w:val="22"/>
        </w:rPr>
        <w:t xml:space="preserve"> </w:t>
      </w:r>
      <w:r w:rsidRPr="00A858A2" w:rsidR="00430D68">
        <w:rPr>
          <w:szCs w:val="22"/>
        </w:rPr>
        <w:t xml:space="preserve">Until </w:t>
      </w:r>
      <w:r w:rsidR="003107A1">
        <w:rPr>
          <w:szCs w:val="22"/>
        </w:rPr>
        <w:t xml:space="preserve">that </w:t>
      </w:r>
      <w:r w:rsidR="002C2584">
        <w:rPr>
          <w:szCs w:val="22"/>
        </w:rPr>
        <w:t xml:space="preserve">time, </w:t>
      </w:r>
      <w:r w:rsidRPr="00A858A2" w:rsidR="00430D68">
        <w:rPr>
          <w:szCs w:val="22"/>
        </w:rPr>
        <w:t xml:space="preserve">the Committee will </w:t>
      </w:r>
      <w:r w:rsidR="002C2584">
        <w:rPr>
          <w:szCs w:val="22"/>
        </w:rPr>
        <w:t xml:space="preserve">continue to </w:t>
      </w:r>
      <w:r w:rsidRPr="00A858A2" w:rsidR="00430D68">
        <w:rPr>
          <w:szCs w:val="22"/>
        </w:rPr>
        <w:t xml:space="preserve">send its own questions to the applicant </w:t>
      </w:r>
      <w:r w:rsidR="00E10A1C">
        <w:rPr>
          <w:szCs w:val="22"/>
        </w:rPr>
        <w:t xml:space="preserve">or petitioner </w:t>
      </w:r>
      <w:r w:rsidRPr="00A858A2" w:rsidR="00430D68">
        <w:rPr>
          <w:szCs w:val="22"/>
        </w:rPr>
        <w:t xml:space="preserve">upon </w:t>
      </w:r>
      <w:r w:rsidR="00E10A1C">
        <w:rPr>
          <w:szCs w:val="22"/>
        </w:rPr>
        <w:t xml:space="preserve">the Commission’s </w:t>
      </w:r>
      <w:r w:rsidRPr="00A858A2" w:rsidR="00430D68">
        <w:rPr>
          <w:szCs w:val="22"/>
        </w:rPr>
        <w:t xml:space="preserve">referral of the application </w:t>
      </w:r>
      <w:r w:rsidR="00E10A1C">
        <w:rPr>
          <w:szCs w:val="22"/>
        </w:rPr>
        <w:t>or petition</w:t>
      </w:r>
      <w:r w:rsidRPr="00A858A2" w:rsidR="00430D68">
        <w:rPr>
          <w:szCs w:val="22"/>
        </w:rPr>
        <w:t>.</w:t>
      </w:r>
    </w:p>
    <w:p w:rsidR="00082982" w:rsidP="003317BE" w14:paraId="1ED15842" w14:textId="6033A3AE">
      <w:pPr>
        <w:rPr>
          <w:szCs w:val="22"/>
        </w:rPr>
      </w:pPr>
    </w:p>
    <w:p w:rsidR="00082982" w:rsidRPr="00BA536B" w:rsidP="00BA536B" w14:paraId="3C76F2F2" w14:textId="199C0F8E">
      <w:pPr>
        <w:spacing w:after="120"/>
        <w:rPr>
          <w:b/>
          <w:bCs/>
          <w:szCs w:val="22"/>
          <w:u w:val="single"/>
        </w:rPr>
      </w:pPr>
      <w:r w:rsidRPr="00082982">
        <w:rPr>
          <w:b/>
          <w:bCs/>
          <w:szCs w:val="22"/>
          <w:u w:val="single"/>
        </w:rPr>
        <w:t>Supplemental Initial Regulatory Flexibility Analysis</w:t>
      </w:r>
    </w:p>
    <w:p w:rsidR="00082982" w:rsidP="00082982" w14:paraId="7DD7DCB6" w14:textId="195F9588">
      <w:pPr>
        <w:pStyle w:val="ParaNum"/>
        <w:numPr>
          <w:ilvl w:val="0"/>
          <w:numId w:val="0"/>
        </w:numPr>
        <w:spacing w:after="0"/>
        <w:ind w:firstLine="720"/>
      </w:pPr>
      <w:r>
        <w:t>Pursuant to the Regulatory Flexibility Act of 1980, as amended (RFA),</w:t>
      </w:r>
      <w:r>
        <w:rPr>
          <w:vertAlign w:val="superscript"/>
        </w:rPr>
        <w:footnoteReference w:id="12"/>
      </w:r>
      <w:r>
        <w:t xml:space="preserve"> we have prepared this Supplemental Initial Regulatory Flexibility Analysis (Supplemental IRFA) of the possible significant economic impact on small entities of the proposals addressed in this Public Notice to supplement the Commission’s Initial and Final Regulatory Flexibility Analyses completed in the </w:t>
      </w:r>
      <w:r>
        <w:rPr>
          <w:i/>
          <w:iCs/>
        </w:rPr>
        <w:t>Executive Branch Review Order</w:t>
      </w:r>
      <w:r>
        <w:t>.</w:t>
      </w:r>
      <w:bookmarkStart w:id="5" w:name="_Hlk507054146"/>
      <w:r>
        <w:rPr>
          <w:rStyle w:val="FootnoteReference"/>
        </w:rPr>
        <w:footnoteReference w:id="13"/>
      </w:r>
      <w:bookmarkEnd w:id="5"/>
      <w:r>
        <w:t xml:space="preserve">  Written public comments are requested on this Supplemental IRFA.  Comments must be identified as responses to the Supplemental IRFA and must be filed by the same deadline for comments specified on the first page of this Public Notice.  We will send a copy of this Public Notice, including this Supplemental IRFA, to the Chief Counsel for Advocacy of the Small Business Administration (SBA).</w:t>
      </w:r>
      <w:r>
        <w:rPr>
          <w:vertAlign w:val="superscript"/>
        </w:rPr>
        <w:footnoteReference w:id="14"/>
      </w:r>
      <w:r>
        <w:t xml:space="preserve">  In addition, this Public Notice and Supplemental IRFA (or summaries thereof) will be published in the </w:t>
      </w:r>
      <w:r>
        <w:rPr>
          <w:i/>
        </w:rPr>
        <w:t>Federal Register</w:t>
      </w:r>
      <w:r>
        <w:t>.</w:t>
      </w:r>
      <w:r>
        <w:rPr>
          <w:vertAlign w:val="superscript"/>
        </w:rPr>
        <w:footnoteReference w:id="15"/>
      </w:r>
      <w:r>
        <w:t xml:space="preserve">  </w:t>
      </w:r>
    </w:p>
    <w:p w:rsidR="00082982" w:rsidP="00082982" w14:paraId="02F838CF" w14:textId="77777777">
      <w:pPr>
        <w:pStyle w:val="ParaNum"/>
        <w:numPr>
          <w:ilvl w:val="0"/>
          <w:numId w:val="0"/>
        </w:numPr>
        <w:spacing w:after="0"/>
        <w:ind w:firstLine="720"/>
      </w:pPr>
    </w:p>
    <w:p w:rsidR="00082982" w:rsidP="00082982" w14:paraId="5D3B30BF" w14:textId="1E8F1BD5">
      <w:pPr>
        <w:pStyle w:val="ParaNum"/>
        <w:widowControl/>
        <w:numPr>
          <w:ilvl w:val="0"/>
          <w:numId w:val="0"/>
        </w:numPr>
        <w:spacing w:after="0"/>
        <w:ind w:firstLine="720"/>
      </w:pPr>
      <w:r>
        <w:t xml:space="preserve">This Public Notice sets forth the specific proposed “Standard Questions” for applications and petitions prescribed by the </w:t>
      </w:r>
      <w:r w:rsidRPr="00BC449C">
        <w:rPr>
          <w:i/>
          <w:iCs/>
        </w:rPr>
        <w:t xml:space="preserve">Executive Branch Review Order.  </w:t>
      </w:r>
      <w:r>
        <w:t xml:space="preserve">As noted in the Initial and Final Regulatory Flexibility Analyses associated with that order, standardizing these questions should improve the timeliness and transparency of the Executive Branch review process, thereby lessening the burden on all applicants and petitioners, including small entities.   That order specified that the Standard Questions should include the following categories of information:  (1) corporate structure and shareholder information; (2) relationships with foreign entities; (3) financial condition and circumstances; (4) compliance with applicable laws and regulations; and (5) business and operational information, including services to be provided and network infrastructure.  The proposed Standard Questions constitute the more specific implementation of the requirements set forth in the </w:t>
      </w:r>
      <w:r w:rsidRPr="00BC449C">
        <w:rPr>
          <w:i/>
          <w:iCs/>
        </w:rPr>
        <w:t>Executive Branch Review Order</w:t>
      </w:r>
      <w:r>
        <w:t xml:space="preserve"> and are fully consistent therewith, and as directed by the Commission in that order take due account of the sample questions previously made available in this docket and the comments provided to the Commission thereon.</w:t>
      </w:r>
      <w:bookmarkStart w:id="6" w:name="_Toc508609610"/>
      <w:bookmarkStart w:id="7" w:name="_Toc508274935"/>
      <w:bookmarkStart w:id="8" w:name="_Toc508190350"/>
      <w:bookmarkStart w:id="9" w:name="_Toc508007072"/>
      <w:bookmarkStart w:id="10" w:name="_Toc507680924"/>
      <w:bookmarkStart w:id="11" w:name="_Toc507072962"/>
      <w:bookmarkStart w:id="12" w:name="_Toc507072529"/>
      <w:bookmarkStart w:id="13" w:name="_Toc507071338"/>
      <w:bookmarkStart w:id="14" w:name="_Toc507070762"/>
      <w:bookmarkStart w:id="15" w:name="_Toc505959893"/>
      <w:r>
        <w:t xml:space="preserve">  Initial and Final Regulatory Flexibility Analyses were incorporated into the</w:t>
      </w:r>
      <w:r w:rsidRPr="00BC449C">
        <w:rPr>
          <w:szCs w:val="22"/>
        </w:rPr>
        <w:t xml:space="preserve"> </w:t>
      </w:r>
      <w:r w:rsidRPr="00BC449C">
        <w:rPr>
          <w:i/>
          <w:iCs/>
          <w:szCs w:val="22"/>
        </w:rPr>
        <w:t xml:space="preserve">Executive Branch </w:t>
      </w:r>
      <w:r w:rsidRPr="00BC449C">
        <w:rPr>
          <w:i/>
          <w:iCs/>
          <w:szCs w:val="22"/>
        </w:rPr>
        <w:t xml:space="preserve">Review Order </w:t>
      </w:r>
      <w:r w:rsidRPr="00BC449C">
        <w:rPr>
          <w:szCs w:val="22"/>
        </w:rPr>
        <w:t xml:space="preserve">and the notice of proposed rulemaking associated with that order.  </w:t>
      </w:r>
      <w:r>
        <w:t xml:space="preserve">In this Public Notice, we hereby incorporate by reference the descriptions and estimates of the number of small entities, as well as the associated analyses, set forth therein.  </w:t>
      </w:r>
    </w:p>
    <w:p w:rsidR="00082982" w:rsidP="00082982" w14:paraId="732B6DDA" w14:textId="77777777">
      <w:pPr>
        <w:pStyle w:val="ParaNum"/>
        <w:widowControl/>
        <w:numPr>
          <w:ilvl w:val="0"/>
          <w:numId w:val="0"/>
        </w:numPr>
        <w:spacing w:after="0"/>
        <w:ind w:firstLine="720"/>
      </w:pPr>
    </w:p>
    <w:bookmarkEnd w:id="6"/>
    <w:bookmarkEnd w:id="7"/>
    <w:bookmarkEnd w:id="8"/>
    <w:bookmarkEnd w:id="9"/>
    <w:bookmarkEnd w:id="10"/>
    <w:bookmarkEnd w:id="11"/>
    <w:bookmarkEnd w:id="12"/>
    <w:bookmarkEnd w:id="13"/>
    <w:bookmarkEnd w:id="14"/>
    <w:bookmarkEnd w:id="15"/>
    <w:p w:rsidR="00082982" w:rsidP="00082982" w14:paraId="6B6A2C07" w14:textId="57BA1701">
      <w:pPr>
        <w:ind w:firstLine="720"/>
        <w:rPr>
          <w:szCs w:val="22"/>
        </w:rPr>
      </w:pPr>
      <w:r>
        <w:rPr>
          <w:szCs w:val="22"/>
        </w:rPr>
        <w:t>A copy of this Public Notice, including the Supplemental Initial Regulatory Flexibility Analysis, shall be sent to the Chief Counsel for Advocacy of the Small Business Administration.</w:t>
      </w:r>
    </w:p>
    <w:p w:rsidR="00F01A8E" w:rsidRPr="00A858A2" w:rsidP="003317BE" w14:paraId="7AF57055" w14:textId="77777777">
      <w:pPr>
        <w:rPr>
          <w:szCs w:val="22"/>
        </w:rPr>
      </w:pPr>
    </w:p>
    <w:p w:rsidR="001656D8" w:rsidRPr="00830AFE" w:rsidP="001656D8" w14:paraId="11FFE2BE" w14:textId="62301620">
      <w:pPr>
        <w:tabs>
          <w:tab w:val="left" w:pos="360"/>
        </w:tabs>
        <w:spacing w:after="120"/>
        <w:rPr>
          <w:b/>
          <w:bCs/>
          <w:szCs w:val="22"/>
          <w:u w:val="single"/>
        </w:rPr>
      </w:pPr>
      <w:r w:rsidRPr="00830AFE">
        <w:rPr>
          <w:b/>
          <w:bCs/>
          <w:szCs w:val="22"/>
          <w:u w:val="single"/>
        </w:rPr>
        <w:t>Filing Instructions</w:t>
      </w:r>
    </w:p>
    <w:p w:rsidR="001656D8" w:rsidRPr="00A858A2" w:rsidP="001656D8" w14:paraId="20AA5A35" w14:textId="793BB0BC">
      <w:pPr>
        <w:spacing w:after="120"/>
        <w:ind w:firstLine="720"/>
        <w:rPr>
          <w:szCs w:val="22"/>
        </w:rPr>
      </w:pPr>
      <w:r>
        <w:rPr>
          <w:szCs w:val="22"/>
        </w:rPr>
        <w:t>I</w:t>
      </w:r>
      <w:r w:rsidRPr="00A858A2">
        <w:rPr>
          <w:szCs w:val="22"/>
        </w:rPr>
        <w:t xml:space="preserve">nterested parties may file comments on or before </w:t>
      </w:r>
      <w:r w:rsidR="00B533BF">
        <w:rPr>
          <w:b/>
          <w:szCs w:val="22"/>
        </w:rPr>
        <w:t>30</w:t>
      </w:r>
      <w:r w:rsidRPr="00A858A2">
        <w:rPr>
          <w:b/>
          <w:szCs w:val="22"/>
        </w:rPr>
        <w:t xml:space="preserve"> days </w:t>
      </w:r>
      <w:r w:rsidRPr="00A858A2">
        <w:rPr>
          <w:rFonts w:eastAsia="Calibri"/>
          <w:b/>
          <w:szCs w:val="22"/>
        </w:rPr>
        <w:t xml:space="preserve">after </w:t>
      </w:r>
      <w:r w:rsidR="00B533BF">
        <w:rPr>
          <w:rFonts w:eastAsia="Calibri"/>
          <w:b/>
          <w:szCs w:val="22"/>
        </w:rPr>
        <w:t>publication in the Federal Register</w:t>
      </w:r>
      <w:r w:rsidRPr="00A858A2">
        <w:rPr>
          <w:b/>
          <w:szCs w:val="22"/>
        </w:rPr>
        <w:t xml:space="preserve"> </w:t>
      </w:r>
      <w:r w:rsidRPr="00A858A2">
        <w:rPr>
          <w:bCs/>
          <w:szCs w:val="22"/>
        </w:rPr>
        <w:t>and reply comments</w:t>
      </w:r>
      <w:r w:rsidRPr="00A858A2">
        <w:rPr>
          <w:b/>
          <w:szCs w:val="22"/>
        </w:rPr>
        <w:t xml:space="preserve"> </w:t>
      </w:r>
      <w:r w:rsidRPr="00A858A2">
        <w:rPr>
          <w:szCs w:val="22"/>
        </w:rPr>
        <w:t xml:space="preserve">on or before </w:t>
      </w:r>
      <w:r w:rsidR="00B533BF">
        <w:rPr>
          <w:b/>
          <w:szCs w:val="22"/>
        </w:rPr>
        <w:t>45</w:t>
      </w:r>
      <w:r w:rsidRPr="00A858A2">
        <w:rPr>
          <w:b/>
          <w:szCs w:val="22"/>
        </w:rPr>
        <w:t xml:space="preserve"> days </w:t>
      </w:r>
      <w:r w:rsidRPr="00A858A2">
        <w:rPr>
          <w:rFonts w:eastAsia="Calibri"/>
          <w:b/>
          <w:szCs w:val="22"/>
        </w:rPr>
        <w:t xml:space="preserve">after </w:t>
      </w:r>
      <w:r w:rsidR="00B533BF">
        <w:rPr>
          <w:rFonts w:eastAsia="Calibri"/>
          <w:b/>
          <w:szCs w:val="22"/>
        </w:rPr>
        <w:t>publication in the Federal Register</w:t>
      </w:r>
      <w:r w:rsidRPr="00A858A2">
        <w:rPr>
          <w:szCs w:val="22"/>
        </w:rPr>
        <w:t xml:space="preserve">.  Comments may be filed using the Commission’s Electronic Comment Filing System (ECFS).  </w:t>
      </w:r>
      <w:r w:rsidRPr="00A858A2">
        <w:rPr>
          <w:i/>
          <w:iCs/>
          <w:szCs w:val="22"/>
        </w:rPr>
        <w:t>See</w:t>
      </w:r>
      <w:r w:rsidRPr="00A858A2">
        <w:rPr>
          <w:szCs w:val="22"/>
        </w:rPr>
        <w:t xml:space="preserve"> </w:t>
      </w:r>
      <w:r w:rsidRPr="00A858A2">
        <w:rPr>
          <w:i/>
          <w:iCs/>
          <w:szCs w:val="22"/>
        </w:rPr>
        <w:t>Electronic Filing of Documents in Rulemaking Proceedings</w:t>
      </w:r>
      <w:r w:rsidRPr="00A858A2">
        <w:rPr>
          <w:szCs w:val="22"/>
        </w:rPr>
        <w:t>, 63 FR 24121 (1998).</w:t>
      </w:r>
    </w:p>
    <w:p w:rsidR="005469A4" w:rsidRPr="00A858A2" w:rsidP="00FD6DB2" w14:paraId="2D2B65EC" w14:textId="4319BE22">
      <w:pPr>
        <w:widowControl/>
        <w:numPr>
          <w:ilvl w:val="0"/>
          <w:numId w:val="8"/>
        </w:numPr>
        <w:spacing w:after="120"/>
        <w:ind w:right="160"/>
        <w:rPr>
          <w:snapToGrid/>
          <w:kern w:val="0"/>
          <w:szCs w:val="22"/>
        </w:rPr>
      </w:pPr>
      <w:r w:rsidRPr="00830AFE">
        <w:rPr>
          <w:i/>
          <w:iCs/>
          <w:snapToGrid/>
          <w:kern w:val="0"/>
          <w:szCs w:val="22"/>
        </w:rPr>
        <w:t>Electronic Filers:</w:t>
      </w:r>
      <w:r w:rsidRPr="00A858A2">
        <w:rPr>
          <w:snapToGrid/>
          <w:kern w:val="0"/>
          <w:szCs w:val="22"/>
        </w:rPr>
        <w:t xml:space="preserve">  Comments may be filed electronically using the Internet by accessing the ECFS:  </w:t>
      </w:r>
      <w:hyperlink r:id="rId5" w:history="1">
        <w:r w:rsidRPr="00FE2475" w:rsidR="00FD6DB2">
          <w:rPr>
            <w:rStyle w:val="Hyperlink"/>
            <w:snapToGrid/>
            <w:kern w:val="0"/>
            <w:szCs w:val="22"/>
          </w:rPr>
          <w:t>http://apps.fcc.gov/ecfs/</w:t>
        </w:r>
      </w:hyperlink>
      <w:r w:rsidRPr="00A858A2">
        <w:rPr>
          <w:snapToGrid/>
          <w:kern w:val="0"/>
          <w:szCs w:val="22"/>
        </w:rPr>
        <w:t>.</w:t>
      </w:r>
      <w:r w:rsidR="00FD6DB2">
        <w:rPr>
          <w:snapToGrid/>
          <w:kern w:val="0"/>
          <w:szCs w:val="22"/>
        </w:rPr>
        <w:t xml:space="preserve"> </w:t>
      </w:r>
      <w:r w:rsidRPr="00A858A2">
        <w:rPr>
          <w:snapToGrid/>
          <w:kern w:val="0"/>
          <w:szCs w:val="22"/>
        </w:rPr>
        <w:t xml:space="preserve">  </w:t>
      </w:r>
    </w:p>
    <w:p w:rsidR="005469A4" w:rsidRPr="00A858A2" w:rsidP="00FD6DB2" w14:paraId="74F1D29E" w14:textId="77777777">
      <w:pPr>
        <w:widowControl/>
        <w:numPr>
          <w:ilvl w:val="0"/>
          <w:numId w:val="8"/>
        </w:numPr>
        <w:spacing w:after="120"/>
        <w:ind w:right="160"/>
        <w:rPr>
          <w:snapToGrid/>
          <w:kern w:val="0"/>
          <w:szCs w:val="22"/>
        </w:rPr>
      </w:pPr>
      <w:r w:rsidRPr="00830AFE">
        <w:rPr>
          <w:i/>
          <w:iCs/>
          <w:snapToGrid/>
          <w:kern w:val="0"/>
          <w:szCs w:val="22"/>
        </w:rPr>
        <w:t>Paper Filers:</w:t>
      </w:r>
      <w:r w:rsidRPr="00A858A2">
        <w:rPr>
          <w:snapToGrid/>
          <w:kern w:val="0"/>
          <w:szCs w:val="22"/>
        </w:rPr>
        <w:t xml:space="preserve">  Parties who choose to file by paper must file an original and one copy of each filing. </w:t>
      </w:r>
    </w:p>
    <w:p w:rsidR="005469A4" w:rsidRPr="00A858A2" w:rsidP="00FD6DB2" w14:paraId="7C29E6F7" w14:textId="77777777">
      <w:pPr>
        <w:widowControl/>
        <w:numPr>
          <w:ilvl w:val="1"/>
          <w:numId w:val="8"/>
        </w:numPr>
        <w:spacing w:after="120"/>
        <w:ind w:right="160"/>
        <w:rPr>
          <w:snapToGrid/>
          <w:kern w:val="0"/>
          <w:szCs w:val="22"/>
        </w:rPr>
      </w:pPr>
      <w:r w:rsidRPr="00A858A2">
        <w:rPr>
          <w:snapToGrid/>
          <w:kern w:val="0"/>
          <w:szCs w:val="22"/>
        </w:rPr>
        <w:t>Filings can be sent by commercial overnight courier, or by first-class or overnight U.S. Postal Service mail. All filings must be addressed to the Commission’s Secretary, Office of the Secretary, Federal Communications Commission.</w:t>
      </w:r>
    </w:p>
    <w:p w:rsidR="005469A4" w:rsidRPr="00A858A2" w:rsidP="00FD6DB2" w14:paraId="6E8E7D66" w14:textId="77777777">
      <w:pPr>
        <w:widowControl/>
        <w:numPr>
          <w:ilvl w:val="1"/>
          <w:numId w:val="8"/>
        </w:numPr>
        <w:spacing w:after="120"/>
        <w:ind w:right="160"/>
        <w:rPr>
          <w:snapToGrid/>
          <w:kern w:val="0"/>
          <w:szCs w:val="22"/>
        </w:rPr>
      </w:pPr>
      <w:r w:rsidRPr="00A858A2">
        <w:rPr>
          <w:snapToGrid/>
          <w:kern w:val="0"/>
          <w:szCs w:val="22"/>
        </w:rPr>
        <w:t xml:space="preserve">Commercial overnight mail (other than U.S. Postal Service Express Mail and Priority Mail) must be sent to 9050 Junction Drive, Annapolis Junction, MD 20701.U.S. </w:t>
      </w:r>
    </w:p>
    <w:p w:rsidR="005469A4" w:rsidRPr="00A858A2" w:rsidP="00FD6DB2" w14:paraId="6B6DB301" w14:textId="77777777">
      <w:pPr>
        <w:widowControl/>
        <w:numPr>
          <w:ilvl w:val="1"/>
          <w:numId w:val="8"/>
        </w:numPr>
        <w:spacing w:after="120"/>
        <w:ind w:right="160"/>
        <w:rPr>
          <w:snapToGrid/>
          <w:kern w:val="0"/>
          <w:szCs w:val="22"/>
        </w:rPr>
      </w:pPr>
      <w:r w:rsidRPr="00A858A2">
        <w:rPr>
          <w:snapToGrid/>
          <w:kern w:val="0"/>
          <w:szCs w:val="22"/>
        </w:rPr>
        <w:t>Postal Service first-class, Express, and Priority mail must be addressed to 45 L Street, NE, Washington DC  20554</w:t>
      </w:r>
    </w:p>
    <w:p w:rsidR="005469A4" w:rsidRPr="00A858A2" w:rsidP="00FD6DB2" w14:paraId="6A791E6E" w14:textId="77777777">
      <w:pPr>
        <w:widowControl/>
        <w:numPr>
          <w:ilvl w:val="0"/>
          <w:numId w:val="8"/>
        </w:numPr>
        <w:spacing w:after="120"/>
        <w:ind w:right="160"/>
        <w:rPr>
          <w:snapToGrid/>
          <w:kern w:val="0"/>
          <w:szCs w:val="22"/>
        </w:rPr>
      </w:pPr>
      <w:r w:rsidRPr="00A858A2">
        <w:rPr>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kern w:val="0"/>
          <w:szCs w:val="22"/>
          <w:vertAlign w:val="superscript"/>
        </w:rPr>
        <w:footnoteReference w:id="16"/>
      </w:r>
      <w:r w:rsidRPr="00A858A2">
        <w:rPr>
          <w:snapToGrid/>
          <w:kern w:val="0"/>
          <w:szCs w:val="22"/>
        </w:rPr>
        <w:t xml:space="preserve">  </w:t>
      </w:r>
    </w:p>
    <w:p w:rsidR="005469A4" w:rsidRPr="00FD6DB2" w:rsidP="00FD6DB2" w14:paraId="363FB2AE" w14:textId="1D71199E">
      <w:pPr>
        <w:widowControl/>
        <w:numPr>
          <w:ilvl w:val="0"/>
          <w:numId w:val="8"/>
        </w:numPr>
        <w:spacing w:after="120"/>
        <w:ind w:right="160"/>
        <w:rPr>
          <w:snapToGrid/>
          <w:kern w:val="0"/>
          <w:szCs w:val="22"/>
        </w:rPr>
      </w:pPr>
      <w:r w:rsidRPr="00A858A2">
        <w:rPr>
          <w:snapToGrid/>
          <w:kern w:val="0"/>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459CD" w:rsidRPr="00A858A2" w:rsidP="00FD6DB2" w14:paraId="64182733" w14:textId="486B52A9">
      <w:pPr>
        <w:spacing w:after="120"/>
        <w:ind w:right="260" w:firstLine="720"/>
        <w:rPr>
          <w:szCs w:val="22"/>
        </w:rPr>
      </w:pPr>
      <w:r w:rsidRPr="00A858A2">
        <w:rPr>
          <w:i/>
          <w:iCs/>
          <w:szCs w:val="22"/>
        </w:rPr>
        <w:t>People with Disabilities</w:t>
      </w:r>
      <w:r w:rsidRPr="00A858A2">
        <w:rPr>
          <w:szCs w:val="22"/>
        </w:rPr>
        <w:t xml:space="preserve">: To request materials in accessible formats for people with disabilities (braille, large print, electronic files, audio format), send an e-mail to </w:t>
      </w:r>
      <w:hyperlink r:id="rId6" w:history="1">
        <w:r w:rsidRPr="00392158" w:rsidR="00991B19">
          <w:rPr>
            <w:rStyle w:val="Hyperlink"/>
            <w:szCs w:val="22"/>
          </w:rPr>
          <w:t>fcc504@fcc.gov</w:t>
        </w:r>
      </w:hyperlink>
      <w:r w:rsidR="00991B19">
        <w:rPr>
          <w:szCs w:val="22"/>
        </w:rPr>
        <w:t xml:space="preserve"> </w:t>
      </w:r>
      <w:r w:rsidRPr="00A858A2">
        <w:rPr>
          <w:szCs w:val="22"/>
        </w:rPr>
        <w:t>or call the Consumer and Governmental Affairs Bureau at 202-418-0530 (voice), 1-888-835-5322 (</w:t>
      </w:r>
      <w:r w:rsidRPr="00A858A2">
        <w:rPr>
          <w:szCs w:val="22"/>
        </w:rPr>
        <w:t>tty</w:t>
      </w:r>
      <w:r w:rsidRPr="00A858A2">
        <w:rPr>
          <w:szCs w:val="22"/>
        </w:rPr>
        <w:t>).</w:t>
      </w:r>
    </w:p>
    <w:p w:rsidR="001656D8" w:rsidRPr="00A858A2" w:rsidP="00830AFE" w14:paraId="5FC61623" w14:textId="5088E2FF">
      <w:pPr>
        <w:widowControl/>
        <w:snapToGrid w:val="0"/>
        <w:spacing w:after="120"/>
        <w:ind w:firstLine="720"/>
        <w:rPr>
          <w:szCs w:val="22"/>
        </w:rPr>
      </w:pPr>
      <w:r w:rsidRPr="00A858A2">
        <w:rPr>
          <w:szCs w:val="22"/>
        </w:rPr>
        <w:t>In addition, filers</w:t>
      </w:r>
      <w:r w:rsidR="00320D1E">
        <w:rPr>
          <w:szCs w:val="22"/>
        </w:rPr>
        <w:t xml:space="preserve"> should </w:t>
      </w:r>
      <w:r w:rsidRPr="00A858A2">
        <w:rPr>
          <w:szCs w:val="22"/>
        </w:rPr>
        <w:t xml:space="preserve">provide one copy of each filing to each of the following: </w:t>
      </w:r>
    </w:p>
    <w:p w:rsidR="001656D8" w:rsidRPr="00A858A2" w:rsidP="001656D8" w14:paraId="7ABC7ABF" w14:textId="77777777">
      <w:pPr>
        <w:pStyle w:val="BodyText"/>
        <w:kinsoku w:val="0"/>
        <w:overflowPunct w:val="0"/>
        <w:spacing w:after="120"/>
        <w:ind w:left="0" w:firstLine="720"/>
        <w:rPr>
          <w:sz w:val="22"/>
          <w:szCs w:val="22"/>
        </w:rPr>
      </w:pPr>
      <w:r w:rsidRPr="00A858A2">
        <w:rPr>
          <w:sz w:val="22"/>
          <w:szCs w:val="22"/>
        </w:rPr>
        <w:t xml:space="preserve">(1) Arthur Lechtman, Attorney, Telecommunications and Analysis Division, International Bureau, at </w:t>
      </w:r>
      <w:hyperlink r:id="rId7" w:history="1">
        <w:r w:rsidRPr="00A858A2">
          <w:rPr>
            <w:rStyle w:val="Hyperlink"/>
            <w:sz w:val="22"/>
            <w:szCs w:val="22"/>
          </w:rPr>
          <w:t>Arthur.Lechtman@fcc.gov</w:t>
        </w:r>
      </w:hyperlink>
      <w:r w:rsidRPr="00A858A2">
        <w:rPr>
          <w:sz w:val="22"/>
          <w:szCs w:val="22"/>
        </w:rPr>
        <w:t xml:space="preserve">, and </w:t>
      </w:r>
    </w:p>
    <w:p w:rsidR="00FD6DB2" w:rsidP="00BA536B" w14:paraId="21D4DA70" w14:textId="317956F4">
      <w:pPr>
        <w:pStyle w:val="BodyText"/>
        <w:kinsoku w:val="0"/>
        <w:overflowPunct w:val="0"/>
        <w:ind w:left="0" w:firstLine="720"/>
        <w:rPr>
          <w:sz w:val="22"/>
          <w:szCs w:val="22"/>
        </w:rPr>
      </w:pPr>
      <w:r w:rsidRPr="00A858A2">
        <w:rPr>
          <w:sz w:val="22"/>
          <w:szCs w:val="22"/>
        </w:rPr>
        <w:t xml:space="preserve">(2) David Krech, Associate Division Chief, Telecommunications and Analysis Division, International Bureau, at </w:t>
      </w:r>
      <w:hyperlink r:id="rId8" w:history="1">
        <w:r w:rsidRPr="00A858A2">
          <w:rPr>
            <w:rStyle w:val="Hyperlink"/>
            <w:sz w:val="22"/>
            <w:szCs w:val="22"/>
          </w:rPr>
          <w:t>David.Krech@fcc.gov</w:t>
        </w:r>
      </w:hyperlink>
      <w:r w:rsidRPr="00A858A2">
        <w:rPr>
          <w:sz w:val="22"/>
          <w:szCs w:val="22"/>
        </w:rPr>
        <w:t>.</w:t>
      </w:r>
    </w:p>
    <w:p w:rsidR="00BA536B" w:rsidRPr="00BA536B" w:rsidP="00BA536B" w14:paraId="1709AC3B" w14:textId="77777777">
      <w:pPr>
        <w:pStyle w:val="BodyText"/>
        <w:kinsoku w:val="0"/>
        <w:overflowPunct w:val="0"/>
        <w:ind w:left="0" w:firstLine="720"/>
        <w:rPr>
          <w:sz w:val="22"/>
          <w:szCs w:val="22"/>
        </w:rPr>
      </w:pPr>
    </w:p>
    <w:p w:rsidR="001656D8" w:rsidRPr="00830AFE" w:rsidP="001656D8" w14:paraId="352B8FE7" w14:textId="3B03F4D8">
      <w:pPr>
        <w:pStyle w:val="ParaNum"/>
        <w:numPr>
          <w:ilvl w:val="0"/>
          <w:numId w:val="0"/>
        </w:numPr>
        <w:rPr>
          <w:b/>
          <w:bCs/>
          <w:szCs w:val="22"/>
        </w:rPr>
      </w:pPr>
      <w:r w:rsidRPr="00983882">
        <w:rPr>
          <w:b/>
          <w:bCs/>
          <w:i/>
          <w:iCs/>
          <w:szCs w:val="22"/>
          <w:u w:val="single"/>
        </w:rPr>
        <w:t xml:space="preserve">Ex </w:t>
      </w:r>
      <w:r w:rsidRPr="00983882">
        <w:rPr>
          <w:b/>
          <w:bCs/>
          <w:i/>
          <w:iCs/>
          <w:szCs w:val="22"/>
          <w:u w:val="single"/>
        </w:rPr>
        <w:t>Parte</w:t>
      </w:r>
      <w:r w:rsidRPr="00830AFE">
        <w:rPr>
          <w:b/>
          <w:bCs/>
          <w:szCs w:val="22"/>
          <w:u w:val="single"/>
        </w:rPr>
        <w:t xml:space="preserve"> Information</w:t>
      </w:r>
    </w:p>
    <w:p w:rsidR="001656D8" w:rsidRPr="00A858A2" w:rsidP="001656D8" w14:paraId="633C54BA" w14:textId="77777777">
      <w:pPr>
        <w:pStyle w:val="ParaNum"/>
        <w:numPr>
          <w:ilvl w:val="0"/>
          <w:numId w:val="0"/>
        </w:numPr>
        <w:ind w:firstLine="720"/>
        <w:rPr>
          <w:szCs w:val="22"/>
        </w:rPr>
      </w:pPr>
      <w:r w:rsidRPr="00A858A2">
        <w:rPr>
          <w:szCs w:val="22"/>
        </w:rPr>
        <w:t xml:space="preserve">This proceeding shall be treated as a “permit-but-disclose” proceeding in accordance with the </w:t>
      </w:r>
      <w:r w:rsidRPr="00A858A2">
        <w:rPr>
          <w:szCs w:val="22"/>
        </w:rPr>
        <w:t xml:space="preserve">Commission’s </w:t>
      </w:r>
      <w:r w:rsidRPr="00FD6DB2">
        <w:rPr>
          <w:i/>
          <w:iCs/>
          <w:szCs w:val="22"/>
        </w:rPr>
        <w:t xml:space="preserve">ex </w:t>
      </w:r>
      <w:r w:rsidRPr="00FD6DB2">
        <w:rPr>
          <w:i/>
          <w:iCs/>
          <w:szCs w:val="22"/>
        </w:rPr>
        <w:t>parte</w:t>
      </w:r>
      <w:r w:rsidRPr="00FD6DB2">
        <w:rPr>
          <w:i/>
          <w:iCs/>
          <w:szCs w:val="22"/>
        </w:rPr>
        <w:t xml:space="preserve"> </w:t>
      </w:r>
      <w:r w:rsidRPr="00A858A2">
        <w:rPr>
          <w:szCs w:val="22"/>
        </w:rPr>
        <w:t>rules.</w:t>
      </w:r>
      <w:r>
        <w:rPr>
          <w:rStyle w:val="FootnoteReference"/>
          <w:szCs w:val="22"/>
        </w:rPr>
        <w:footnoteReference w:id="17"/>
      </w:r>
      <w:r w:rsidRPr="00A858A2">
        <w:rPr>
          <w:szCs w:val="22"/>
        </w:rPr>
        <w:t xml:space="preserve">  Persons making</w:t>
      </w:r>
      <w:r w:rsidRPr="00FD6DB2">
        <w:rPr>
          <w:i/>
          <w:iCs/>
          <w:szCs w:val="22"/>
        </w:rPr>
        <w:t xml:space="preserve"> ex </w:t>
      </w:r>
      <w:r w:rsidRPr="00FD6DB2">
        <w:rPr>
          <w:i/>
          <w:iCs/>
          <w:szCs w:val="22"/>
        </w:rPr>
        <w:t>parte</w:t>
      </w:r>
      <w:r w:rsidRPr="00A858A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D6DB2">
        <w:rPr>
          <w:i/>
          <w:iCs/>
          <w:szCs w:val="22"/>
        </w:rPr>
        <w:t xml:space="preserve">ex </w:t>
      </w:r>
      <w:r w:rsidRPr="00FD6DB2">
        <w:rPr>
          <w:i/>
          <w:iCs/>
          <w:szCs w:val="22"/>
        </w:rPr>
        <w:t>parte</w:t>
      </w:r>
      <w:r w:rsidRPr="00FD6DB2">
        <w:rPr>
          <w:i/>
          <w:iCs/>
          <w:szCs w:val="22"/>
        </w:rPr>
        <w:t xml:space="preserve"> </w:t>
      </w:r>
      <w:r w:rsidRPr="00A858A2">
        <w:rPr>
          <w:szCs w:val="22"/>
        </w:rPr>
        <w:t xml:space="preserve">presentations are reminded that memoranda summarizing the presentation must (1) list all persons attending or otherwise participating in the meeting at which the </w:t>
      </w:r>
      <w:r w:rsidRPr="00FD6DB2">
        <w:rPr>
          <w:i/>
          <w:iCs/>
          <w:szCs w:val="22"/>
        </w:rPr>
        <w:t xml:space="preserve">ex </w:t>
      </w:r>
      <w:r w:rsidRPr="00FD6DB2">
        <w:rPr>
          <w:i/>
          <w:iCs/>
          <w:szCs w:val="22"/>
        </w:rPr>
        <w:t>parte</w:t>
      </w:r>
      <w:r w:rsidRPr="00FD6DB2">
        <w:rPr>
          <w:i/>
          <w:iCs/>
          <w:szCs w:val="22"/>
        </w:rPr>
        <w:t xml:space="preserve"> </w:t>
      </w:r>
      <w:r w:rsidRPr="00A858A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D6DB2">
        <w:rPr>
          <w:i/>
          <w:iCs/>
          <w:szCs w:val="22"/>
        </w:rPr>
        <w:t xml:space="preserve">ex </w:t>
      </w:r>
      <w:r w:rsidRPr="00FD6DB2">
        <w:rPr>
          <w:i/>
          <w:iCs/>
          <w:szCs w:val="22"/>
        </w:rPr>
        <w:t>parte</w:t>
      </w:r>
      <w:r w:rsidRPr="00FD6DB2">
        <w:rPr>
          <w:i/>
          <w:iCs/>
          <w:szCs w:val="22"/>
        </w:rPr>
        <w:t xml:space="preserve"> </w:t>
      </w:r>
      <w:r w:rsidRPr="00A858A2">
        <w:rPr>
          <w:szCs w:val="22"/>
        </w:rPr>
        <w:t xml:space="preserve">meetings are deemed to be written </w:t>
      </w:r>
      <w:r w:rsidRPr="00FD6DB2">
        <w:rPr>
          <w:i/>
          <w:iCs/>
          <w:szCs w:val="22"/>
        </w:rPr>
        <w:t xml:space="preserve">ex </w:t>
      </w:r>
      <w:r w:rsidRPr="00FD6DB2">
        <w:rPr>
          <w:i/>
          <w:iCs/>
          <w:szCs w:val="22"/>
        </w:rPr>
        <w:t>parte</w:t>
      </w:r>
      <w:r w:rsidRPr="00A858A2">
        <w:rPr>
          <w:szCs w:val="22"/>
        </w:rPr>
        <w:t xml:space="preserve"> presentations and must be filed consistent with section 1.1206(b) of the Commission’s rules.  In proceedings governed by section 1.49(f) of the Commission’s rules or for which the Commission has made available a method of electronic filing, written ex </w:t>
      </w:r>
      <w:r w:rsidRPr="00A858A2">
        <w:rPr>
          <w:szCs w:val="22"/>
        </w:rPr>
        <w:t>parte</w:t>
      </w:r>
      <w:r w:rsidRPr="00A858A2">
        <w:rPr>
          <w:szCs w:val="22"/>
        </w:rPr>
        <w:t xml:space="preserve"> presentations and memoranda summarizing oral </w:t>
      </w:r>
      <w:r w:rsidRPr="00FD6DB2">
        <w:rPr>
          <w:i/>
          <w:iCs/>
          <w:szCs w:val="22"/>
        </w:rPr>
        <w:t xml:space="preserve">ex </w:t>
      </w:r>
      <w:r w:rsidRPr="00FD6DB2">
        <w:rPr>
          <w:i/>
          <w:iCs/>
          <w:szCs w:val="22"/>
        </w:rPr>
        <w:t>parte</w:t>
      </w:r>
      <w:r w:rsidRPr="00FD6DB2">
        <w:rPr>
          <w:i/>
          <w:iCs/>
          <w:szCs w:val="22"/>
        </w:rPr>
        <w:t xml:space="preserve"> </w:t>
      </w:r>
      <w:r w:rsidRPr="00A858A2">
        <w:rPr>
          <w:szCs w:val="22"/>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FD6DB2">
        <w:rPr>
          <w:i/>
          <w:iCs/>
          <w:szCs w:val="22"/>
        </w:rPr>
        <w:t xml:space="preserve">ex </w:t>
      </w:r>
      <w:r w:rsidRPr="00FD6DB2">
        <w:rPr>
          <w:i/>
          <w:iCs/>
          <w:szCs w:val="22"/>
        </w:rPr>
        <w:t>parte</w:t>
      </w:r>
      <w:r w:rsidRPr="00A858A2">
        <w:rPr>
          <w:szCs w:val="22"/>
        </w:rPr>
        <w:t xml:space="preserve"> rules.</w:t>
      </w:r>
    </w:p>
    <w:p w:rsidR="001656D8" w:rsidRPr="00A858A2" w:rsidP="001656D8" w14:paraId="26F5FD57" w14:textId="23B7CB3A">
      <w:pPr>
        <w:pStyle w:val="BodyText"/>
        <w:kinsoku w:val="0"/>
        <w:overflowPunct w:val="0"/>
        <w:spacing w:after="120"/>
        <w:ind w:left="0" w:firstLine="720"/>
        <w:rPr>
          <w:sz w:val="22"/>
          <w:szCs w:val="22"/>
        </w:rPr>
      </w:pPr>
      <w:r w:rsidRPr="00A858A2">
        <w:rPr>
          <w:sz w:val="22"/>
          <w:szCs w:val="22"/>
        </w:rPr>
        <w:t>For further information, please contact Arthur Lechtman, Telecommunications and Analysis Division, International Bureau, at (202) 418-1465.</w:t>
      </w:r>
    </w:p>
    <w:p w:rsidR="005469A4" w:rsidRPr="00830AFE" w:rsidP="005469A4" w14:paraId="1B50F6F0" w14:textId="02919FF3">
      <w:pPr>
        <w:pStyle w:val="BodyText"/>
        <w:kinsoku w:val="0"/>
        <w:overflowPunct w:val="0"/>
        <w:spacing w:after="120"/>
        <w:ind w:left="0"/>
        <w:rPr>
          <w:b/>
          <w:bCs/>
          <w:sz w:val="22"/>
          <w:szCs w:val="22"/>
          <w:u w:val="single"/>
        </w:rPr>
      </w:pPr>
    </w:p>
    <w:p w:rsidR="005469A4" w:rsidRPr="00D2053C" w:rsidP="00D2053C" w14:paraId="4BC14422" w14:textId="6283CD25">
      <w:pPr>
        <w:pStyle w:val="BodyText"/>
        <w:kinsoku w:val="0"/>
        <w:overflowPunct w:val="0"/>
        <w:spacing w:after="120"/>
        <w:jc w:val="center"/>
        <w:rPr>
          <w:b/>
          <w:bCs/>
          <w:sz w:val="22"/>
          <w:szCs w:val="22"/>
        </w:rPr>
      </w:pPr>
      <w:r w:rsidRPr="00D2053C">
        <w:rPr>
          <w:b/>
          <w:bCs/>
          <w:sz w:val="22"/>
          <w:szCs w:val="22"/>
        </w:rPr>
        <w:t>-FCC-</w:t>
      </w:r>
    </w:p>
    <w:p w:rsidR="00930ECF" w:rsidRPr="00930ECF" w:rsidP="00F96F63" w14:paraId="362BEF80" w14:textId="5D38960D">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7AC4D11" w14:textId="6CCB0AE9">
    <w:pPr>
      <w:pStyle w:val="Footer"/>
      <w:framePr w:wrap="around" w:vAnchor="text" w:hAnchor="margin" w:xAlign="center" w:y="1"/>
    </w:pPr>
    <w:r>
      <w:fldChar w:fldCharType="begin"/>
    </w:r>
    <w:r>
      <w:instrText xml:space="preserve">PAGE  </w:instrText>
    </w:r>
    <w:r>
      <w:fldChar w:fldCharType="separate"/>
    </w:r>
    <w:r>
      <w:fldChar w:fldCharType="end"/>
    </w:r>
  </w:p>
  <w:p w:rsidR="006F7393" w14:paraId="48153AF9" w14:textId="77777777">
    <w:pPr>
      <w:pStyle w:val="Footer"/>
    </w:pPr>
  </w:p>
  <w:p w:rsidR="003565CD" w14:paraId="1DB5BC5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B71259A" w14:textId="3570D8D6">
    <w:pPr>
      <w:pStyle w:val="Footer"/>
      <w:jc w:val="center"/>
    </w:pPr>
    <w:r>
      <w:fldChar w:fldCharType="begin"/>
    </w:r>
    <w:r>
      <w:instrText xml:space="preserve"> PAGE   \* MERGEFORMAT </w:instrText>
    </w:r>
    <w:r>
      <w:fldChar w:fldCharType="separate"/>
    </w:r>
    <w:r>
      <w:rPr>
        <w:noProof/>
      </w:rPr>
      <w:t>2</w:t>
    </w:r>
    <w:r>
      <w:rPr>
        <w:noProof/>
      </w:rPr>
      <w:fldChar w:fldCharType="end"/>
    </w:r>
  </w:p>
  <w:p w:rsidR="003565CD" w14:paraId="58831C3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01FF88E" w14:textId="3B84060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22D2" w14:paraId="1922A131" w14:textId="77777777">
      <w:r>
        <w:separator/>
      </w:r>
    </w:p>
  </w:footnote>
  <w:footnote w:type="continuationSeparator" w:id="1">
    <w:p w:rsidR="009622D2" w14:paraId="567F23EE" w14:textId="77777777">
      <w:pPr>
        <w:rPr>
          <w:sz w:val="20"/>
        </w:rPr>
      </w:pPr>
      <w:r>
        <w:rPr>
          <w:sz w:val="20"/>
        </w:rPr>
        <w:t xml:space="preserve">(Continued from previous page)  </w:t>
      </w:r>
      <w:r>
        <w:rPr>
          <w:sz w:val="20"/>
        </w:rPr>
        <w:separator/>
      </w:r>
    </w:p>
  </w:footnote>
  <w:footnote w:type="continuationNotice" w:id="2">
    <w:p w:rsidR="009622D2" w:rsidP="00910F12" w14:paraId="150AB2DA" w14:textId="77777777">
      <w:pPr>
        <w:jc w:val="right"/>
        <w:rPr>
          <w:sz w:val="20"/>
        </w:rPr>
      </w:pPr>
      <w:r>
        <w:rPr>
          <w:sz w:val="20"/>
        </w:rPr>
        <w:t>(continued….)</w:t>
      </w:r>
    </w:p>
  </w:footnote>
  <w:footnote w:id="3">
    <w:p w:rsidR="00750FA9" w14:paraId="7E265276" w14:textId="35B9F362">
      <w:pPr>
        <w:pStyle w:val="FootnoteText"/>
      </w:pPr>
      <w:r>
        <w:rPr>
          <w:rStyle w:val="FootnoteReference"/>
        </w:rPr>
        <w:footnoteRef/>
      </w:r>
      <w:r>
        <w:t xml:space="preserve"> </w:t>
      </w:r>
      <w:r w:rsidRPr="003174FE" w:rsidR="003174FE">
        <w:t xml:space="preserve">The Executive Branch agencies </w:t>
      </w:r>
      <w:r w:rsidR="003174FE">
        <w:t xml:space="preserve">include the </w:t>
      </w:r>
      <w:r w:rsidR="00510944">
        <w:t>Department</w:t>
      </w:r>
      <w:r w:rsidR="00AA0495">
        <w:t>s</w:t>
      </w:r>
      <w:r w:rsidR="00510944">
        <w:t xml:space="preserve"> of </w:t>
      </w:r>
      <w:r w:rsidR="00AA0495">
        <w:t xml:space="preserve">Justice, </w:t>
      </w:r>
      <w:r w:rsidR="00510944">
        <w:t xml:space="preserve">Homeland Security, </w:t>
      </w:r>
      <w:r w:rsidR="00AA0495">
        <w:t xml:space="preserve">Defense, </w:t>
      </w:r>
      <w:r w:rsidR="00510944">
        <w:t>State,</w:t>
      </w:r>
      <w:r w:rsidR="00AA0495">
        <w:t xml:space="preserve"> and Commerce, as well as the </w:t>
      </w:r>
      <w:r w:rsidR="00510944">
        <w:t>U</w:t>
      </w:r>
      <w:r w:rsidR="00AC3ADC">
        <w:t>.</w:t>
      </w:r>
      <w:r w:rsidR="00510944">
        <w:t>S.</w:t>
      </w:r>
      <w:r w:rsidR="00AC3ADC">
        <w:t xml:space="preserve"> </w:t>
      </w:r>
      <w:r w:rsidR="00510944">
        <w:t>Trade Representative.</w:t>
      </w:r>
    </w:p>
  </w:footnote>
  <w:footnote w:id="4">
    <w:p w:rsidR="00750FA9" w:rsidRPr="003055C0" w:rsidP="00750FA9" w14:paraId="1349D536" w14:textId="13DBBD89">
      <w:pPr>
        <w:pStyle w:val="FootnoteText"/>
      </w:pPr>
      <w:r>
        <w:rPr>
          <w:rStyle w:val="FootnoteReference"/>
        </w:rPr>
        <w:footnoteRef/>
      </w:r>
      <w:r>
        <w:t xml:space="preserve"> </w:t>
      </w:r>
      <w:r>
        <w:rPr>
          <w:i/>
          <w:iCs/>
          <w:snapToGrid w:val="0"/>
        </w:rPr>
        <w:t>Process Reform for Executive Branch Review of Certain FCC Applications and Petitions Involving Foreign Ownership</w:t>
      </w:r>
      <w:r>
        <w:rPr>
          <w:snapToGrid w:val="0"/>
        </w:rPr>
        <w:t>, IB Docket No. 16-155, Report and Order, 35 FCC Rcd 10927, 10927, para. 1 (2020) (</w:t>
      </w:r>
      <w:r>
        <w:rPr>
          <w:i/>
          <w:iCs/>
          <w:snapToGrid w:val="0"/>
        </w:rPr>
        <w:t>Executive Branch Review Order</w:t>
      </w:r>
      <w:r>
        <w:rPr>
          <w:snapToGrid w:val="0"/>
        </w:rPr>
        <w:t xml:space="preserve">); </w:t>
      </w:r>
      <w:r>
        <w:rPr>
          <w:i/>
          <w:iCs/>
          <w:snapToGrid w:val="0"/>
        </w:rPr>
        <w:t xml:space="preserve">Erratum </w:t>
      </w:r>
      <w:r>
        <w:rPr>
          <w:snapToGrid w:val="0"/>
        </w:rPr>
        <w:t>(Appendix B – Final Rules)</w:t>
      </w:r>
      <w:r>
        <w:rPr>
          <w:i/>
          <w:iCs/>
          <w:snapToGrid w:val="0"/>
        </w:rPr>
        <w:t xml:space="preserve">, </w:t>
      </w:r>
      <w:r>
        <w:rPr>
          <w:snapToGrid w:val="0"/>
        </w:rPr>
        <w:t>DA 20-1404 (OMD/IB rel. Nov. 27, 2020)</w:t>
      </w:r>
      <w:r w:rsidR="00BB12ED">
        <w:rPr>
          <w:snapToGrid w:val="0"/>
        </w:rPr>
        <w:t>.</w:t>
      </w:r>
      <w:r>
        <w:t xml:space="preserve">  </w:t>
      </w:r>
      <w:r w:rsidR="00AC3ADC">
        <w:t xml:space="preserve">As directed by the Commission, “the International Bureau [will] take into account the comments we have received so far, such as these from NAB, when developing and seeking comment upon the proposed Standard Questions.”  </w:t>
      </w:r>
      <w:r w:rsidRPr="00AC3ADC" w:rsidR="00AC3ADC">
        <w:rPr>
          <w:i/>
          <w:iCs/>
        </w:rPr>
        <w:t>Executive Branch Review Order</w:t>
      </w:r>
      <w:r w:rsidR="00AC3ADC">
        <w:t>, 35 FCC at 109</w:t>
      </w:r>
      <w:r w:rsidRPr="00A8559F" w:rsidR="00A8559F">
        <w:t>4</w:t>
      </w:r>
      <w:r w:rsidR="00B533BF">
        <w:t>5</w:t>
      </w:r>
      <w:r w:rsidR="00AC3ADC">
        <w:t>, para. 46.</w:t>
      </w:r>
    </w:p>
  </w:footnote>
  <w:footnote w:id="5">
    <w:p w:rsidR="00482BD5" w:rsidP="00482BD5" w14:paraId="1A953615" w14:textId="218F9BA3">
      <w:pPr>
        <w:pStyle w:val="FootnoteText"/>
      </w:pPr>
      <w:r>
        <w:rPr>
          <w:rStyle w:val="FootnoteReference"/>
        </w:rPr>
        <w:footnoteRef/>
      </w:r>
      <w:r>
        <w:t xml:space="preserve"> </w:t>
      </w:r>
      <w:r>
        <w:rPr>
          <w:i/>
          <w:iCs/>
          <w:snapToGrid w:val="0"/>
        </w:rPr>
        <w:t>Executive Branch Review Order</w:t>
      </w:r>
      <w:r w:rsidRPr="00B64C1D">
        <w:t xml:space="preserve">, 35 FCC Rcd </w:t>
      </w:r>
      <w:r>
        <w:t xml:space="preserve">at </w:t>
      </w:r>
      <w:r w:rsidR="00BB12ED">
        <w:t>10935-38, paras. 24-28 (setting out which types of applications will generally be referred to the Executive Branch, but noting the Commission has t</w:t>
      </w:r>
      <w:r w:rsidRPr="00F506FA" w:rsidR="00BB12ED">
        <w:t xml:space="preserve">he discretion </w:t>
      </w:r>
      <w:r w:rsidR="00BB12ED">
        <w:t xml:space="preserve">to </w:t>
      </w:r>
      <w:r w:rsidRPr="00F506FA" w:rsidR="00BB12ED">
        <w:t xml:space="preserve">refer </w:t>
      </w:r>
      <w:r w:rsidR="00BB12ED">
        <w:t xml:space="preserve">additional </w:t>
      </w:r>
      <w:r w:rsidRPr="00F506FA" w:rsidR="00BB12ED">
        <w:t xml:space="preserve">types of applications if </w:t>
      </w:r>
      <w:r w:rsidR="00BB12ED">
        <w:t xml:space="preserve">we find that </w:t>
      </w:r>
      <w:r w:rsidRPr="00F506FA" w:rsidR="00BB12ED">
        <w:t xml:space="preserve">the specific circumstances of an application require the </w:t>
      </w:r>
      <w:r w:rsidR="00BB12ED">
        <w:t>input</w:t>
      </w:r>
      <w:r w:rsidRPr="00F506FA" w:rsidR="00BB12ED">
        <w:t xml:space="preserve"> of the Executive Branch</w:t>
      </w:r>
      <w:r w:rsidR="00BB12ED">
        <w:t xml:space="preserve">); </w:t>
      </w:r>
      <w:r w:rsidR="00BB12ED">
        <w:rPr>
          <w:i/>
          <w:iCs/>
        </w:rPr>
        <w:t xml:space="preserve">see also Erratum, </w:t>
      </w:r>
      <w:r w:rsidR="00BB12ED">
        <w:t>47 CFR § 1.40001(a)(1).</w:t>
      </w:r>
      <w:r w:rsidRPr="00B64C1D">
        <w:t xml:space="preserve"> </w:t>
      </w:r>
      <w:r w:rsidR="008B0D56">
        <w:t xml:space="preserve">An applicant </w:t>
      </w:r>
      <w:r w:rsidRPr="00A6734B" w:rsidR="008B0D56">
        <w:rPr>
          <w:szCs w:val="22"/>
        </w:rPr>
        <w:t>for</w:t>
      </w:r>
      <w:r w:rsidR="008B0D56">
        <w:rPr>
          <w:szCs w:val="22"/>
        </w:rPr>
        <w:t xml:space="preserve"> an </w:t>
      </w:r>
      <w:r w:rsidRPr="00A6734B" w:rsidR="008B0D56">
        <w:rPr>
          <w:szCs w:val="22"/>
        </w:rPr>
        <w:t xml:space="preserve">international section 214 authorization </w:t>
      </w:r>
      <w:r w:rsidR="00024809">
        <w:rPr>
          <w:szCs w:val="22"/>
        </w:rPr>
        <w:t>or</w:t>
      </w:r>
      <w:r w:rsidRPr="00A6734B" w:rsidR="00024809">
        <w:rPr>
          <w:szCs w:val="22"/>
        </w:rPr>
        <w:t xml:space="preserve"> </w:t>
      </w:r>
      <w:r w:rsidRPr="00A6734B" w:rsidR="008B0D56">
        <w:rPr>
          <w:szCs w:val="22"/>
        </w:rPr>
        <w:t>submarine cable license</w:t>
      </w:r>
      <w:r w:rsidR="008B0D56">
        <w:t xml:space="preserve"> has </w:t>
      </w:r>
      <w:r w:rsidR="00604C61">
        <w:t>“</w:t>
      </w:r>
      <w:r w:rsidR="008B0D56">
        <w:t>r</w:t>
      </w:r>
      <w:r w:rsidR="00604C61">
        <w:t xml:space="preserve">eportable foreign ownership” </w:t>
      </w:r>
      <w:r w:rsidR="008B0D56">
        <w:t xml:space="preserve">when </w:t>
      </w:r>
      <w:r w:rsidR="00604C61">
        <w:t xml:space="preserve">any foreign owner of the applicant must be disclosed in the application pursuant to </w:t>
      </w:r>
      <w:r w:rsidR="008B0D56">
        <w:t xml:space="preserve">section 63.18(h) of the Commission’s rules.  </w:t>
      </w:r>
      <w:r w:rsidR="00604C61">
        <w:t>47 CFR § 63.18(h)</w:t>
      </w:r>
      <w:r w:rsidR="008B0D56">
        <w:t xml:space="preserve">; </w:t>
      </w:r>
      <w:r w:rsidR="008B0D56">
        <w:rPr>
          <w:i/>
          <w:iCs/>
        </w:rPr>
        <w:t>s</w:t>
      </w:r>
      <w:r w:rsidRPr="008B0D56" w:rsidR="00604C61">
        <w:rPr>
          <w:i/>
          <w:iCs/>
        </w:rPr>
        <w:t>ee</w:t>
      </w:r>
      <w:r w:rsidR="00604C61">
        <w:rPr>
          <w:i/>
          <w:iCs/>
        </w:rPr>
        <w:t xml:space="preserve"> Erratum, </w:t>
      </w:r>
      <w:r w:rsidR="00604C61">
        <w:t xml:space="preserve">47 CFR § 1.40001(d). </w:t>
      </w:r>
    </w:p>
  </w:footnote>
  <w:footnote w:id="6">
    <w:p w:rsidR="00F361DE" w:rsidRPr="006D4166" w:rsidP="00645747" w14:paraId="5FD17813" w14:textId="717BB5EB">
      <w:pPr>
        <w:pStyle w:val="FootnoteText"/>
      </w:pPr>
      <w:r>
        <w:rPr>
          <w:rStyle w:val="FootnoteReference"/>
        </w:rPr>
        <w:footnoteRef/>
      </w:r>
      <w:r>
        <w:t xml:space="preserve"> </w:t>
      </w:r>
      <w:r w:rsidRPr="00B64C1D" w:rsidR="006D4166">
        <w:rPr>
          <w:i/>
          <w:iCs/>
        </w:rPr>
        <w:t>Executive Branch Review Order</w:t>
      </w:r>
      <w:r w:rsidR="006D4166">
        <w:rPr>
          <w:i/>
          <w:iCs/>
        </w:rPr>
        <w:t xml:space="preserve">, </w:t>
      </w:r>
      <w:r w:rsidR="006D4166">
        <w:t>35 FCC Rcd at 10942, 10946, paras. 40, 48-49</w:t>
      </w:r>
      <w:r w:rsidR="002B5056">
        <w:t xml:space="preserve">; </w:t>
      </w:r>
      <w:r w:rsidR="002B5056">
        <w:rPr>
          <w:i/>
          <w:iCs/>
        </w:rPr>
        <w:t>s</w:t>
      </w:r>
      <w:r w:rsidR="004153AE">
        <w:rPr>
          <w:i/>
          <w:iCs/>
        </w:rPr>
        <w:t>ee</w:t>
      </w:r>
      <w:r w:rsidR="002B5056">
        <w:rPr>
          <w:i/>
          <w:iCs/>
        </w:rPr>
        <w:t xml:space="preserve"> </w:t>
      </w:r>
      <w:r w:rsidR="004153AE">
        <w:rPr>
          <w:i/>
          <w:iCs/>
        </w:rPr>
        <w:t xml:space="preserve">Erratum, </w:t>
      </w:r>
      <w:r w:rsidR="004153AE">
        <w:t>47 CFR § 1.40003(a).</w:t>
      </w:r>
      <w:r w:rsidR="005F4CBA">
        <w:t xml:space="preserve">  </w:t>
      </w:r>
    </w:p>
  </w:footnote>
  <w:footnote w:id="7">
    <w:p w:rsidR="002B5056" w:rsidP="00C40033" w14:paraId="1807103E" w14:textId="07AB26A4">
      <w:pPr>
        <w:pStyle w:val="FootnoteText"/>
      </w:pPr>
      <w:r>
        <w:rPr>
          <w:rStyle w:val="FootnoteReference"/>
        </w:rPr>
        <w:footnoteRef/>
      </w:r>
      <w:r>
        <w:t xml:space="preserve"> </w:t>
      </w:r>
      <w:r w:rsidRPr="00B64C1D">
        <w:t>The five categories of information</w:t>
      </w:r>
      <w:r>
        <w:t xml:space="preserve"> are</w:t>
      </w:r>
      <w:r w:rsidRPr="00B64C1D">
        <w:t>: (1) corporate structure and shareholder information; (2) relationships with foreign entities; (3) financial condition and circumstances; (4) compliance with applicable laws and regulations; and (5) business and operational information, including services to be provided and network infrastructure</w:t>
      </w:r>
      <w:r>
        <w:t xml:space="preserve">.  </w:t>
      </w:r>
      <w:r w:rsidRPr="00B64C1D">
        <w:rPr>
          <w:i/>
          <w:iCs/>
        </w:rPr>
        <w:t>Executive Branch Review Orde</w:t>
      </w:r>
      <w:r>
        <w:rPr>
          <w:i/>
          <w:iCs/>
        </w:rPr>
        <w:t xml:space="preserve">r, </w:t>
      </w:r>
      <w:r w:rsidRPr="00B64C1D">
        <w:t xml:space="preserve">at </w:t>
      </w:r>
      <w:r>
        <w:t xml:space="preserve">35 FCC Rcd 10943, </w:t>
      </w:r>
      <w:r w:rsidRPr="00B64C1D">
        <w:t>para. 42</w:t>
      </w:r>
      <w:r>
        <w:t xml:space="preserve">; </w:t>
      </w:r>
      <w:r>
        <w:rPr>
          <w:i/>
          <w:iCs/>
        </w:rPr>
        <w:t xml:space="preserve">see Erratum, </w:t>
      </w:r>
      <w:r>
        <w:t>47 CFR § 1.40003(a).</w:t>
      </w:r>
    </w:p>
  </w:footnote>
  <w:footnote w:id="8">
    <w:p w:rsidR="00A6734B" w:rsidP="00A6734B" w14:paraId="4453FFCC" w14:textId="12BAD26F">
      <w:pPr>
        <w:pStyle w:val="FootnoteText"/>
      </w:pPr>
      <w:r>
        <w:rPr>
          <w:rStyle w:val="FootnoteReference"/>
        </w:rPr>
        <w:footnoteRef/>
      </w:r>
      <w:r>
        <w:t xml:space="preserve"> </w:t>
      </w:r>
      <w:r w:rsidRPr="00B64C1D">
        <w:rPr>
          <w:i/>
          <w:iCs/>
        </w:rPr>
        <w:t>Executive Branch Review Orde</w:t>
      </w:r>
      <w:r>
        <w:rPr>
          <w:i/>
          <w:iCs/>
        </w:rPr>
        <w:t xml:space="preserve">r, </w:t>
      </w:r>
      <w:r>
        <w:t xml:space="preserve">35 FCC Rcd </w:t>
      </w:r>
      <w:r w:rsidR="00536DFF">
        <w:t xml:space="preserve">at </w:t>
      </w:r>
      <w:r>
        <w:t>1094</w:t>
      </w:r>
      <w:r w:rsidR="00274717">
        <w:t>4</w:t>
      </w:r>
      <w:r>
        <w:t xml:space="preserve">, </w:t>
      </w:r>
      <w:r w:rsidRPr="00B64C1D">
        <w:t>para. 4</w:t>
      </w:r>
      <w:r>
        <w:t>5</w:t>
      </w:r>
      <w:r w:rsidR="00F53519">
        <w:t>.</w:t>
      </w:r>
    </w:p>
  </w:footnote>
  <w:footnote w:id="9">
    <w:p w:rsidR="003B61E5" w:rsidP="00C40033" w14:paraId="3913BFFF" w14:textId="4DA63B8C">
      <w:pPr>
        <w:pStyle w:val="FootnoteText"/>
      </w:pPr>
      <w:r>
        <w:rPr>
          <w:rStyle w:val="FootnoteReference"/>
        </w:rPr>
        <w:footnoteRef/>
      </w:r>
      <w:r w:rsidR="00A6734B">
        <w:t xml:space="preserve"> </w:t>
      </w:r>
      <w:r w:rsidR="00A6734B">
        <w:rPr>
          <w:i/>
          <w:iCs/>
        </w:rPr>
        <w:t>Id</w:t>
      </w:r>
      <w:r>
        <w:t>.</w:t>
      </w:r>
    </w:p>
  </w:footnote>
  <w:footnote w:id="10">
    <w:p w:rsidR="004C1CED" w14:paraId="59E2034E" w14:textId="399CC74B">
      <w:pPr>
        <w:pStyle w:val="FootnoteText"/>
      </w:pPr>
      <w:r>
        <w:rPr>
          <w:rStyle w:val="FootnoteReference"/>
        </w:rPr>
        <w:footnoteRef/>
      </w:r>
      <w:r>
        <w:t xml:space="preserve"> </w:t>
      </w:r>
      <w:r>
        <w:rPr>
          <w:i/>
          <w:iCs/>
        </w:rPr>
        <w:t xml:space="preserve">See </w:t>
      </w:r>
      <w:r w:rsidR="008E2D77">
        <w:rPr>
          <w:i/>
          <w:iCs/>
        </w:rPr>
        <w:t xml:space="preserve">id. </w:t>
      </w:r>
      <w:r>
        <w:t>at 10945, para. 47.</w:t>
      </w:r>
    </w:p>
  </w:footnote>
  <w:footnote w:id="11">
    <w:p w:rsidR="008E2D77" w14:paraId="6E10BF8E" w14:textId="752AB8B2">
      <w:pPr>
        <w:pStyle w:val="FootnoteText"/>
      </w:pPr>
      <w:r>
        <w:rPr>
          <w:rStyle w:val="FootnoteReference"/>
        </w:rPr>
        <w:footnoteRef/>
      </w:r>
      <w:r>
        <w:t xml:space="preserve"> </w:t>
      </w:r>
      <w:r>
        <w:rPr>
          <w:i/>
          <w:iCs/>
        </w:rPr>
        <w:t>See id.</w:t>
      </w:r>
      <w:r w:rsidR="00796D99">
        <w:rPr>
          <w:i/>
          <w:iCs/>
        </w:rPr>
        <w:t xml:space="preserve"> </w:t>
      </w:r>
      <w:r>
        <w:t>10945, para. 46.</w:t>
      </w:r>
    </w:p>
  </w:footnote>
  <w:footnote w:id="12">
    <w:p w:rsidR="00082982" w:rsidP="00082982" w14:paraId="42C9E854" w14:textId="77777777">
      <w:pPr>
        <w:pStyle w:val="FootnoteText"/>
      </w:pPr>
      <w:r>
        <w:rPr>
          <w:rStyle w:val="FootnoteReference"/>
          <w:color w:val="000000"/>
        </w:rPr>
        <w:footnoteRef/>
      </w:r>
      <w:r>
        <w:t xml:space="preserve"> 5 U.S.C. § 603.  The RFA, 5 U.S.C. §§ 601-612, has been amended by the Small Business Regulatory Enforcement Fairness Act of 1996, Pub. L. No. 104-121, 110 Stat. 857 (1996). </w:t>
      </w:r>
    </w:p>
  </w:footnote>
  <w:footnote w:id="13">
    <w:p w:rsidR="00082982" w:rsidP="00082982" w14:paraId="56E2A94B" w14:textId="11A2E07A">
      <w:pPr>
        <w:pStyle w:val="FootnoteText"/>
      </w:pPr>
      <w:r>
        <w:rPr>
          <w:rStyle w:val="FootnoteReference"/>
        </w:rPr>
        <w:footnoteRef/>
      </w:r>
      <w:r>
        <w:t xml:space="preserve"> </w:t>
      </w:r>
      <w:r>
        <w:rPr>
          <w:i/>
          <w:iCs/>
        </w:rPr>
        <w:t>Executive Branch Review Order</w:t>
      </w:r>
      <w:r w:rsidRPr="00983882">
        <w:t>,</w:t>
      </w:r>
      <w:r>
        <w:rPr>
          <w:i/>
          <w:iCs/>
        </w:rPr>
        <w:t xml:space="preserve"> </w:t>
      </w:r>
      <w:r>
        <w:t xml:space="preserve">35 FCC Rcd </w:t>
      </w:r>
      <w:r w:rsidR="00536DFF">
        <w:t>at</w:t>
      </w:r>
      <w:r w:rsidR="00D14250">
        <w:t xml:space="preserve"> 10990-11000,</w:t>
      </w:r>
      <w:r>
        <w:t xml:space="preserve"> </w:t>
      </w:r>
      <w:r w:rsidR="00D14250">
        <w:t>A</w:t>
      </w:r>
      <w:r>
        <w:t>pp. C.</w:t>
      </w:r>
    </w:p>
  </w:footnote>
  <w:footnote w:id="14">
    <w:p w:rsidR="00082982" w:rsidP="00082982" w14:paraId="508586B9" w14:textId="77777777">
      <w:pPr>
        <w:pStyle w:val="FootnoteText"/>
      </w:pPr>
      <w:r>
        <w:rPr>
          <w:rStyle w:val="FootnoteReference"/>
          <w:color w:val="000000"/>
        </w:rPr>
        <w:footnoteRef/>
      </w:r>
      <w:r>
        <w:t xml:space="preserve"> </w:t>
      </w:r>
      <w:r>
        <w:rPr>
          <w:i/>
        </w:rPr>
        <w:t xml:space="preserve">See </w:t>
      </w:r>
      <w:r>
        <w:t>5 U.S.C. § 603(a).</w:t>
      </w:r>
    </w:p>
  </w:footnote>
  <w:footnote w:id="15">
    <w:p w:rsidR="00082982" w:rsidP="00082982" w14:paraId="2D8E574D" w14:textId="77777777">
      <w:pPr>
        <w:pStyle w:val="FootnoteText"/>
      </w:pPr>
      <w:r>
        <w:rPr>
          <w:rStyle w:val="FootnoteReference"/>
          <w:color w:val="000000"/>
        </w:rPr>
        <w:footnoteRef/>
      </w:r>
      <w:r>
        <w:t xml:space="preserve"> </w:t>
      </w:r>
      <w:r>
        <w:rPr>
          <w:i/>
        </w:rPr>
        <w:t>See id</w:t>
      </w:r>
      <w:r>
        <w:t>.</w:t>
      </w:r>
    </w:p>
  </w:footnote>
  <w:footnote w:id="16">
    <w:p w:rsidR="005469A4" w:rsidRPr="00815718" w:rsidP="00A6734B" w14:paraId="299A38BE" w14:textId="77777777">
      <w:pPr>
        <w:pStyle w:val="ParaNum"/>
        <w:numPr>
          <w:ilvl w:val="0"/>
          <w:numId w:val="0"/>
        </w:numPr>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Rcd 2788 (2020).</w:t>
      </w:r>
    </w:p>
  </w:footnote>
  <w:footnote w:id="17">
    <w:p w:rsidR="001656D8" w:rsidRPr="00D34029" w:rsidP="00A6734B" w14:paraId="40242E99" w14:textId="77777777">
      <w:pPr>
        <w:pStyle w:val="FootnoteText"/>
      </w:pPr>
      <w:r w:rsidRPr="00BA6228">
        <w:rPr>
          <w:rStyle w:val="FootnoteReference"/>
          <w:sz w:val="20"/>
        </w:rPr>
        <w:footnoteRef/>
      </w:r>
      <w:r w:rsidRPr="00BA6AC3">
        <w:rPr>
          <w:lang w:val="da-DK"/>
        </w:rPr>
        <w:t xml:space="preserve"> 47 CFR §§ 1.1200 </w:t>
      </w:r>
      <w:r w:rsidRPr="00D34029">
        <w:rPr>
          <w:i/>
          <w:iCs/>
          <w:lang w:val="da-DK"/>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22473E" w14:textId="2452A2C2">
    <w:pPr>
      <w:tabs>
        <w:tab w:val="center" w:pos="4680"/>
        <w:tab w:val="right" w:pos="9360"/>
      </w:tabs>
    </w:pPr>
    <w:r w:rsidRPr="009838BC">
      <w:rPr>
        <w:b/>
      </w:rPr>
      <w:tab/>
      <w:t>Federal Communications Commission</w:t>
    </w:r>
    <w:r w:rsidRPr="009838BC">
      <w:rPr>
        <w:b/>
      </w:rPr>
      <w:tab/>
    </w:r>
    <w:r w:rsidR="005861C7">
      <w:rPr>
        <w:b/>
      </w:rPr>
      <w:t>DA 20-1545</w:t>
    </w:r>
  </w:p>
  <w:p w:rsidR="009838BC" w:rsidRPr="009838BC" w:rsidP="009838BC" w14:paraId="6F1405D7" w14:textId="335B86CF">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E30EDA8" w14:textId="77777777">
    <w:pPr>
      <w:spacing w:before="40"/>
      <w:rPr>
        <w:rFonts w:ascii="Arial" w:hAnsi="Arial" w:cs="Arial"/>
        <w:b/>
        <w:sz w:val="20"/>
      </w:rPr>
    </w:pPr>
  </w:p>
  <w:p w:rsidR="003565CD" w14:paraId="560E127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14CD48D" w14:textId="04CB2105">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60C8752">
                          <w:pPr>
                            <w:rPr>
                              <w:rFonts w:ascii="Arial" w:hAnsi="Arial"/>
                              <w:b/>
                            </w:rPr>
                          </w:pPr>
                          <w:r>
                            <w:rPr>
                              <w:rFonts w:ascii="Arial" w:hAnsi="Arial"/>
                              <w:b/>
                            </w:rPr>
                            <w:t xml:space="preserve">45 </w:t>
                          </w:r>
                          <w:r w:rsidR="004A433D">
                            <w:rPr>
                              <w:rFonts w:ascii="Arial" w:hAnsi="Arial"/>
                              <w:b/>
                            </w:rPr>
                            <w:t>L</w:t>
                          </w:r>
                          <w:r>
                            <w:rPr>
                              <w:rFonts w:ascii="Arial" w:hAnsi="Arial"/>
                              <w:b/>
                            </w:rPr>
                            <w:t xml:space="preserve"> St</w:t>
                          </w:r>
                          <w:r w:rsidR="004A433D">
                            <w:rPr>
                              <w:rFonts w:ascii="Arial" w:hAnsi="Arial"/>
                              <w:b/>
                            </w:rPr>
                            <w: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5E8B001" w14:textId="77777777">
                    <w:pPr>
                      <w:rPr>
                        <w:rFonts w:ascii="Arial" w:hAnsi="Arial"/>
                        <w:b/>
                      </w:rPr>
                    </w:pPr>
                    <w:r>
                      <w:rPr>
                        <w:rFonts w:ascii="Arial" w:hAnsi="Arial"/>
                        <w:b/>
                      </w:rPr>
                      <w:t>Federal Communications Commission</w:t>
                    </w:r>
                  </w:p>
                  <w:p w:rsidR="009838BC" w:rsidP="009838BC" w14:paraId="5AB4FA17" w14:textId="560C8752">
                    <w:pPr>
                      <w:rPr>
                        <w:rFonts w:ascii="Arial" w:hAnsi="Arial"/>
                        <w:b/>
                      </w:rPr>
                    </w:pPr>
                    <w:r>
                      <w:rPr>
                        <w:rFonts w:ascii="Arial" w:hAnsi="Arial"/>
                        <w:b/>
                      </w:rPr>
                      <w:t xml:space="preserve">45 </w:t>
                    </w:r>
                    <w:r w:rsidR="004A433D">
                      <w:rPr>
                        <w:rFonts w:ascii="Arial" w:hAnsi="Arial"/>
                        <w:b/>
                      </w:rPr>
                      <w:t>L</w:t>
                    </w:r>
                    <w:r>
                      <w:rPr>
                        <w:rFonts w:ascii="Arial" w:hAnsi="Arial"/>
                        <w:b/>
                      </w:rPr>
                      <w:t xml:space="preserve"> St</w:t>
                    </w:r>
                    <w:r w:rsidR="004A433D">
                      <w:rPr>
                        <w:rFonts w:ascii="Arial" w:hAnsi="Arial"/>
                        <w:b/>
                      </w:rPr>
                      <w:t>reet NE</w:t>
                    </w:r>
                  </w:p>
                  <w:p w:rsidR="009838BC" w:rsidP="009838BC" w14:paraId="6BEB3B7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54837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B830594" w14:textId="40B9CAC8">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6" w:name="_Hlt233824"/>
                          <w:hyperlink r:id="rId2" w:history="1">
                            <w:r w:rsidRPr="00D216CD">
                              <w:rPr>
                                <w:rStyle w:val="Hyperlink"/>
                                <w:rFonts w:ascii="Arial" w:hAnsi="Arial"/>
                                <w:b/>
                                <w:sz w:val="16"/>
                              </w:rPr>
                              <w:t>h</w:t>
                            </w:r>
                            <w:bookmarkEnd w:id="16"/>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593E775" w14:textId="77777777">
                    <w:pPr>
                      <w:spacing w:before="40"/>
                      <w:jc w:val="right"/>
                      <w:rPr>
                        <w:rFonts w:ascii="Arial" w:hAnsi="Arial"/>
                        <w:b/>
                        <w:sz w:val="16"/>
                      </w:rPr>
                    </w:pPr>
                    <w:r>
                      <w:rPr>
                        <w:rFonts w:ascii="Arial" w:hAnsi="Arial"/>
                        <w:b/>
                        <w:sz w:val="16"/>
                      </w:rPr>
                      <w:t>News Media Information 202 / 418-0500</w:t>
                    </w:r>
                  </w:p>
                  <w:p w:rsidR="009838BC" w:rsidP="009838BC" w14:paraId="662341BA" w14:textId="77777777">
                    <w:pPr>
                      <w:jc w:val="right"/>
                      <w:rPr>
                        <w:rFonts w:ascii="Arial" w:hAnsi="Arial"/>
                        <w:b/>
                        <w:sz w:val="16"/>
                      </w:rPr>
                    </w:pPr>
                    <w:r>
                      <w:rPr>
                        <w:rFonts w:ascii="Arial" w:hAnsi="Arial"/>
                        <w:b/>
                        <w:sz w:val="16"/>
                      </w:rPr>
                      <w:t xml:space="preserve">Internet: </w:t>
                    </w:r>
                    <w:bookmarkStart w:id="16" w:name="_Hlt233824"/>
                    <w:hyperlink r:id="rId2" w:history="1">
                      <w:r w:rsidRPr="00D216CD">
                        <w:rPr>
                          <w:rStyle w:val="Hyperlink"/>
                          <w:rFonts w:ascii="Arial" w:hAnsi="Arial"/>
                          <w:b/>
                          <w:sz w:val="16"/>
                        </w:rPr>
                        <w:t>h</w:t>
                      </w:r>
                      <w:bookmarkEnd w:id="16"/>
                      <w:r w:rsidRPr="00D216CD">
                        <w:rPr>
                          <w:rStyle w:val="Hyperlink"/>
                          <w:rFonts w:ascii="Arial" w:hAnsi="Arial"/>
                          <w:b/>
                          <w:sz w:val="16"/>
                        </w:rPr>
                        <w:t>ttps://www.fcc.gov</w:t>
                      </w:r>
                    </w:hyperlink>
                  </w:p>
                  <w:p w:rsidR="009838BC" w:rsidP="009838BC" w14:paraId="719D6EAF" w14:textId="77777777">
                    <w:pPr>
                      <w:jc w:val="right"/>
                    </w:pPr>
                    <w:r>
                      <w:rPr>
                        <w:rFonts w:ascii="Arial" w:hAnsi="Arial"/>
                        <w:b/>
                        <w:sz w:val="16"/>
                      </w:rPr>
                      <w:t>TTY: 1-888-835-5322</w:t>
                    </w:r>
                  </w:p>
                </w:txbxContent>
              </v:textbox>
            </v:shape>
          </w:pict>
        </mc:Fallback>
      </mc:AlternateContent>
    </w:r>
  </w:p>
  <w:p w:rsidR="006F7393" w:rsidRPr="009838BC" w:rsidP="009838BC" w14:paraId="4C79EF3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F93AD0"/>
    <w:multiLevelType w:val="hybridMultilevel"/>
    <w:tmpl w:val="F43E91B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102456B4"/>
    <w:multiLevelType w:val="hybridMultilevel"/>
    <w:tmpl w:val="7B1C5E34"/>
    <w:lvl w:ilvl="0">
      <w:start w:val="1"/>
      <w:numFmt w:val="decimal"/>
      <w:lvlText w:val="(%1)"/>
      <w:lvlJc w:val="left"/>
      <w:pPr>
        <w:ind w:left="1440" w:hanging="360"/>
      </w:pPr>
      <w:rPr>
        <w:rFonts w:cs="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9EA3D66"/>
    <w:multiLevelType w:val="hybridMultilevel"/>
    <w:tmpl w:val="C040CE10"/>
    <w:lvl w:ilvl="0">
      <w:start w:val="4"/>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FEC7B0D"/>
    <w:multiLevelType w:val="hybridMultilevel"/>
    <w:tmpl w:val="8B9A0C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9"/>
  </w:num>
  <w:num w:numId="9">
    <w:abstractNumId w:val="10"/>
  </w:num>
  <w:num w:numId="10">
    <w:abstractNumId w:val="2"/>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3D"/>
    <w:rsid w:val="000072CE"/>
    <w:rsid w:val="00013A8B"/>
    <w:rsid w:val="00014679"/>
    <w:rsid w:val="00021445"/>
    <w:rsid w:val="000216D5"/>
    <w:rsid w:val="00024809"/>
    <w:rsid w:val="00036039"/>
    <w:rsid w:val="00037F90"/>
    <w:rsid w:val="00061CA4"/>
    <w:rsid w:val="00082982"/>
    <w:rsid w:val="00083C81"/>
    <w:rsid w:val="00084392"/>
    <w:rsid w:val="000875BF"/>
    <w:rsid w:val="00087EA8"/>
    <w:rsid w:val="0009251E"/>
    <w:rsid w:val="000959DF"/>
    <w:rsid w:val="00096D8C"/>
    <w:rsid w:val="000B29F8"/>
    <w:rsid w:val="000C0B65"/>
    <w:rsid w:val="000E3D42"/>
    <w:rsid w:val="000E5884"/>
    <w:rsid w:val="000F7F8F"/>
    <w:rsid w:val="001028C9"/>
    <w:rsid w:val="00110668"/>
    <w:rsid w:val="0011695B"/>
    <w:rsid w:val="00122BD5"/>
    <w:rsid w:val="00125B75"/>
    <w:rsid w:val="00161B3D"/>
    <w:rsid w:val="001656D8"/>
    <w:rsid w:val="00167107"/>
    <w:rsid w:val="00185ADA"/>
    <w:rsid w:val="0019421D"/>
    <w:rsid w:val="0019701E"/>
    <w:rsid w:val="001979D9"/>
    <w:rsid w:val="001A6CD5"/>
    <w:rsid w:val="001D6BCF"/>
    <w:rsid w:val="001E01CA"/>
    <w:rsid w:val="00205956"/>
    <w:rsid w:val="002060D9"/>
    <w:rsid w:val="002153EB"/>
    <w:rsid w:val="00224480"/>
    <w:rsid w:val="00226822"/>
    <w:rsid w:val="002459CD"/>
    <w:rsid w:val="00260594"/>
    <w:rsid w:val="002728C1"/>
    <w:rsid w:val="00274717"/>
    <w:rsid w:val="00285017"/>
    <w:rsid w:val="002A2D2E"/>
    <w:rsid w:val="002A3E3A"/>
    <w:rsid w:val="002A493B"/>
    <w:rsid w:val="002B5056"/>
    <w:rsid w:val="002B791D"/>
    <w:rsid w:val="002C2584"/>
    <w:rsid w:val="002F550C"/>
    <w:rsid w:val="0030544A"/>
    <w:rsid w:val="003055C0"/>
    <w:rsid w:val="003107A1"/>
    <w:rsid w:val="00315009"/>
    <w:rsid w:val="003174FE"/>
    <w:rsid w:val="00320D1E"/>
    <w:rsid w:val="00322A91"/>
    <w:rsid w:val="00326D52"/>
    <w:rsid w:val="003317BE"/>
    <w:rsid w:val="003321D7"/>
    <w:rsid w:val="00341D89"/>
    <w:rsid w:val="00343749"/>
    <w:rsid w:val="003565CD"/>
    <w:rsid w:val="00357D50"/>
    <w:rsid w:val="003755B5"/>
    <w:rsid w:val="00392158"/>
    <w:rsid w:val="003925DC"/>
    <w:rsid w:val="003B0550"/>
    <w:rsid w:val="003B61E5"/>
    <w:rsid w:val="003B694F"/>
    <w:rsid w:val="003C4AC4"/>
    <w:rsid w:val="003C74B9"/>
    <w:rsid w:val="003F171C"/>
    <w:rsid w:val="004011F3"/>
    <w:rsid w:val="00403DB3"/>
    <w:rsid w:val="00412FC5"/>
    <w:rsid w:val="004153AE"/>
    <w:rsid w:val="00422276"/>
    <w:rsid w:val="004242F1"/>
    <w:rsid w:val="00424E36"/>
    <w:rsid w:val="00430D68"/>
    <w:rsid w:val="00434887"/>
    <w:rsid w:val="00435351"/>
    <w:rsid w:val="00445A00"/>
    <w:rsid w:val="00451B0F"/>
    <w:rsid w:val="0046125F"/>
    <w:rsid w:val="00472DB5"/>
    <w:rsid w:val="004761C9"/>
    <w:rsid w:val="00482BD5"/>
    <w:rsid w:val="00487524"/>
    <w:rsid w:val="00493F1B"/>
    <w:rsid w:val="00496106"/>
    <w:rsid w:val="004A433D"/>
    <w:rsid w:val="004C12D0"/>
    <w:rsid w:val="004C1CED"/>
    <w:rsid w:val="004C2EE3"/>
    <w:rsid w:val="004E4A22"/>
    <w:rsid w:val="004F5362"/>
    <w:rsid w:val="00510944"/>
    <w:rsid w:val="00511968"/>
    <w:rsid w:val="00534AD5"/>
    <w:rsid w:val="00536DFF"/>
    <w:rsid w:val="0054181C"/>
    <w:rsid w:val="005469A4"/>
    <w:rsid w:val="0055614C"/>
    <w:rsid w:val="0055742A"/>
    <w:rsid w:val="0056120F"/>
    <w:rsid w:val="00561DA8"/>
    <w:rsid w:val="00583FF3"/>
    <w:rsid w:val="005861C7"/>
    <w:rsid w:val="005962AD"/>
    <w:rsid w:val="005D4202"/>
    <w:rsid w:val="005F4CBA"/>
    <w:rsid w:val="00604C61"/>
    <w:rsid w:val="00607BA5"/>
    <w:rsid w:val="00626EB6"/>
    <w:rsid w:val="00633D9B"/>
    <w:rsid w:val="006353A3"/>
    <w:rsid w:val="00645747"/>
    <w:rsid w:val="00655D03"/>
    <w:rsid w:val="00662EA9"/>
    <w:rsid w:val="00662F80"/>
    <w:rsid w:val="006649CA"/>
    <w:rsid w:val="006712CF"/>
    <w:rsid w:val="0067355D"/>
    <w:rsid w:val="00683F84"/>
    <w:rsid w:val="006A264A"/>
    <w:rsid w:val="006A57B0"/>
    <w:rsid w:val="006A6A81"/>
    <w:rsid w:val="006D4166"/>
    <w:rsid w:val="006E26AF"/>
    <w:rsid w:val="006F7319"/>
    <w:rsid w:val="006F7393"/>
    <w:rsid w:val="0070224F"/>
    <w:rsid w:val="007115F7"/>
    <w:rsid w:val="00731F24"/>
    <w:rsid w:val="00750FA9"/>
    <w:rsid w:val="00772BE4"/>
    <w:rsid w:val="007811C2"/>
    <w:rsid w:val="007828B8"/>
    <w:rsid w:val="00785689"/>
    <w:rsid w:val="007915A2"/>
    <w:rsid w:val="00796D99"/>
    <w:rsid w:val="0079754B"/>
    <w:rsid w:val="00797A9C"/>
    <w:rsid w:val="007A1E6D"/>
    <w:rsid w:val="007B56C8"/>
    <w:rsid w:val="007B5F25"/>
    <w:rsid w:val="007C45EE"/>
    <w:rsid w:val="007C4E02"/>
    <w:rsid w:val="00803FEA"/>
    <w:rsid w:val="008110C2"/>
    <w:rsid w:val="00815718"/>
    <w:rsid w:val="00822CE0"/>
    <w:rsid w:val="00824733"/>
    <w:rsid w:val="00830AFE"/>
    <w:rsid w:val="00837C62"/>
    <w:rsid w:val="00841AB1"/>
    <w:rsid w:val="00847A03"/>
    <w:rsid w:val="00853E54"/>
    <w:rsid w:val="008778CD"/>
    <w:rsid w:val="008937FE"/>
    <w:rsid w:val="008943A1"/>
    <w:rsid w:val="008B0D56"/>
    <w:rsid w:val="008B19D4"/>
    <w:rsid w:val="008B6563"/>
    <w:rsid w:val="008C22FD"/>
    <w:rsid w:val="008E2D77"/>
    <w:rsid w:val="00910F12"/>
    <w:rsid w:val="009126AE"/>
    <w:rsid w:val="00914194"/>
    <w:rsid w:val="009257DE"/>
    <w:rsid w:val="00926503"/>
    <w:rsid w:val="00930ECF"/>
    <w:rsid w:val="00960F02"/>
    <w:rsid w:val="009622D2"/>
    <w:rsid w:val="00965C47"/>
    <w:rsid w:val="00983882"/>
    <w:rsid w:val="009838BC"/>
    <w:rsid w:val="00985DB9"/>
    <w:rsid w:val="00991B19"/>
    <w:rsid w:val="009A0E00"/>
    <w:rsid w:val="009A257A"/>
    <w:rsid w:val="009D0A1F"/>
    <w:rsid w:val="009D5099"/>
    <w:rsid w:val="009D63D4"/>
    <w:rsid w:val="00A10C73"/>
    <w:rsid w:val="00A33411"/>
    <w:rsid w:val="00A34F3A"/>
    <w:rsid w:val="00A43139"/>
    <w:rsid w:val="00A45F4F"/>
    <w:rsid w:val="00A47B7F"/>
    <w:rsid w:val="00A55486"/>
    <w:rsid w:val="00A600A9"/>
    <w:rsid w:val="00A605B0"/>
    <w:rsid w:val="00A6734B"/>
    <w:rsid w:val="00A7696E"/>
    <w:rsid w:val="00A77B4B"/>
    <w:rsid w:val="00A80CFF"/>
    <w:rsid w:val="00A84465"/>
    <w:rsid w:val="00A8559F"/>
    <w:rsid w:val="00A858A2"/>
    <w:rsid w:val="00A866AC"/>
    <w:rsid w:val="00A8732E"/>
    <w:rsid w:val="00A876E5"/>
    <w:rsid w:val="00AA0495"/>
    <w:rsid w:val="00AA55B7"/>
    <w:rsid w:val="00AA5B9E"/>
    <w:rsid w:val="00AB2407"/>
    <w:rsid w:val="00AB53DF"/>
    <w:rsid w:val="00AC3ADC"/>
    <w:rsid w:val="00AC5962"/>
    <w:rsid w:val="00B07E5C"/>
    <w:rsid w:val="00B326E3"/>
    <w:rsid w:val="00B41251"/>
    <w:rsid w:val="00B533BF"/>
    <w:rsid w:val="00B57E64"/>
    <w:rsid w:val="00B6007D"/>
    <w:rsid w:val="00B64C1D"/>
    <w:rsid w:val="00B811F7"/>
    <w:rsid w:val="00B850FD"/>
    <w:rsid w:val="00B97556"/>
    <w:rsid w:val="00BA536B"/>
    <w:rsid w:val="00BA5DC6"/>
    <w:rsid w:val="00BA6196"/>
    <w:rsid w:val="00BA6AC3"/>
    <w:rsid w:val="00BB12ED"/>
    <w:rsid w:val="00BC449C"/>
    <w:rsid w:val="00BC6D8C"/>
    <w:rsid w:val="00BD5250"/>
    <w:rsid w:val="00BE12AD"/>
    <w:rsid w:val="00BF579D"/>
    <w:rsid w:val="00BF7E48"/>
    <w:rsid w:val="00C00ABC"/>
    <w:rsid w:val="00C16AF2"/>
    <w:rsid w:val="00C21F4E"/>
    <w:rsid w:val="00C323B4"/>
    <w:rsid w:val="00C34006"/>
    <w:rsid w:val="00C40033"/>
    <w:rsid w:val="00C41D9E"/>
    <w:rsid w:val="00C426B1"/>
    <w:rsid w:val="00C444A4"/>
    <w:rsid w:val="00C527F3"/>
    <w:rsid w:val="00C82B6B"/>
    <w:rsid w:val="00C90D6A"/>
    <w:rsid w:val="00CB0165"/>
    <w:rsid w:val="00CC72B6"/>
    <w:rsid w:val="00CF2A9E"/>
    <w:rsid w:val="00D0218D"/>
    <w:rsid w:val="00D14250"/>
    <w:rsid w:val="00D2053C"/>
    <w:rsid w:val="00D216CD"/>
    <w:rsid w:val="00D34029"/>
    <w:rsid w:val="00D4121D"/>
    <w:rsid w:val="00D51850"/>
    <w:rsid w:val="00D5776C"/>
    <w:rsid w:val="00D60CF2"/>
    <w:rsid w:val="00D63B14"/>
    <w:rsid w:val="00D73717"/>
    <w:rsid w:val="00D82E4D"/>
    <w:rsid w:val="00DA2529"/>
    <w:rsid w:val="00DA6318"/>
    <w:rsid w:val="00DA657F"/>
    <w:rsid w:val="00DB130A"/>
    <w:rsid w:val="00DC10A1"/>
    <w:rsid w:val="00DC655F"/>
    <w:rsid w:val="00DD7EBD"/>
    <w:rsid w:val="00DF62B6"/>
    <w:rsid w:val="00DF720F"/>
    <w:rsid w:val="00E03384"/>
    <w:rsid w:val="00E07225"/>
    <w:rsid w:val="00E10A1C"/>
    <w:rsid w:val="00E155B7"/>
    <w:rsid w:val="00E5409F"/>
    <w:rsid w:val="00E66ED8"/>
    <w:rsid w:val="00E817ED"/>
    <w:rsid w:val="00E85378"/>
    <w:rsid w:val="00EA5253"/>
    <w:rsid w:val="00EB3A3A"/>
    <w:rsid w:val="00EB4E13"/>
    <w:rsid w:val="00EC0185"/>
    <w:rsid w:val="00EC41F6"/>
    <w:rsid w:val="00EF14C4"/>
    <w:rsid w:val="00EF4A7F"/>
    <w:rsid w:val="00F01A8E"/>
    <w:rsid w:val="00F021FA"/>
    <w:rsid w:val="00F20601"/>
    <w:rsid w:val="00F30D6B"/>
    <w:rsid w:val="00F361DE"/>
    <w:rsid w:val="00F36D8E"/>
    <w:rsid w:val="00F42D2A"/>
    <w:rsid w:val="00F506FA"/>
    <w:rsid w:val="00F53082"/>
    <w:rsid w:val="00F53519"/>
    <w:rsid w:val="00F55479"/>
    <w:rsid w:val="00F57ACA"/>
    <w:rsid w:val="00F62E97"/>
    <w:rsid w:val="00F64209"/>
    <w:rsid w:val="00F9181F"/>
    <w:rsid w:val="00F93BF5"/>
    <w:rsid w:val="00F96F63"/>
    <w:rsid w:val="00FA1DD7"/>
    <w:rsid w:val="00FB41E3"/>
    <w:rsid w:val="00FD1502"/>
    <w:rsid w:val="00FD41FB"/>
    <w:rsid w:val="00FD6DB2"/>
    <w:rsid w:val="00FE24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D7CAB8-E340-4A61-934D-07CA26FE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C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 Char Char Char,Footnote Text Char1,Footnote Text Char1 Char,Footnote Text Char1 Char Char Char,Footnote Text Char1 Char Char Char Char Char,f,fn,rrfootnote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C21F4E"/>
    <w:rPr>
      <w:rFonts w:ascii="Segoe UI" w:hAnsi="Segoe UI" w:cs="Segoe UI"/>
      <w:sz w:val="18"/>
      <w:szCs w:val="18"/>
    </w:rPr>
  </w:style>
  <w:style w:type="character" w:customStyle="1" w:styleId="BalloonTextChar">
    <w:name w:val="Balloon Text Char"/>
    <w:link w:val="BalloonText"/>
    <w:uiPriority w:val="99"/>
    <w:semiHidden/>
    <w:rsid w:val="00C21F4E"/>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link w:val="FootnoteText"/>
    <w:rsid w:val="001656D8"/>
  </w:style>
  <w:style w:type="paragraph" w:styleId="BodyText">
    <w:name w:val="Body Text"/>
    <w:basedOn w:val="Normal"/>
    <w:link w:val="BodyTextChar"/>
    <w:uiPriority w:val="1"/>
    <w:qFormat/>
    <w:rsid w:val="001656D8"/>
    <w:pPr>
      <w:autoSpaceDE w:val="0"/>
      <w:autoSpaceDN w:val="0"/>
      <w:adjustRightInd w:val="0"/>
      <w:ind w:left="109"/>
    </w:pPr>
    <w:rPr>
      <w:snapToGrid/>
      <w:kern w:val="0"/>
      <w:sz w:val="21"/>
      <w:szCs w:val="21"/>
    </w:rPr>
  </w:style>
  <w:style w:type="character" w:customStyle="1" w:styleId="BodyTextChar">
    <w:name w:val="Body Text Char"/>
    <w:link w:val="BodyText"/>
    <w:uiPriority w:val="1"/>
    <w:rsid w:val="001656D8"/>
    <w:rPr>
      <w:sz w:val="21"/>
      <w:szCs w:val="21"/>
    </w:rPr>
  </w:style>
  <w:style w:type="character" w:customStyle="1" w:styleId="ParaNumChar1">
    <w:name w:val="ParaNum Char1"/>
    <w:link w:val="ParaNum"/>
    <w:locked/>
    <w:rsid w:val="001656D8"/>
    <w:rPr>
      <w:snapToGrid w:val="0"/>
      <w:kern w:val="28"/>
      <w:sz w:val="22"/>
    </w:rPr>
  </w:style>
  <w:style w:type="paragraph" w:styleId="Revision">
    <w:name w:val="Revision"/>
    <w:hidden/>
    <w:uiPriority w:val="99"/>
    <w:semiHidden/>
    <w:rsid w:val="00A6734B"/>
    <w:rPr>
      <w:snapToGrid w:val="0"/>
      <w:kern w:val="28"/>
      <w:sz w:val="22"/>
    </w:rPr>
  </w:style>
  <w:style w:type="character" w:styleId="CommentReference">
    <w:name w:val="annotation reference"/>
    <w:basedOn w:val="DefaultParagraphFont"/>
    <w:uiPriority w:val="99"/>
    <w:semiHidden/>
    <w:unhideWhenUsed/>
    <w:rsid w:val="00985DB9"/>
    <w:rPr>
      <w:sz w:val="16"/>
      <w:szCs w:val="16"/>
    </w:rPr>
  </w:style>
  <w:style w:type="paragraph" w:styleId="CommentText">
    <w:name w:val="annotation text"/>
    <w:basedOn w:val="Normal"/>
    <w:link w:val="CommentTextChar"/>
    <w:uiPriority w:val="99"/>
    <w:semiHidden/>
    <w:unhideWhenUsed/>
    <w:rsid w:val="00985DB9"/>
    <w:rPr>
      <w:sz w:val="20"/>
    </w:rPr>
  </w:style>
  <w:style w:type="character" w:customStyle="1" w:styleId="CommentTextChar">
    <w:name w:val="Comment Text Char"/>
    <w:basedOn w:val="DefaultParagraphFont"/>
    <w:link w:val="CommentText"/>
    <w:uiPriority w:val="99"/>
    <w:semiHidden/>
    <w:rsid w:val="00985DB9"/>
    <w:rPr>
      <w:snapToGrid w:val="0"/>
      <w:kern w:val="28"/>
    </w:rPr>
  </w:style>
  <w:style w:type="paragraph" w:styleId="CommentSubject">
    <w:name w:val="annotation subject"/>
    <w:basedOn w:val="CommentText"/>
    <w:next w:val="CommentText"/>
    <w:link w:val="CommentSubjectChar"/>
    <w:uiPriority w:val="99"/>
    <w:semiHidden/>
    <w:unhideWhenUsed/>
    <w:rsid w:val="00985DB9"/>
    <w:rPr>
      <w:b/>
      <w:bCs/>
    </w:rPr>
  </w:style>
  <w:style w:type="character" w:customStyle="1" w:styleId="CommentSubjectChar">
    <w:name w:val="Comment Subject Char"/>
    <w:basedOn w:val="CommentTextChar"/>
    <w:link w:val="CommentSubject"/>
    <w:uiPriority w:val="99"/>
    <w:semiHidden/>
    <w:rsid w:val="00985DB9"/>
    <w:rPr>
      <w:b/>
      <w:bCs/>
      <w:snapToGrid w:val="0"/>
      <w:kern w:val="28"/>
    </w:rPr>
  </w:style>
  <w:style w:type="character" w:customStyle="1" w:styleId="UnresolvedMention">
    <w:name w:val="Unresolved Mention"/>
    <w:basedOn w:val="DefaultParagraphFont"/>
    <w:uiPriority w:val="99"/>
    <w:semiHidden/>
    <w:unhideWhenUsed/>
    <w:rsid w:val="00FD6DB2"/>
    <w:rPr>
      <w:color w:val="605E5C"/>
      <w:shd w:val="clear" w:color="auto" w:fill="E1DFDD"/>
    </w:rPr>
  </w:style>
  <w:style w:type="character" w:customStyle="1" w:styleId="ParaNumChar">
    <w:name w:val="ParaNum Char"/>
    <w:locked/>
    <w:rsid w:val="00082982"/>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Arthur.Lechtman@fcc.gov" TargetMode="External" /><Relationship Id="rId8" Type="http://schemas.openxmlformats.org/officeDocument/2006/relationships/hyperlink" Target="mailto:David.Krech@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