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RPr="00A86BD2" w:rsidP="00013A8B" w14:paraId="74F054CE" w14:textId="61CA38D6">
      <w:pPr>
        <w:jc w:val="right"/>
        <w:rPr>
          <w:b/>
          <w:szCs w:val="22"/>
        </w:rPr>
      </w:pPr>
      <w:r w:rsidRPr="00A86BD2">
        <w:rPr>
          <w:b/>
          <w:szCs w:val="22"/>
        </w:rPr>
        <w:t>DA 20-</w:t>
      </w:r>
      <w:r w:rsidR="00555AED">
        <w:rPr>
          <w:b/>
          <w:szCs w:val="22"/>
        </w:rPr>
        <w:t>166</w:t>
      </w:r>
    </w:p>
    <w:p w:rsidR="00013A8B" w:rsidP="00013A8B" w14:paraId="42F25999" w14:textId="0F2F3913">
      <w:pPr>
        <w:spacing w:before="60"/>
        <w:jc w:val="right"/>
        <w:rPr>
          <w:b/>
          <w:szCs w:val="22"/>
        </w:rPr>
      </w:pPr>
      <w:r w:rsidRPr="00A86BD2">
        <w:rPr>
          <w:b/>
          <w:szCs w:val="22"/>
        </w:rPr>
        <w:t xml:space="preserve">Released:  </w:t>
      </w:r>
      <w:r w:rsidR="00824DF8">
        <w:rPr>
          <w:b/>
          <w:szCs w:val="22"/>
        </w:rPr>
        <w:t xml:space="preserve">February </w:t>
      </w:r>
      <w:r w:rsidR="009F7C81">
        <w:rPr>
          <w:b/>
          <w:szCs w:val="22"/>
        </w:rPr>
        <w:t>26</w:t>
      </w:r>
      <w:r w:rsidR="00824DF8">
        <w:rPr>
          <w:b/>
          <w:szCs w:val="22"/>
        </w:rPr>
        <w:t>, 2020</w:t>
      </w:r>
    </w:p>
    <w:p w:rsidR="00013A8B" w:rsidRPr="00A86BD2" w:rsidP="00013A8B" w14:paraId="666418AC" w14:textId="77777777">
      <w:pPr>
        <w:jc w:val="right"/>
        <w:rPr>
          <w:szCs w:val="22"/>
        </w:rPr>
      </w:pPr>
    </w:p>
    <w:p w:rsidR="00013A8B" w:rsidRPr="00A86BD2" w:rsidP="00013A8B" w14:paraId="29137360" w14:textId="45A332DF">
      <w:pPr>
        <w:spacing w:after="240"/>
        <w:jc w:val="center"/>
        <w:rPr>
          <w:rFonts w:ascii="Times New Roman Bold" w:hAnsi="Times New Roman Bold"/>
          <w:b/>
          <w:caps/>
          <w:szCs w:val="22"/>
        </w:rPr>
      </w:pPr>
      <w:bookmarkStart w:id="0" w:name="_Hlk32913897"/>
      <w:r w:rsidRPr="00A86BD2">
        <w:rPr>
          <w:rFonts w:ascii="Times New Roman Bold" w:hAnsi="Times New Roman Bold"/>
          <w:b/>
          <w:caps/>
          <w:szCs w:val="22"/>
        </w:rPr>
        <w:t xml:space="preserve">wireline competition bureau </w:t>
      </w:r>
      <w:r w:rsidR="004362FE">
        <w:rPr>
          <w:rFonts w:ascii="Times New Roman Bold" w:hAnsi="Times New Roman Bold"/>
          <w:b/>
          <w:caps/>
          <w:szCs w:val="22"/>
        </w:rPr>
        <w:t>and office of economics and analytics OPEN</w:t>
      </w:r>
      <w:r w:rsidRPr="00A86BD2" w:rsidR="004362FE">
        <w:rPr>
          <w:rFonts w:ascii="Times New Roman Bold" w:hAnsi="Times New Roman Bold"/>
          <w:b/>
          <w:caps/>
          <w:szCs w:val="22"/>
        </w:rPr>
        <w:t xml:space="preserve"> </w:t>
      </w:r>
      <w:r w:rsidRPr="00A86BD2">
        <w:rPr>
          <w:rFonts w:ascii="Times New Roman Bold" w:hAnsi="Times New Roman Bold"/>
          <w:b/>
          <w:caps/>
          <w:szCs w:val="22"/>
        </w:rPr>
        <w:t xml:space="preserve">reporting portal </w:t>
      </w:r>
      <w:r w:rsidRPr="00A86BD2" w:rsidR="00FF0B2D">
        <w:rPr>
          <w:rFonts w:ascii="Times New Roman Bold" w:hAnsi="Times New Roman Bold"/>
          <w:b/>
          <w:caps/>
          <w:szCs w:val="22"/>
        </w:rPr>
        <w:t>For</w:t>
      </w:r>
      <w:r w:rsidRPr="00A86BD2">
        <w:rPr>
          <w:rFonts w:ascii="Times New Roman Bold" w:hAnsi="Times New Roman Bold"/>
          <w:b/>
          <w:caps/>
          <w:szCs w:val="22"/>
        </w:rPr>
        <w:t xml:space="preserve"> supply chain security</w:t>
      </w:r>
      <w:r w:rsidR="004362FE">
        <w:rPr>
          <w:rFonts w:ascii="Times New Roman Bold" w:hAnsi="Times New Roman Bold"/>
          <w:b/>
          <w:caps/>
          <w:szCs w:val="22"/>
        </w:rPr>
        <w:t xml:space="preserve"> </w:t>
      </w:r>
      <w:r w:rsidR="003F41C3">
        <w:rPr>
          <w:rFonts w:ascii="Times New Roman Bold" w:hAnsi="Times New Roman Bold"/>
          <w:b/>
          <w:caps/>
          <w:szCs w:val="22"/>
        </w:rPr>
        <w:br/>
      </w:r>
      <w:r w:rsidR="004362FE">
        <w:rPr>
          <w:rFonts w:ascii="Times New Roman Bold" w:hAnsi="Times New Roman Bold"/>
          <w:b/>
          <w:caps/>
          <w:szCs w:val="22"/>
        </w:rPr>
        <w:t>INFORMATION COLLECTION</w:t>
      </w:r>
    </w:p>
    <w:bookmarkEnd w:id="0"/>
    <w:p w:rsidR="00013A8B" w:rsidRPr="0021690B" w:rsidP="00013A8B" w14:paraId="6A3DEB23" w14:textId="4E03F548">
      <w:pPr>
        <w:spacing w:after="240"/>
        <w:jc w:val="center"/>
        <w:rPr>
          <w:b/>
          <w:i/>
          <w:iCs/>
          <w:szCs w:val="22"/>
        </w:rPr>
      </w:pPr>
      <w:r w:rsidRPr="0021690B">
        <w:rPr>
          <w:b/>
          <w:i/>
          <w:iCs/>
          <w:szCs w:val="22"/>
        </w:rPr>
        <w:t xml:space="preserve">Requires Eligible Telecommunications Carriers to </w:t>
      </w:r>
      <w:r w:rsidR="00BC12BB">
        <w:rPr>
          <w:b/>
          <w:i/>
          <w:iCs/>
          <w:szCs w:val="22"/>
        </w:rPr>
        <w:t>R</w:t>
      </w:r>
      <w:r w:rsidRPr="0021690B">
        <w:rPr>
          <w:b/>
          <w:i/>
          <w:iCs/>
          <w:szCs w:val="22"/>
        </w:rPr>
        <w:t>eport</w:t>
      </w:r>
      <w:r w:rsidRPr="0021690B" w:rsidR="00DB380F">
        <w:rPr>
          <w:b/>
          <w:i/>
          <w:iCs/>
          <w:szCs w:val="22"/>
        </w:rPr>
        <w:t xml:space="preserve"> </w:t>
      </w:r>
      <w:r w:rsidRPr="0021690B" w:rsidR="005E3E8B">
        <w:rPr>
          <w:b/>
          <w:i/>
          <w:iCs/>
          <w:szCs w:val="22"/>
        </w:rPr>
        <w:br/>
      </w:r>
      <w:r w:rsidR="00BC12BB">
        <w:rPr>
          <w:b/>
          <w:i/>
          <w:iCs/>
          <w:szCs w:val="22"/>
        </w:rPr>
        <w:t>E</w:t>
      </w:r>
      <w:r w:rsidRPr="0021690B" w:rsidR="00DB380F">
        <w:rPr>
          <w:b/>
          <w:i/>
          <w:iCs/>
          <w:szCs w:val="22"/>
        </w:rPr>
        <w:t>xisting</w:t>
      </w:r>
      <w:r w:rsidRPr="0021690B">
        <w:rPr>
          <w:b/>
          <w:i/>
          <w:iCs/>
          <w:szCs w:val="22"/>
        </w:rPr>
        <w:t xml:space="preserve"> </w:t>
      </w:r>
      <w:r w:rsidRPr="0021690B" w:rsidR="005E3E8B">
        <w:rPr>
          <w:b/>
          <w:i/>
          <w:iCs/>
          <w:szCs w:val="22"/>
        </w:rPr>
        <w:t xml:space="preserve">Huawei and ZTE </w:t>
      </w:r>
      <w:r w:rsidR="00BC12BB">
        <w:rPr>
          <w:b/>
          <w:i/>
          <w:iCs/>
          <w:szCs w:val="22"/>
        </w:rPr>
        <w:t>E</w:t>
      </w:r>
      <w:r w:rsidRPr="0021690B">
        <w:rPr>
          <w:b/>
          <w:i/>
          <w:iCs/>
          <w:szCs w:val="22"/>
        </w:rPr>
        <w:t xml:space="preserve">quipment </w:t>
      </w:r>
      <w:r w:rsidRPr="0021690B" w:rsidR="008D0479">
        <w:rPr>
          <w:b/>
          <w:i/>
          <w:iCs/>
          <w:szCs w:val="22"/>
        </w:rPr>
        <w:t xml:space="preserve">and </w:t>
      </w:r>
      <w:r w:rsidR="00BC12BB">
        <w:rPr>
          <w:b/>
          <w:i/>
          <w:iCs/>
          <w:szCs w:val="22"/>
        </w:rPr>
        <w:t>S</w:t>
      </w:r>
      <w:r w:rsidRPr="0021690B" w:rsidR="008D0479">
        <w:rPr>
          <w:b/>
          <w:i/>
          <w:iCs/>
          <w:szCs w:val="22"/>
        </w:rPr>
        <w:t xml:space="preserve">ervices </w:t>
      </w:r>
      <w:r w:rsidRPr="0021690B">
        <w:rPr>
          <w:b/>
          <w:i/>
          <w:iCs/>
          <w:szCs w:val="22"/>
        </w:rPr>
        <w:t xml:space="preserve">and </w:t>
      </w:r>
      <w:r w:rsidR="00BC12BB">
        <w:rPr>
          <w:b/>
          <w:i/>
          <w:iCs/>
          <w:szCs w:val="22"/>
        </w:rPr>
        <w:t>R</w:t>
      </w:r>
      <w:r w:rsidRPr="0021690B" w:rsidR="00DB380F">
        <w:rPr>
          <w:b/>
          <w:i/>
          <w:iCs/>
          <w:szCs w:val="22"/>
        </w:rPr>
        <w:t xml:space="preserve">eplacement </w:t>
      </w:r>
      <w:r w:rsidR="00BC12BB">
        <w:rPr>
          <w:b/>
          <w:i/>
          <w:iCs/>
          <w:szCs w:val="22"/>
        </w:rPr>
        <w:t>C</w:t>
      </w:r>
      <w:r w:rsidRPr="0021690B">
        <w:rPr>
          <w:b/>
          <w:i/>
          <w:iCs/>
          <w:szCs w:val="22"/>
        </w:rPr>
        <w:t xml:space="preserve">osts </w:t>
      </w:r>
    </w:p>
    <w:p w:rsidR="00013A8B" w:rsidRPr="00A86BD2" w:rsidP="00013A8B" w14:paraId="64727F92" w14:textId="77777777">
      <w:pPr>
        <w:jc w:val="center"/>
        <w:rPr>
          <w:b/>
          <w:szCs w:val="22"/>
        </w:rPr>
      </w:pPr>
      <w:r w:rsidRPr="00A86BD2">
        <w:rPr>
          <w:b/>
          <w:szCs w:val="22"/>
        </w:rPr>
        <w:t>WC Docket No. 18-89</w:t>
      </w:r>
    </w:p>
    <w:p w:rsidR="006A1DA1" w:rsidRPr="00A86BD2" w:rsidP="00013A8B" w14:paraId="1794E66C" w14:textId="77777777">
      <w:pPr>
        <w:jc w:val="center"/>
        <w:rPr>
          <w:b/>
          <w:szCs w:val="22"/>
        </w:rPr>
      </w:pPr>
    </w:p>
    <w:p w:rsidR="006A1DA1" w:rsidRPr="00A86BD2" w:rsidP="00DD3F74" w14:paraId="465883AB" w14:textId="1D930E2D">
      <w:pPr>
        <w:rPr>
          <w:b/>
          <w:szCs w:val="22"/>
        </w:rPr>
      </w:pPr>
      <w:r>
        <w:rPr>
          <w:b/>
          <w:szCs w:val="22"/>
        </w:rPr>
        <w:t xml:space="preserve">Filing </w:t>
      </w:r>
      <w:r w:rsidRPr="00A86BD2">
        <w:rPr>
          <w:b/>
          <w:szCs w:val="22"/>
        </w:rPr>
        <w:t xml:space="preserve">Deadline: </w:t>
      </w:r>
      <w:r w:rsidR="001F3E19">
        <w:rPr>
          <w:b/>
          <w:szCs w:val="22"/>
        </w:rPr>
        <w:t xml:space="preserve">April </w:t>
      </w:r>
      <w:r w:rsidR="009F7C81">
        <w:rPr>
          <w:b/>
          <w:szCs w:val="22"/>
        </w:rPr>
        <w:t>22</w:t>
      </w:r>
      <w:r w:rsidR="001F3E19">
        <w:rPr>
          <w:b/>
          <w:szCs w:val="22"/>
        </w:rPr>
        <w:t>, 2020</w:t>
      </w:r>
    </w:p>
    <w:p w:rsidR="00F207DE" w:rsidRPr="00A86BD2" w:rsidP="00F207DE" w14:paraId="4CC00712" w14:textId="77777777">
      <w:pPr>
        <w:rPr>
          <w:b/>
          <w:szCs w:val="22"/>
        </w:rPr>
      </w:pPr>
    </w:p>
    <w:p w:rsidR="002C1CD5" w:rsidRPr="00A86BD2" w:rsidP="00F207DE" w14:paraId="7E62E274" w14:textId="254DFC9F">
      <w:pPr>
        <w:rPr>
          <w:szCs w:val="22"/>
        </w:rPr>
      </w:pPr>
      <w:r w:rsidRPr="00A86BD2">
        <w:rPr>
          <w:b/>
          <w:szCs w:val="22"/>
        </w:rPr>
        <w:tab/>
      </w:r>
      <w:r w:rsidRPr="00A86BD2" w:rsidR="00C05C94">
        <w:rPr>
          <w:szCs w:val="22"/>
        </w:rPr>
        <w:t xml:space="preserve">By this Public Notice, </w:t>
      </w:r>
      <w:r w:rsidRPr="00A86BD2">
        <w:rPr>
          <w:szCs w:val="22"/>
        </w:rPr>
        <w:t xml:space="preserve">the Wireline Competition Bureau </w:t>
      </w:r>
      <w:r w:rsidR="00DD4DE2">
        <w:rPr>
          <w:szCs w:val="22"/>
        </w:rPr>
        <w:t xml:space="preserve">(WCB) </w:t>
      </w:r>
      <w:r w:rsidR="00607756">
        <w:rPr>
          <w:szCs w:val="22"/>
        </w:rPr>
        <w:t xml:space="preserve">and </w:t>
      </w:r>
      <w:r w:rsidR="00D25DD4">
        <w:rPr>
          <w:szCs w:val="22"/>
        </w:rPr>
        <w:t xml:space="preserve">the </w:t>
      </w:r>
      <w:r w:rsidR="00607756">
        <w:rPr>
          <w:szCs w:val="22"/>
        </w:rPr>
        <w:t xml:space="preserve">Office of Economics and Analytics (OEA) </w:t>
      </w:r>
      <w:r w:rsidR="00DD4DE2">
        <w:rPr>
          <w:szCs w:val="22"/>
        </w:rPr>
        <w:t xml:space="preserve">announce the process by which </w:t>
      </w:r>
      <w:r w:rsidRPr="00A86BD2" w:rsidR="00DB380F">
        <w:rPr>
          <w:szCs w:val="22"/>
        </w:rPr>
        <w:t>Eligible Telecommunications Carriers (ETCs)</w:t>
      </w:r>
      <w:r w:rsidR="00B24224">
        <w:rPr>
          <w:szCs w:val="22"/>
        </w:rPr>
        <w:t xml:space="preserve"> </w:t>
      </w:r>
      <w:r w:rsidRPr="0021690B" w:rsidR="00DD4DE2">
        <w:rPr>
          <w:szCs w:val="22"/>
        </w:rPr>
        <w:t xml:space="preserve">must </w:t>
      </w:r>
      <w:r w:rsidRPr="00A86BD2" w:rsidR="00570BA7">
        <w:rPr>
          <w:szCs w:val="22"/>
        </w:rPr>
        <w:t>report</w:t>
      </w:r>
      <w:r w:rsidRPr="00A86BD2" w:rsidR="005E3E8B">
        <w:rPr>
          <w:szCs w:val="22"/>
        </w:rPr>
        <w:t xml:space="preserve"> the extent to which their networks contain</w:t>
      </w:r>
      <w:r w:rsidRPr="00A86BD2" w:rsidR="008D0479">
        <w:rPr>
          <w:szCs w:val="22"/>
        </w:rPr>
        <w:t xml:space="preserve"> or use</w:t>
      </w:r>
      <w:r w:rsidRPr="00A86BD2" w:rsidR="005E3E8B">
        <w:rPr>
          <w:szCs w:val="22"/>
        </w:rPr>
        <w:t xml:space="preserve"> </w:t>
      </w:r>
      <w:r w:rsidR="00DD4DE2">
        <w:rPr>
          <w:szCs w:val="22"/>
        </w:rPr>
        <w:t xml:space="preserve">potentially prohibited </w:t>
      </w:r>
      <w:r w:rsidRPr="00A86BD2" w:rsidR="005E3E8B">
        <w:rPr>
          <w:szCs w:val="22"/>
        </w:rPr>
        <w:t>equipment</w:t>
      </w:r>
      <w:r w:rsidRPr="00A86BD2" w:rsidR="008D0479">
        <w:rPr>
          <w:szCs w:val="22"/>
        </w:rPr>
        <w:t xml:space="preserve"> or services </w:t>
      </w:r>
      <w:r w:rsidR="00CB1425">
        <w:rPr>
          <w:szCs w:val="22"/>
        </w:rPr>
        <w:t>provided by Huawei Technologies Company (Huawei)</w:t>
      </w:r>
      <w:r w:rsidR="00283C1E">
        <w:rPr>
          <w:szCs w:val="22"/>
        </w:rPr>
        <w:t xml:space="preserve">, </w:t>
      </w:r>
      <w:r w:rsidR="00CB1425">
        <w:rPr>
          <w:szCs w:val="22"/>
        </w:rPr>
        <w:t>ZTE Corporation (ZTE)</w:t>
      </w:r>
      <w:r w:rsidR="00283C1E">
        <w:rPr>
          <w:szCs w:val="22"/>
        </w:rPr>
        <w:t>, or their subsidiaries, parents, or affiliates,</w:t>
      </w:r>
      <w:r w:rsidR="00CB1425">
        <w:rPr>
          <w:szCs w:val="22"/>
        </w:rPr>
        <w:t xml:space="preserve"> </w:t>
      </w:r>
      <w:r w:rsidR="00661500">
        <w:rPr>
          <w:szCs w:val="22"/>
        </w:rPr>
        <w:t xml:space="preserve">and the costs associated with removing such equipment and replacing it with equivalent equipment, </w:t>
      </w:r>
      <w:r w:rsidRPr="00A86BD2" w:rsidR="00DB380F">
        <w:rPr>
          <w:szCs w:val="22"/>
        </w:rPr>
        <w:t xml:space="preserve">as required by the </w:t>
      </w:r>
      <w:r w:rsidR="00661500">
        <w:rPr>
          <w:szCs w:val="22"/>
        </w:rPr>
        <w:t xml:space="preserve">Commission’s </w:t>
      </w:r>
      <w:r w:rsidRPr="00A86BD2" w:rsidR="00DB380F">
        <w:rPr>
          <w:i/>
          <w:szCs w:val="22"/>
        </w:rPr>
        <w:t>2019 Supply Chain Order</w:t>
      </w:r>
      <w:r w:rsidRPr="00A86BD2" w:rsidR="00DB380F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Pr="00A86BD2">
        <w:rPr>
          <w:szCs w:val="22"/>
        </w:rPr>
        <w:t xml:space="preserve">  </w:t>
      </w:r>
    </w:p>
    <w:p w:rsidR="008E1F4B" w:rsidRPr="00A86BD2" w:rsidP="002C1CD5" w14:paraId="4EC8F4C5" w14:textId="471D6B1C">
      <w:pPr>
        <w:ind w:firstLine="720"/>
        <w:rPr>
          <w:szCs w:val="22"/>
        </w:rPr>
      </w:pPr>
    </w:p>
    <w:p w:rsidR="008D0479" w:rsidRPr="00A86BD2" w:rsidP="008E1F4B" w14:paraId="0E631ADD" w14:textId="702F6AF8">
      <w:pPr>
        <w:ind w:firstLine="720"/>
        <w:rPr>
          <w:szCs w:val="22"/>
        </w:rPr>
      </w:pPr>
      <w:r>
        <w:rPr>
          <w:szCs w:val="22"/>
        </w:rPr>
        <w:t>Specifically, i</w:t>
      </w:r>
      <w:r w:rsidR="00DD4DE2">
        <w:rPr>
          <w:szCs w:val="22"/>
        </w:rPr>
        <w:t xml:space="preserve">n the </w:t>
      </w:r>
      <w:r w:rsidRPr="00A86BD2" w:rsidR="008E1F4B">
        <w:rPr>
          <w:i/>
          <w:szCs w:val="22"/>
        </w:rPr>
        <w:t>2019 Supply Chain Order</w:t>
      </w:r>
      <w:r w:rsidR="00DD4DE2">
        <w:rPr>
          <w:iCs/>
          <w:szCs w:val="22"/>
        </w:rPr>
        <w:t>, the Commission directed OEA and WCB to</w:t>
      </w:r>
      <w:r w:rsidRPr="00A86BD2" w:rsidR="008E1F4B">
        <w:rPr>
          <w:szCs w:val="22"/>
        </w:rPr>
        <w:t xml:space="preserve"> </w:t>
      </w:r>
      <w:r w:rsidR="00DD4DE2">
        <w:rPr>
          <w:szCs w:val="22"/>
        </w:rPr>
        <w:t xml:space="preserve">conduct </w:t>
      </w:r>
      <w:r w:rsidRPr="00A86BD2" w:rsidR="008E1F4B">
        <w:rPr>
          <w:szCs w:val="22"/>
        </w:rPr>
        <w:t xml:space="preserve">an information collection to determine </w:t>
      </w:r>
      <w:r w:rsidR="00323FD7">
        <w:rPr>
          <w:szCs w:val="22"/>
        </w:rPr>
        <w:t xml:space="preserve">whether ETCs own equipment or services from </w:t>
      </w:r>
      <w:r w:rsidRPr="00A86BD2">
        <w:rPr>
          <w:szCs w:val="22"/>
        </w:rPr>
        <w:t>Huawei and ZTE</w:t>
      </w:r>
      <w:r w:rsidR="00323FD7">
        <w:rPr>
          <w:szCs w:val="22"/>
        </w:rPr>
        <w:t xml:space="preserve">; what that equipment is and services are; </w:t>
      </w:r>
      <w:r w:rsidRPr="00A86BD2">
        <w:rPr>
          <w:szCs w:val="22"/>
        </w:rPr>
        <w:t xml:space="preserve">the </w:t>
      </w:r>
      <w:r w:rsidRPr="00A86BD2" w:rsidR="008E1F4B">
        <w:rPr>
          <w:szCs w:val="22"/>
        </w:rPr>
        <w:t>costs associated with</w:t>
      </w:r>
      <w:r w:rsidRPr="00A86BD2">
        <w:rPr>
          <w:szCs w:val="22"/>
        </w:rPr>
        <w:t xml:space="preserve"> purchasing </w:t>
      </w:r>
      <w:r w:rsidR="00323FD7">
        <w:rPr>
          <w:szCs w:val="22"/>
        </w:rPr>
        <w:t xml:space="preserve">and/or installing </w:t>
      </w:r>
      <w:r w:rsidRPr="00A86BD2">
        <w:rPr>
          <w:szCs w:val="22"/>
        </w:rPr>
        <w:t>such equipment and services</w:t>
      </w:r>
      <w:r w:rsidR="00323FD7">
        <w:rPr>
          <w:szCs w:val="22"/>
        </w:rPr>
        <w:t>;</w:t>
      </w:r>
      <w:r w:rsidRPr="00A86BD2">
        <w:rPr>
          <w:szCs w:val="22"/>
        </w:rPr>
        <w:t xml:space="preserve"> and the costs associated with</w:t>
      </w:r>
      <w:r w:rsidRPr="00A86BD2" w:rsidR="008E1F4B">
        <w:rPr>
          <w:szCs w:val="22"/>
        </w:rPr>
        <w:t xml:space="preserve"> removing </w:t>
      </w:r>
      <w:r w:rsidRPr="00A86BD2">
        <w:rPr>
          <w:szCs w:val="22"/>
        </w:rPr>
        <w:t xml:space="preserve">and replacing </w:t>
      </w:r>
      <w:r w:rsidRPr="00A86BD2" w:rsidR="008E1F4B">
        <w:rPr>
          <w:szCs w:val="22"/>
        </w:rPr>
        <w:t xml:space="preserve">such equipment </w:t>
      </w:r>
      <w:r w:rsidRPr="00A86BD2">
        <w:rPr>
          <w:szCs w:val="22"/>
        </w:rPr>
        <w:t>and services</w:t>
      </w:r>
      <w:r w:rsidRPr="00A86BD2" w:rsidR="008E1F4B">
        <w:rPr>
          <w:szCs w:val="22"/>
        </w:rPr>
        <w:t>.</w:t>
      </w:r>
      <w:r>
        <w:rPr>
          <w:rStyle w:val="FootnoteReference"/>
          <w:szCs w:val="22"/>
        </w:rPr>
        <w:footnoteReference w:id="4"/>
      </w:r>
      <w:r w:rsidRPr="00A86BD2" w:rsidR="008E1F4B">
        <w:rPr>
          <w:szCs w:val="22"/>
        </w:rPr>
        <w:t xml:space="preserve">  </w:t>
      </w:r>
      <w:r w:rsidRPr="00A86BD2">
        <w:rPr>
          <w:szCs w:val="22"/>
        </w:rPr>
        <w:t>The information collection will support the Commission’s future efforts to protect the communications supply chain.</w:t>
      </w:r>
      <w:r>
        <w:rPr>
          <w:rStyle w:val="FootnoteReference"/>
          <w:szCs w:val="22"/>
        </w:rPr>
        <w:footnoteReference w:id="5"/>
      </w:r>
      <w:r w:rsidRPr="00A86BD2" w:rsidR="00146D02">
        <w:rPr>
          <w:szCs w:val="22"/>
        </w:rPr>
        <w:t xml:space="preserve"> </w:t>
      </w:r>
      <w:r w:rsidRPr="00A86BD2" w:rsidR="002762AB">
        <w:rPr>
          <w:szCs w:val="22"/>
        </w:rPr>
        <w:t xml:space="preserve"> </w:t>
      </w:r>
      <w:r w:rsidRPr="00A86BD2" w:rsidR="00146D02">
        <w:rPr>
          <w:szCs w:val="22"/>
        </w:rPr>
        <w:t>The Office of Management and Budget has approved this information collection under the Paperwork Reduction Act.</w:t>
      </w:r>
      <w:r>
        <w:rPr>
          <w:rStyle w:val="FootnoteReference"/>
          <w:szCs w:val="22"/>
        </w:rPr>
        <w:footnoteReference w:id="6"/>
      </w:r>
      <w:r w:rsidRPr="00A86BD2" w:rsidR="00146D02">
        <w:rPr>
          <w:szCs w:val="22"/>
        </w:rPr>
        <w:t xml:space="preserve"> </w:t>
      </w:r>
    </w:p>
    <w:p w:rsidR="008D0479" w:rsidRPr="00A86BD2" w:rsidP="008E1F4B" w14:paraId="0B0A35FA" w14:textId="77777777">
      <w:pPr>
        <w:ind w:firstLine="720"/>
        <w:rPr>
          <w:szCs w:val="22"/>
        </w:rPr>
      </w:pPr>
    </w:p>
    <w:p w:rsidR="002C1CD5" w:rsidRPr="00A86BD2" w:rsidP="008E1F4B" w14:paraId="21C5794F" w14:textId="0CEC6F35">
      <w:pPr>
        <w:ind w:firstLine="720"/>
        <w:rPr>
          <w:szCs w:val="22"/>
        </w:rPr>
      </w:pPr>
      <w:r>
        <w:rPr>
          <w:szCs w:val="22"/>
        </w:rPr>
        <w:t>The portal</w:t>
      </w:r>
      <w:r w:rsidRPr="00A86BD2">
        <w:rPr>
          <w:szCs w:val="22"/>
        </w:rPr>
        <w:t xml:space="preserve"> for ETCs to submit </w:t>
      </w:r>
      <w:r w:rsidRPr="00A86BD2" w:rsidR="008E1F4B">
        <w:rPr>
          <w:szCs w:val="22"/>
        </w:rPr>
        <w:t>this information</w:t>
      </w:r>
      <w:r w:rsidRPr="00A86BD2">
        <w:rPr>
          <w:szCs w:val="22"/>
        </w:rPr>
        <w:t xml:space="preserve"> to the Commission</w:t>
      </w:r>
      <w:r>
        <w:rPr>
          <w:szCs w:val="22"/>
        </w:rPr>
        <w:t xml:space="preserve"> is now available</w:t>
      </w:r>
      <w:r w:rsidRPr="00A86BD2">
        <w:rPr>
          <w:szCs w:val="22"/>
        </w:rPr>
        <w:t xml:space="preserve"> </w:t>
      </w:r>
      <w:r w:rsidR="00B316FD">
        <w:rPr>
          <w:szCs w:val="22"/>
        </w:rPr>
        <w:t>at</w:t>
      </w:r>
      <w:r w:rsidRPr="00A86BD2" w:rsidR="00B316FD">
        <w:rPr>
          <w:szCs w:val="22"/>
        </w:rPr>
        <w:t xml:space="preserve"> </w:t>
      </w:r>
      <w:hyperlink r:id="rId5" w:history="1">
        <w:r w:rsidRPr="00671778" w:rsidR="00FF2891">
          <w:rPr>
            <w:rStyle w:val="Hyperlink"/>
            <w:szCs w:val="22"/>
          </w:rPr>
          <w:t>www.fcc.gov/supplychain</w:t>
        </w:r>
      </w:hyperlink>
      <w:hyperlink w:history="1"/>
      <w:r w:rsidR="00FF2891">
        <w:rPr>
          <w:szCs w:val="22"/>
        </w:rPr>
        <w:t xml:space="preserve">.  </w:t>
      </w:r>
      <w:r w:rsidRPr="00A86BD2">
        <w:rPr>
          <w:szCs w:val="22"/>
        </w:rPr>
        <w:t xml:space="preserve">This </w:t>
      </w:r>
      <w:r w:rsidRPr="00A86BD2" w:rsidR="00570BA7">
        <w:rPr>
          <w:szCs w:val="22"/>
        </w:rPr>
        <w:t xml:space="preserve">information collection </w:t>
      </w:r>
      <w:r w:rsidRPr="00A86BD2" w:rsidR="008D0479">
        <w:rPr>
          <w:szCs w:val="22"/>
        </w:rPr>
        <w:t>is</w:t>
      </w:r>
      <w:r w:rsidRPr="00A86BD2">
        <w:rPr>
          <w:szCs w:val="22"/>
        </w:rPr>
        <w:t xml:space="preserve"> mandatory for </w:t>
      </w:r>
      <w:r w:rsidRPr="0021690B">
        <w:rPr>
          <w:b/>
          <w:bCs/>
          <w:i/>
          <w:iCs/>
          <w:szCs w:val="22"/>
        </w:rPr>
        <w:t>all</w:t>
      </w:r>
      <w:r w:rsidRPr="00A86BD2">
        <w:rPr>
          <w:szCs w:val="22"/>
        </w:rPr>
        <w:t xml:space="preserve"> ETCs</w:t>
      </w:r>
      <w:r w:rsidR="00555AED">
        <w:rPr>
          <w:szCs w:val="22"/>
        </w:rPr>
        <w:t xml:space="preserve"> and their subsidiaries and affiliates</w:t>
      </w:r>
      <w:r w:rsidR="00323FD7">
        <w:rPr>
          <w:szCs w:val="22"/>
        </w:rPr>
        <w:t xml:space="preserve">; ETCs that </w:t>
      </w:r>
      <w:r w:rsidRPr="00A86BD2" w:rsidR="00323FD7">
        <w:rPr>
          <w:szCs w:val="22"/>
        </w:rPr>
        <w:t xml:space="preserve">do not use equipment or services from Huawei or ZTE </w:t>
      </w:r>
      <w:r w:rsidR="00323FD7">
        <w:rPr>
          <w:szCs w:val="22"/>
        </w:rPr>
        <w:t xml:space="preserve">are </w:t>
      </w:r>
      <w:r w:rsidRPr="00A86BD2" w:rsidR="00323FD7">
        <w:rPr>
          <w:szCs w:val="22"/>
        </w:rPr>
        <w:t xml:space="preserve">required to </w:t>
      </w:r>
      <w:r w:rsidR="00323FD7">
        <w:rPr>
          <w:szCs w:val="22"/>
        </w:rPr>
        <w:t xml:space="preserve">report that </w:t>
      </w:r>
      <w:r w:rsidRPr="00A86BD2" w:rsidR="00323FD7">
        <w:rPr>
          <w:szCs w:val="22"/>
        </w:rPr>
        <w:t xml:space="preserve">they do not use such equipment or services.  </w:t>
      </w:r>
      <w:r w:rsidR="00661500">
        <w:rPr>
          <w:szCs w:val="22"/>
        </w:rPr>
        <w:t>O</w:t>
      </w:r>
      <w:r w:rsidRPr="00A86BD2" w:rsidR="008D0479">
        <w:rPr>
          <w:szCs w:val="22"/>
        </w:rPr>
        <w:t xml:space="preserve">ther </w:t>
      </w:r>
      <w:r w:rsidR="00661500">
        <w:rPr>
          <w:szCs w:val="22"/>
        </w:rPr>
        <w:t xml:space="preserve">service providers that are not ETCs </w:t>
      </w:r>
      <w:r w:rsidR="00FF2891">
        <w:rPr>
          <w:szCs w:val="22"/>
        </w:rPr>
        <w:t>may</w:t>
      </w:r>
      <w:r w:rsidR="00661500">
        <w:rPr>
          <w:szCs w:val="22"/>
        </w:rPr>
        <w:t xml:space="preserve"> participate </w:t>
      </w:r>
      <w:r w:rsidR="00FB79BE">
        <w:rPr>
          <w:szCs w:val="22"/>
        </w:rPr>
        <w:t xml:space="preserve">in this information collection </w:t>
      </w:r>
      <w:r w:rsidR="00661500">
        <w:rPr>
          <w:szCs w:val="22"/>
        </w:rPr>
        <w:t xml:space="preserve">on a voluntary basis should they have ETC designation petitions pending (or </w:t>
      </w:r>
      <w:r w:rsidR="00661500">
        <w:rPr>
          <w:szCs w:val="22"/>
        </w:rPr>
        <w:t>intend to file such in the future).</w:t>
      </w:r>
      <w:r>
        <w:rPr>
          <w:rStyle w:val="FootnoteReference"/>
          <w:szCs w:val="22"/>
        </w:rPr>
        <w:footnoteReference w:id="7"/>
      </w:r>
      <w:r w:rsidR="00661500">
        <w:rPr>
          <w:szCs w:val="22"/>
        </w:rPr>
        <w:t xml:space="preserve">  </w:t>
      </w:r>
      <w:r w:rsidR="00661500">
        <w:rPr>
          <w:szCs w:val="22"/>
        </w:rPr>
        <w:t>Similarly, ot</w:t>
      </w:r>
      <w:bookmarkStart w:id="1" w:name="_GoBack"/>
      <w:bookmarkEnd w:id="1"/>
      <w:r w:rsidR="00661500">
        <w:rPr>
          <w:szCs w:val="22"/>
        </w:rPr>
        <w:t xml:space="preserve">her </w:t>
      </w:r>
      <w:r w:rsidRPr="00A86BD2" w:rsidR="008D0479">
        <w:rPr>
          <w:szCs w:val="22"/>
        </w:rPr>
        <w:t>U</w:t>
      </w:r>
      <w:r w:rsidR="00C65E98">
        <w:rPr>
          <w:szCs w:val="22"/>
        </w:rPr>
        <w:t xml:space="preserve">niversal </w:t>
      </w:r>
      <w:r w:rsidRPr="00A86BD2" w:rsidR="008D0479">
        <w:rPr>
          <w:szCs w:val="22"/>
        </w:rPr>
        <w:t>S</w:t>
      </w:r>
      <w:r w:rsidR="00C65E98">
        <w:rPr>
          <w:szCs w:val="22"/>
        </w:rPr>
        <w:t xml:space="preserve">ervice </w:t>
      </w:r>
      <w:r w:rsidRPr="00A86BD2" w:rsidR="008D0479">
        <w:rPr>
          <w:szCs w:val="22"/>
        </w:rPr>
        <w:t>F</w:t>
      </w:r>
      <w:r w:rsidR="00C65E98">
        <w:rPr>
          <w:szCs w:val="22"/>
        </w:rPr>
        <w:t>und</w:t>
      </w:r>
      <w:r w:rsidRPr="00A86BD2" w:rsidR="008D0479">
        <w:rPr>
          <w:szCs w:val="22"/>
        </w:rPr>
        <w:t xml:space="preserve"> recipients </w:t>
      </w:r>
      <w:r w:rsidR="00661500">
        <w:rPr>
          <w:szCs w:val="22"/>
        </w:rPr>
        <w:t xml:space="preserve">who are not </w:t>
      </w:r>
      <w:r w:rsidRPr="00A86BD2" w:rsidR="008D0479">
        <w:rPr>
          <w:szCs w:val="22"/>
        </w:rPr>
        <w:t>ETCs</w:t>
      </w:r>
      <w:r w:rsidR="00661500">
        <w:rPr>
          <w:szCs w:val="22"/>
        </w:rPr>
        <w:t xml:space="preserve"> may participate </w:t>
      </w:r>
      <w:r w:rsidR="00FB79BE">
        <w:rPr>
          <w:szCs w:val="22"/>
        </w:rPr>
        <w:t xml:space="preserve">in the information collection </w:t>
      </w:r>
      <w:r w:rsidR="00661500">
        <w:rPr>
          <w:szCs w:val="22"/>
        </w:rPr>
        <w:t>on a voluntary basis</w:t>
      </w:r>
      <w:r w:rsidRPr="00A86BD2">
        <w:rPr>
          <w:szCs w:val="22"/>
        </w:rPr>
        <w:t>.</w:t>
      </w:r>
      <w:r>
        <w:rPr>
          <w:rStyle w:val="FootnoteReference"/>
          <w:szCs w:val="22"/>
        </w:rPr>
        <w:footnoteReference w:id="8"/>
      </w:r>
      <w:r w:rsidRPr="00A86BD2">
        <w:rPr>
          <w:szCs w:val="22"/>
        </w:rPr>
        <w:t xml:space="preserve"> </w:t>
      </w:r>
      <w:r w:rsidRPr="00A86BD2" w:rsidR="007F1D27">
        <w:rPr>
          <w:szCs w:val="22"/>
        </w:rPr>
        <w:t xml:space="preserve"> </w:t>
      </w:r>
      <w:r>
        <w:rPr>
          <w:szCs w:val="22"/>
        </w:rPr>
        <w:t>Filings</w:t>
      </w:r>
      <w:r w:rsidRPr="00A86BD2" w:rsidR="006A1DA1">
        <w:rPr>
          <w:szCs w:val="22"/>
        </w:rPr>
        <w:t xml:space="preserve"> must be submitted on or before </w:t>
      </w:r>
      <w:r w:rsidR="001F3E19">
        <w:rPr>
          <w:b/>
          <w:bCs/>
          <w:szCs w:val="22"/>
        </w:rPr>
        <w:t xml:space="preserve">April </w:t>
      </w:r>
      <w:r w:rsidR="009F7C81">
        <w:rPr>
          <w:b/>
          <w:bCs/>
          <w:szCs w:val="22"/>
        </w:rPr>
        <w:t>22</w:t>
      </w:r>
      <w:r w:rsidR="001F3E19">
        <w:rPr>
          <w:b/>
          <w:bCs/>
          <w:szCs w:val="22"/>
        </w:rPr>
        <w:t>, 2020</w:t>
      </w:r>
      <w:r w:rsidRPr="00A86BD2" w:rsidR="006A1DA1">
        <w:rPr>
          <w:szCs w:val="22"/>
        </w:rPr>
        <w:t>.</w:t>
      </w:r>
    </w:p>
    <w:p w:rsidR="007F1D27" w:rsidRPr="00A86BD2" w:rsidP="00F207DE" w14:paraId="2FCB9C19" w14:textId="77777777">
      <w:pPr>
        <w:rPr>
          <w:szCs w:val="22"/>
        </w:rPr>
      </w:pPr>
    </w:p>
    <w:p w:rsidR="007F1D27" w:rsidRPr="00A86BD2" w:rsidP="00F207DE" w14:paraId="3130411A" w14:textId="4492B4D4">
      <w:pPr>
        <w:rPr>
          <w:szCs w:val="22"/>
        </w:rPr>
      </w:pPr>
      <w:r w:rsidRPr="00A86BD2">
        <w:rPr>
          <w:szCs w:val="22"/>
        </w:rPr>
        <w:tab/>
      </w:r>
      <w:r w:rsidRPr="00A86BD2" w:rsidR="005E3E8B">
        <w:rPr>
          <w:szCs w:val="22"/>
        </w:rPr>
        <w:t xml:space="preserve">For additional information, </w:t>
      </w:r>
      <w:r w:rsidR="00CB1425">
        <w:rPr>
          <w:szCs w:val="22"/>
        </w:rPr>
        <w:t xml:space="preserve">visit the FCC’s Supply Chain Data Collection webpage at </w:t>
      </w:r>
      <w:hyperlink r:id="rId5" w:history="1">
        <w:r w:rsidRPr="00E825A4" w:rsidR="00CB1425">
          <w:rPr>
            <w:rStyle w:val="Hyperlink"/>
            <w:szCs w:val="22"/>
          </w:rPr>
          <w:t>www.fcc.gov/supplychain</w:t>
        </w:r>
      </w:hyperlink>
      <w:r w:rsidR="00CB1425">
        <w:rPr>
          <w:szCs w:val="22"/>
        </w:rPr>
        <w:t xml:space="preserve"> or send an email to</w:t>
      </w:r>
      <w:r w:rsidRPr="00A86BD2" w:rsidR="005E3E8B">
        <w:rPr>
          <w:szCs w:val="22"/>
        </w:rPr>
        <w:t xml:space="preserve"> </w:t>
      </w:r>
      <w:hyperlink r:id="rId6" w:history="1">
        <w:r w:rsidRPr="00A86BD2" w:rsidR="005E3E8B">
          <w:rPr>
            <w:rStyle w:val="Hyperlink"/>
            <w:szCs w:val="22"/>
          </w:rPr>
          <w:t>SupplyChainData@fcc.gov</w:t>
        </w:r>
      </w:hyperlink>
      <w:r w:rsidRPr="00A86BD2">
        <w:rPr>
          <w:szCs w:val="22"/>
        </w:rPr>
        <w:t xml:space="preserve">. </w:t>
      </w:r>
    </w:p>
    <w:p w:rsidR="00194725" w:rsidRPr="00A86BD2" w:rsidP="00F207DE" w14:paraId="233E4A01" w14:textId="77777777">
      <w:pPr>
        <w:rPr>
          <w:szCs w:val="22"/>
        </w:rPr>
      </w:pPr>
    </w:p>
    <w:p w:rsidR="00194725" w:rsidRPr="00A86BD2" w:rsidP="00F207DE" w14:paraId="27A9CDC0" w14:textId="77777777">
      <w:pPr>
        <w:rPr>
          <w:szCs w:val="22"/>
        </w:rPr>
      </w:pPr>
    </w:p>
    <w:p w:rsidR="00930ECF" w:rsidRPr="00A86BD2" w:rsidP="00A86BD2" w14:paraId="0B033B6B" w14:textId="149EBA74">
      <w:pPr>
        <w:jc w:val="center"/>
        <w:rPr>
          <w:szCs w:val="22"/>
        </w:rPr>
      </w:pPr>
      <w:r w:rsidRPr="00A86BD2">
        <w:rPr>
          <w:b/>
          <w:szCs w:val="22"/>
        </w:rPr>
        <w:t>-FCC-</w:t>
      </w:r>
    </w:p>
    <w:sectPr w:rsidSect="000E58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520639F6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53EA662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B0A225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42143E06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C740C" w14:paraId="4DDD60B4" w14:textId="77777777">
      <w:r>
        <w:separator/>
      </w:r>
    </w:p>
  </w:footnote>
  <w:footnote w:type="continuationSeparator" w:id="1">
    <w:p w:rsidR="00EC740C" w14:paraId="14B22E8E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EC740C" w:rsidP="00910F12" w14:paraId="238A9630" w14:textId="77777777">
      <w:pPr>
        <w:jc w:val="right"/>
        <w:rPr>
          <w:sz w:val="20"/>
        </w:rPr>
      </w:pPr>
    </w:p>
  </w:footnote>
  <w:footnote w:id="3">
    <w:p w:rsidR="008E1F4B" w:rsidRPr="008E1F4B" w14:paraId="54BB607C" w14:textId="066B7A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 w:rsidR="00B34394">
        <w:rPr>
          <w:i/>
        </w:rPr>
        <w:t xml:space="preserve"> </w:t>
      </w:r>
      <w:r w:rsidRPr="00DD3F74" w:rsidR="00B34394">
        <w:rPr>
          <w:i/>
        </w:rPr>
        <w:t>Protecting Against National Security Threats to the Communications Supply Chain Through FCC Programs</w:t>
      </w:r>
      <w:r w:rsidR="00194725">
        <w:t>, WC Docket No. 18-89,</w:t>
      </w:r>
      <w:r>
        <w:rPr>
          <w:i/>
        </w:rPr>
        <w:t xml:space="preserve"> </w:t>
      </w:r>
      <w:r>
        <w:t>Report and Order, Further Notice of Proposed Rulemaking, and Order,</w:t>
      </w:r>
      <w:r w:rsidR="00194725">
        <w:t xml:space="preserve"> </w:t>
      </w:r>
      <w:r w:rsidR="008F5CCC">
        <w:t>34 FCC Rcd 11423, 11481-82,</w:t>
      </w:r>
      <w:r w:rsidR="00D25DD4">
        <w:t xml:space="preserve"> para. 162</w:t>
      </w:r>
      <w:r w:rsidR="00A35F66">
        <w:t xml:space="preserve"> </w:t>
      </w:r>
      <w:r w:rsidR="00194725">
        <w:t>(</w:t>
      </w:r>
      <w:r w:rsidR="005E3E8B">
        <w:t>2019</w:t>
      </w:r>
      <w:r w:rsidR="00194725">
        <w:t>) (</w:t>
      </w:r>
      <w:r w:rsidR="00194725">
        <w:rPr>
          <w:i/>
        </w:rPr>
        <w:t>2019 Supply Chain Order</w:t>
      </w:r>
      <w:r w:rsidR="00194725">
        <w:t>).</w:t>
      </w:r>
      <w:r w:rsidR="00380E00">
        <w:t xml:space="preserve"> </w:t>
      </w:r>
    </w:p>
  </w:footnote>
  <w:footnote w:id="4">
    <w:p w:rsidR="008E1F4B" w:rsidRPr="008E1F4B" w14:paraId="24F6B946" w14:textId="64377D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</w:t>
      </w:r>
      <w:r w:rsidR="00C05C94">
        <w:rPr>
          <w:i/>
        </w:rPr>
        <w:t>.</w:t>
      </w:r>
      <w:r>
        <w:t xml:space="preserve"> at </w:t>
      </w:r>
      <w:r w:rsidR="008F5CCC">
        <w:t>11482</w:t>
      </w:r>
      <w:r w:rsidR="00A35F66">
        <w:t xml:space="preserve">, </w:t>
      </w:r>
      <w:r>
        <w:t xml:space="preserve">para. 165. </w:t>
      </w:r>
    </w:p>
  </w:footnote>
  <w:footnote w:id="5">
    <w:p w:rsidR="008D0479" w14:paraId="282E7737" w14:textId="3FD76E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D3F74">
        <w:rPr>
          <w:i/>
        </w:rPr>
        <w:t>Id.</w:t>
      </w:r>
      <w:r>
        <w:t xml:space="preserve"> at </w:t>
      </w:r>
      <w:r w:rsidR="008F5CCC">
        <w:t>11481-82</w:t>
      </w:r>
      <w:r w:rsidR="00A35F66">
        <w:t xml:space="preserve">, </w:t>
      </w:r>
      <w:r>
        <w:t>para. 162.</w:t>
      </w:r>
    </w:p>
  </w:footnote>
  <w:footnote w:id="6">
    <w:p w:rsidR="00042EFF" w:rsidRPr="00C737ED" w14:paraId="32C50FC4" w14:textId="2A40B4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D07CD">
        <w:rPr>
          <w:i/>
          <w:iCs/>
        </w:rPr>
        <w:t xml:space="preserve">See </w:t>
      </w:r>
      <w:r w:rsidR="00C737ED">
        <w:t>Notice of Office of Management and Budget Action for Control No. 3060-1270 (Feb. 12, 2020)</w:t>
      </w:r>
      <w:r w:rsidR="00D65EC9">
        <w:t>,</w:t>
      </w:r>
      <w:r w:rsidR="00C737ED">
        <w:t xml:space="preserve">  </w:t>
      </w:r>
      <w:hyperlink r:id="rId1" w:history="1">
        <w:r w:rsidRPr="005D6558" w:rsidR="00D65EC9">
          <w:rPr>
            <w:rStyle w:val="Hyperlink"/>
          </w:rPr>
          <w:t>https://www.reginfo.gov/public/do/PRAViewICR?ref_nbr=201912-3060-014#</w:t>
        </w:r>
      </w:hyperlink>
      <w:r w:rsidR="00D65EC9">
        <w:t xml:space="preserve">. </w:t>
      </w:r>
    </w:p>
  </w:footnote>
  <w:footnote w:id="7">
    <w:p w:rsidR="00EC76B8" w14:paraId="3F3BA246" w14:textId="0E6CD7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4952">
        <w:rPr>
          <w:i/>
          <w:iCs/>
        </w:rPr>
        <w:t>2019 Supply Chain Order</w:t>
      </w:r>
      <w:r>
        <w:t>, at</w:t>
      </w:r>
      <w:r w:rsidR="005D07CD">
        <w:t xml:space="preserve"> </w:t>
      </w:r>
      <w:r w:rsidR="008F5CCC">
        <w:t>11482</w:t>
      </w:r>
      <w:r>
        <w:t>, para. 164.</w:t>
      </w:r>
    </w:p>
  </w:footnote>
  <w:footnote w:id="8">
    <w:p w:rsidR="00194725" w:rsidRPr="00194725" w14:paraId="19A04915" w14:textId="10B3AE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C76B8">
        <w:rPr>
          <w:i/>
        </w:rPr>
        <w:t>Id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77BE750" w14:textId="524CBBC8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555AED">
      <w:rPr>
        <w:b/>
      </w:rPr>
      <w:t>DA 20-166</w:t>
    </w:r>
  </w:p>
  <w:p w:rsidR="009838BC" w:rsidRPr="009838BC" w:rsidP="009838BC" w14:paraId="1765DE4D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3A0DFB93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47BD413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36C6D7F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05582F5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231D0C2D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7992302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4D83E2A6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4E562AAC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5AAFF6A1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2B9558C7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579ADCFC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DE"/>
    <w:rsid w:val="000072CE"/>
    <w:rsid w:val="00013A8B"/>
    <w:rsid w:val="00021445"/>
    <w:rsid w:val="00036039"/>
    <w:rsid w:val="00037F90"/>
    <w:rsid w:val="00042EFF"/>
    <w:rsid w:val="000462F2"/>
    <w:rsid w:val="000875BF"/>
    <w:rsid w:val="00096D8C"/>
    <w:rsid w:val="000C0B65"/>
    <w:rsid w:val="000E3D42"/>
    <w:rsid w:val="000E5884"/>
    <w:rsid w:val="00122BD5"/>
    <w:rsid w:val="0012390A"/>
    <w:rsid w:val="001321AE"/>
    <w:rsid w:val="00146D02"/>
    <w:rsid w:val="00194725"/>
    <w:rsid w:val="001979D9"/>
    <w:rsid w:val="001C33A4"/>
    <w:rsid w:val="001D2AD0"/>
    <w:rsid w:val="001D6BCF"/>
    <w:rsid w:val="001E01CA"/>
    <w:rsid w:val="001F3E19"/>
    <w:rsid w:val="002060D9"/>
    <w:rsid w:val="0021690B"/>
    <w:rsid w:val="00226822"/>
    <w:rsid w:val="0023541A"/>
    <w:rsid w:val="00260594"/>
    <w:rsid w:val="002762AB"/>
    <w:rsid w:val="00283C1E"/>
    <w:rsid w:val="00285017"/>
    <w:rsid w:val="002A2D2E"/>
    <w:rsid w:val="002A33A2"/>
    <w:rsid w:val="002A3F79"/>
    <w:rsid w:val="002B3A98"/>
    <w:rsid w:val="002C1CD5"/>
    <w:rsid w:val="002C327F"/>
    <w:rsid w:val="002D3329"/>
    <w:rsid w:val="002F5645"/>
    <w:rsid w:val="00323FD7"/>
    <w:rsid w:val="00340E88"/>
    <w:rsid w:val="00343749"/>
    <w:rsid w:val="00357D50"/>
    <w:rsid w:val="00380E00"/>
    <w:rsid w:val="003925DC"/>
    <w:rsid w:val="003A7BE3"/>
    <w:rsid w:val="003B0550"/>
    <w:rsid w:val="003B694F"/>
    <w:rsid w:val="003F171C"/>
    <w:rsid w:val="003F41C3"/>
    <w:rsid w:val="00412FC5"/>
    <w:rsid w:val="00422276"/>
    <w:rsid w:val="004242F1"/>
    <w:rsid w:val="004362FE"/>
    <w:rsid w:val="00445A00"/>
    <w:rsid w:val="00451B0F"/>
    <w:rsid w:val="0046125F"/>
    <w:rsid w:val="00487524"/>
    <w:rsid w:val="00496106"/>
    <w:rsid w:val="004A4952"/>
    <w:rsid w:val="004C12D0"/>
    <w:rsid w:val="004C2EE3"/>
    <w:rsid w:val="004E4A22"/>
    <w:rsid w:val="00511968"/>
    <w:rsid w:val="00555AED"/>
    <w:rsid w:val="0055614C"/>
    <w:rsid w:val="00570BA7"/>
    <w:rsid w:val="005D07CD"/>
    <w:rsid w:val="005D6558"/>
    <w:rsid w:val="005E3E8B"/>
    <w:rsid w:val="00607756"/>
    <w:rsid w:val="00607BA5"/>
    <w:rsid w:val="00626EB6"/>
    <w:rsid w:val="006353A3"/>
    <w:rsid w:val="00655D03"/>
    <w:rsid w:val="00661500"/>
    <w:rsid w:val="00671778"/>
    <w:rsid w:val="00683F84"/>
    <w:rsid w:val="006A1DA1"/>
    <w:rsid w:val="006A6A81"/>
    <w:rsid w:val="006E26AF"/>
    <w:rsid w:val="006E39E4"/>
    <w:rsid w:val="006E6883"/>
    <w:rsid w:val="006F7393"/>
    <w:rsid w:val="0070224F"/>
    <w:rsid w:val="007115F7"/>
    <w:rsid w:val="0073655A"/>
    <w:rsid w:val="00777AB0"/>
    <w:rsid w:val="00785689"/>
    <w:rsid w:val="0079754B"/>
    <w:rsid w:val="007A1E6D"/>
    <w:rsid w:val="007D7173"/>
    <w:rsid w:val="007F1D27"/>
    <w:rsid w:val="00822CE0"/>
    <w:rsid w:val="00824DF8"/>
    <w:rsid w:val="00837C62"/>
    <w:rsid w:val="00841AB1"/>
    <w:rsid w:val="008C22FD"/>
    <w:rsid w:val="008D0479"/>
    <w:rsid w:val="008E1F4B"/>
    <w:rsid w:val="008F2C3A"/>
    <w:rsid w:val="008F5CCC"/>
    <w:rsid w:val="00910F12"/>
    <w:rsid w:val="00926503"/>
    <w:rsid w:val="00930ECF"/>
    <w:rsid w:val="009838BC"/>
    <w:rsid w:val="009B7089"/>
    <w:rsid w:val="009F7C81"/>
    <w:rsid w:val="00A35F66"/>
    <w:rsid w:val="00A45F4F"/>
    <w:rsid w:val="00A600A9"/>
    <w:rsid w:val="00A866AC"/>
    <w:rsid w:val="00A86BD2"/>
    <w:rsid w:val="00AA55B7"/>
    <w:rsid w:val="00AA5B9E"/>
    <w:rsid w:val="00AB2407"/>
    <w:rsid w:val="00AB53DF"/>
    <w:rsid w:val="00AC3F21"/>
    <w:rsid w:val="00B07E5C"/>
    <w:rsid w:val="00B17D11"/>
    <w:rsid w:val="00B24224"/>
    <w:rsid w:val="00B316FD"/>
    <w:rsid w:val="00B326E3"/>
    <w:rsid w:val="00B34394"/>
    <w:rsid w:val="00B44A6A"/>
    <w:rsid w:val="00B55C5D"/>
    <w:rsid w:val="00B811F7"/>
    <w:rsid w:val="00BA5DC6"/>
    <w:rsid w:val="00BA6196"/>
    <w:rsid w:val="00BC12BB"/>
    <w:rsid w:val="00BC6D8C"/>
    <w:rsid w:val="00BF63E6"/>
    <w:rsid w:val="00C05C94"/>
    <w:rsid w:val="00C16AF2"/>
    <w:rsid w:val="00C34006"/>
    <w:rsid w:val="00C426B1"/>
    <w:rsid w:val="00C65E98"/>
    <w:rsid w:val="00C737ED"/>
    <w:rsid w:val="00C82B6B"/>
    <w:rsid w:val="00C90D6A"/>
    <w:rsid w:val="00C9304B"/>
    <w:rsid w:val="00CA0237"/>
    <w:rsid w:val="00CB1425"/>
    <w:rsid w:val="00CC72B6"/>
    <w:rsid w:val="00D0218D"/>
    <w:rsid w:val="00D216CD"/>
    <w:rsid w:val="00D25DD4"/>
    <w:rsid w:val="00D55793"/>
    <w:rsid w:val="00D65EC9"/>
    <w:rsid w:val="00D74001"/>
    <w:rsid w:val="00DA2529"/>
    <w:rsid w:val="00DB130A"/>
    <w:rsid w:val="00DB380F"/>
    <w:rsid w:val="00DC10A1"/>
    <w:rsid w:val="00DC655F"/>
    <w:rsid w:val="00DD3F74"/>
    <w:rsid w:val="00DD4DE2"/>
    <w:rsid w:val="00DD7EBD"/>
    <w:rsid w:val="00DF62B6"/>
    <w:rsid w:val="00E07225"/>
    <w:rsid w:val="00E155B7"/>
    <w:rsid w:val="00E5409F"/>
    <w:rsid w:val="00E65B46"/>
    <w:rsid w:val="00E70B47"/>
    <w:rsid w:val="00E825A4"/>
    <w:rsid w:val="00E87615"/>
    <w:rsid w:val="00EC0185"/>
    <w:rsid w:val="00EC0262"/>
    <w:rsid w:val="00EC740C"/>
    <w:rsid w:val="00EC76B8"/>
    <w:rsid w:val="00F021FA"/>
    <w:rsid w:val="00F207DE"/>
    <w:rsid w:val="00F57ACA"/>
    <w:rsid w:val="00F62E97"/>
    <w:rsid w:val="00F64209"/>
    <w:rsid w:val="00F7209A"/>
    <w:rsid w:val="00F93BF5"/>
    <w:rsid w:val="00F96F63"/>
    <w:rsid w:val="00FB79BE"/>
    <w:rsid w:val="00FF0B2D"/>
    <w:rsid w:val="00FF289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F899EF5-D3D0-4705-82EE-26627787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CD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C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94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5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C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C94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C94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DB380F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supplychain" TargetMode="External" /><Relationship Id="rId6" Type="http://schemas.openxmlformats.org/officeDocument/2006/relationships/hyperlink" Target="mailto:SupplyChainData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ginfo.gov/public/do/PRAViewICR?ref_nbr=201912-3060-014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