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9803E6" w14:paraId="0816766B" w14:textId="19BE90AA">
      <w:pPr>
        <w:jc w:val="center"/>
        <w:rPr>
          <w:sz w:val="24"/>
        </w:rPr>
      </w:pPr>
    </w:p>
    <w:p w:rsidR="00013A8B" w:rsidRPr="0048120F" w:rsidP="00013A8B" w14:paraId="339FFE12" w14:textId="5190A5D7">
      <w:pPr>
        <w:jc w:val="right"/>
        <w:rPr>
          <w:b/>
        </w:rPr>
      </w:pPr>
      <w:r>
        <w:rPr>
          <w:b/>
        </w:rPr>
        <w:t>DA 20-</w:t>
      </w:r>
      <w:r w:rsidR="00563C8F">
        <w:rPr>
          <w:b/>
        </w:rPr>
        <w:t>16</w:t>
      </w:r>
    </w:p>
    <w:p w:rsidR="00013A8B" w:rsidRPr="0048120F" w:rsidP="00013A8B" w14:paraId="1BE2CA23" w14:textId="62742858">
      <w:pPr>
        <w:spacing w:before="60"/>
        <w:jc w:val="right"/>
        <w:rPr>
          <w:b/>
        </w:rPr>
      </w:pPr>
      <w:r w:rsidRPr="0048120F">
        <w:rPr>
          <w:b/>
        </w:rPr>
        <w:t xml:space="preserve">Released:  </w:t>
      </w:r>
      <w:r w:rsidRPr="0048120F" w:rsidR="00C27385">
        <w:rPr>
          <w:b/>
        </w:rPr>
        <w:t xml:space="preserve">January </w:t>
      </w:r>
      <w:r w:rsidR="005053E5">
        <w:rPr>
          <w:b/>
        </w:rPr>
        <w:t>6</w:t>
      </w:r>
      <w:r w:rsidRPr="0048120F" w:rsidR="00C27385">
        <w:rPr>
          <w:b/>
        </w:rPr>
        <w:t>, 2020</w:t>
      </w:r>
    </w:p>
    <w:p w:rsidR="00013A8B" w:rsidRPr="0048120F" w:rsidP="00013A8B" w14:paraId="66717322" w14:textId="77777777">
      <w:pPr>
        <w:jc w:val="right"/>
      </w:pPr>
    </w:p>
    <w:p w:rsidR="00013A8B" w:rsidRPr="0048120F" w:rsidP="00433C9D" w14:paraId="295AD810" w14:textId="5CD00ABF">
      <w:pPr>
        <w:spacing w:after="240"/>
        <w:jc w:val="center"/>
        <w:rPr>
          <w:b/>
          <w:caps/>
        </w:rPr>
      </w:pPr>
      <w:r w:rsidRPr="0048120F">
        <w:rPr>
          <w:b/>
          <w:caps/>
        </w:rPr>
        <w:t>Public Safety and Homeland Security Bureau REMIND</w:t>
      </w:r>
      <w:r w:rsidRPr="0048120F" w:rsidR="00C27385">
        <w:rPr>
          <w:b/>
          <w:caps/>
        </w:rPr>
        <w:t>S</w:t>
      </w:r>
      <w:r w:rsidRPr="0048120F">
        <w:rPr>
          <w:b/>
          <w:caps/>
        </w:rPr>
        <w:t xml:space="preserve"> REBANDING 800 MHz LICENSEES </w:t>
      </w:r>
      <w:r w:rsidR="0065647D">
        <w:rPr>
          <w:b/>
          <w:caps/>
        </w:rPr>
        <w:t xml:space="preserve">THAT HAVE COMPLETED PHYSICAL RECONFIGURATION </w:t>
      </w:r>
      <w:r w:rsidRPr="0048120F">
        <w:rPr>
          <w:b/>
          <w:caps/>
        </w:rPr>
        <w:t xml:space="preserve">TO PROVIDE NOTICE OF DISPUTES </w:t>
      </w:r>
      <w:r w:rsidR="00A101B2">
        <w:rPr>
          <w:b/>
          <w:caps/>
        </w:rPr>
        <w:t xml:space="preserve">OR COMPLETION CERTIFICATIONS </w:t>
      </w:r>
      <w:r w:rsidRPr="0048120F">
        <w:rPr>
          <w:b/>
          <w:caps/>
        </w:rPr>
        <w:t xml:space="preserve">BY </w:t>
      </w:r>
      <w:r w:rsidRPr="00B8715D">
        <w:rPr>
          <w:b/>
          <w:caps/>
          <w:u w:val="single"/>
        </w:rPr>
        <w:t xml:space="preserve">JANUARY </w:t>
      </w:r>
      <w:r w:rsidRPr="00B8715D" w:rsidR="00C27385">
        <w:rPr>
          <w:b/>
          <w:caps/>
          <w:u w:val="single"/>
        </w:rPr>
        <w:t>1</w:t>
      </w:r>
      <w:r w:rsidR="00EB4207">
        <w:rPr>
          <w:b/>
          <w:caps/>
          <w:u w:val="single"/>
        </w:rPr>
        <w:t>5</w:t>
      </w:r>
      <w:r w:rsidRPr="00B8715D" w:rsidR="00C27385">
        <w:rPr>
          <w:b/>
          <w:caps/>
          <w:u w:val="single"/>
        </w:rPr>
        <w:t>, 2020</w:t>
      </w:r>
    </w:p>
    <w:p w:rsidR="00013A8B" w:rsidRPr="0048120F" w:rsidP="00013A8B" w14:paraId="1D1FA931" w14:textId="71CABBC1">
      <w:pPr>
        <w:jc w:val="center"/>
        <w:rPr>
          <w:b/>
        </w:rPr>
      </w:pPr>
      <w:r>
        <w:rPr>
          <w:b/>
        </w:rPr>
        <w:t xml:space="preserve">WT </w:t>
      </w:r>
      <w:r w:rsidRPr="0048120F" w:rsidR="00E27C6C">
        <w:rPr>
          <w:b/>
        </w:rPr>
        <w:t xml:space="preserve">Docket </w:t>
      </w:r>
      <w:r>
        <w:rPr>
          <w:b/>
        </w:rPr>
        <w:t xml:space="preserve">No. </w:t>
      </w:r>
      <w:r w:rsidRPr="0048120F" w:rsidR="00E27C6C">
        <w:rPr>
          <w:b/>
        </w:rPr>
        <w:t>02-55</w:t>
      </w:r>
    </w:p>
    <w:p w:rsidR="00A81F34" w:rsidRPr="0048120F" w:rsidP="00013A8B" w14:paraId="62AA8C4C" w14:textId="77777777">
      <w:pPr>
        <w:jc w:val="center"/>
        <w:rPr>
          <w:b/>
        </w:rPr>
      </w:pPr>
    </w:p>
    <w:p w:rsidR="00A81F34" w:rsidRPr="0048120F" w:rsidP="00A81F34" w14:paraId="43D53519" w14:textId="7120F0E4">
      <w:r w:rsidRPr="0048120F">
        <w:tab/>
        <w:t>This Public Notice reminds 800 MHz licensee</w:t>
      </w:r>
      <w:r w:rsidRPr="0048120F" w:rsidR="00FD4E18">
        <w:t>s</w:t>
      </w:r>
      <w:r w:rsidRPr="0048120F">
        <w:t xml:space="preserve"> </w:t>
      </w:r>
      <w:r w:rsidR="0065647D">
        <w:t xml:space="preserve">engaged in rebanding </w:t>
      </w:r>
      <w:r w:rsidRPr="0048120F">
        <w:t xml:space="preserve">of </w:t>
      </w:r>
      <w:r w:rsidR="001C4139">
        <w:t xml:space="preserve">the following </w:t>
      </w:r>
      <w:r w:rsidRPr="0048120F">
        <w:t>important compliance date</w:t>
      </w:r>
      <w:r w:rsidR="00697686">
        <w:t xml:space="preserve"> to expedite the conclusion of the rebanding program</w:t>
      </w:r>
      <w:r w:rsidRPr="0048120F">
        <w:t>:</w:t>
      </w:r>
    </w:p>
    <w:p w:rsidR="00E27C6C" w:rsidRPr="0048120F" w:rsidP="00013A8B" w14:paraId="6562D2BA" w14:textId="77777777">
      <w:pPr>
        <w:jc w:val="center"/>
        <w:rPr>
          <w:b/>
        </w:rPr>
      </w:pPr>
    </w:p>
    <w:p w:rsidR="00697686" w:rsidP="0065647D" w14:paraId="1B3B10D3" w14:textId="1DCD4B54">
      <w:pPr>
        <w:ind w:firstLine="720"/>
      </w:pPr>
      <w:r>
        <w:t>In t</w:t>
      </w:r>
      <w:r w:rsidRPr="0048120F" w:rsidR="00E27C6C">
        <w:t xml:space="preserve">he </w:t>
      </w:r>
      <w:r w:rsidRPr="0048120F" w:rsidR="00E27C6C">
        <w:rPr>
          <w:i/>
        </w:rPr>
        <w:t>800 MHz Rebanding Streamlining Order</w:t>
      </w:r>
      <w:r>
        <w:t>,</w:t>
      </w:r>
      <w:r>
        <w:rPr>
          <w:rStyle w:val="FootnoteReference"/>
        </w:rPr>
        <w:footnoteReference w:id="3"/>
      </w:r>
      <w:r w:rsidRPr="0048120F" w:rsidR="00E27C6C">
        <w:t xml:space="preserve"> released </w:t>
      </w:r>
      <w:r w:rsidRPr="0048120F" w:rsidR="007C24DA">
        <w:t>October 28, 2019</w:t>
      </w:r>
      <w:r>
        <w:t xml:space="preserve">, the Commission </w:t>
      </w:r>
      <w:r w:rsidRPr="0048120F" w:rsidR="00E27C6C">
        <w:t>require</w:t>
      </w:r>
      <w:r>
        <w:t>d</w:t>
      </w:r>
      <w:r w:rsidRPr="0048120F" w:rsidR="00E27C6C">
        <w:t xml:space="preserve"> rebanding 800 MHz licensees that ha</w:t>
      </w:r>
      <w:r w:rsidR="00A101B2">
        <w:t>ve</w:t>
      </w:r>
      <w:r w:rsidRPr="0048120F" w:rsidR="00E27C6C">
        <w:t xml:space="preserve"> completed physical re</w:t>
      </w:r>
      <w:r w:rsidR="00A101B2">
        <w:t>configuration</w:t>
      </w:r>
      <w:r>
        <w:rPr>
          <w:rStyle w:val="FootnoteReference"/>
        </w:rPr>
        <w:footnoteReference w:id="4"/>
      </w:r>
      <w:r w:rsidRPr="0048120F" w:rsidR="00E27C6C">
        <w:t xml:space="preserve"> </w:t>
      </w:r>
      <w:r>
        <w:t xml:space="preserve">and have unresolved </w:t>
      </w:r>
      <w:r w:rsidR="00E46A24">
        <w:t xml:space="preserve">disputes </w:t>
      </w:r>
      <w:r>
        <w:t xml:space="preserve">with </w:t>
      </w:r>
      <w:r w:rsidRPr="0048120F" w:rsidR="00E27C6C">
        <w:t>Sprint Corporation (Sprint)</w:t>
      </w:r>
      <w:r>
        <w:t xml:space="preserve"> to </w:t>
      </w:r>
      <w:r w:rsidR="00E46A24">
        <w:t xml:space="preserve">so </w:t>
      </w:r>
      <w:r>
        <w:t xml:space="preserve">notify Sprint </w:t>
      </w:r>
      <w:r w:rsidRPr="0048120F" w:rsidR="00E27C6C">
        <w:t xml:space="preserve">and the 800 MHz Transition Administrator </w:t>
      </w:r>
      <w:r w:rsidRPr="0048120F" w:rsidR="00C27385">
        <w:t>(TA)</w:t>
      </w:r>
      <w:r>
        <w:t xml:space="preserve"> within 20 </w:t>
      </w:r>
      <w:r w:rsidR="00E46A24">
        <w:t>business days of the effective date of the order.</w:t>
      </w:r>
      <w:r>
        <w:rPr>
          <w:rStyle w:val="FootnoteReference"/>
          <w:b/>
        </w:rPr>
        <w:footnoteReference w:id="5"/>
      </w:r>
      <w:r w:rsidRPr="0048120F" w:rsidR="007C24DA">
        <w:t xml:space="preserve"> </w:t>
      </w:r>
      <w:r w:rsidR="00E46A24">
        <w:t xml:space="preserve"> </w:t>
      </w:r>
      <w:r>
        <w:t>The Commission also required l</w:t>
      </w:r>
      <w:r w:rsidRPr="00697686">
        <w:t>icensees that have completed physical reconfiguration</w:t>
      </w:r>
      <w:r w:rsidR="00651C71">
        <w:t xml:space="preserve"> and</w:t>
      </w:r>
      <w:r>
        <w:t xml:space="preserve"> </w:t>
      </w:r>
      <w:r w:rsidRPr="00697686">
        <w:t>have no unresolved dispute</w:t>
      </w:r>
      <w:r w:rsidR="00651C71">
        <w:t>s</w:t>
      </w:r>
      <w:r w:rsidRPr="00697686">
        <w:t xml:space="preserve"> with Sprint, but have not provided a completion certification to Sprint</w:t>
      </w:r>
      <w:r w:rsidR="00651C71">
        <w:t>,</w:t>
      </w:r>
      <w:r>
        <w:t xml:space="preserve"> to </w:t>
      </w:r>
      <w:r w:rsidRPr="00697686">
        <w:t>submit an executed completion certification to Sprint within 20 business days of the effective date of th</w:t>
      </w:r>
      <w:r>
        <w:t>e order</w:t>
      </w:r>
      <w:r w:rsidRPr="00697686">
        <w:t>.</w:t>
      </w:r>
      <w:r>
        <w:rPr>
          <w:rStyle w:val="FootnoteReference"/>
        </w:rPr>
        <w:footnoteReference w:id="6"/>
      </w:r>
      <w:r w:rsidRPr="00697686">
        <w:t xml:space="preserve">  </w:t>
      </w:r>
    </w:p>
    <w:p w:rsidR="00697686" w:rsidP="0065647D" w14:paraId="44012DAB" w14:textId="77777777">
      <w:pPr>
        <w:ind w:firstLine="720"/>
      </w:pPr>
    </w:p>
    <w:p w:rsidR="007C24DA" w:rsidRPr="0048120F" w:rsidP="009803E6" w14:paraId="7C41C9BE" w14:textId="0FCE68CC">
      <w:pPr>
        <w:ind w:firstLine="720"/>
      </w:pPr>
      <w:r>
        <w:t xml:space="preserve">The effective date of the </w:t>
      </w:r>
      <w:r w:rsidRPr="0048120F">
        <w:rPr>
          <w:i/>
        </w:rPr>
        <w:t>800 MHz Rebanding Streamlining Order</w:t>
      </w:r>
      <w:r w:rsidRPr="0048120F">
        <w:t xml:space="preserve"> </w:t>
      </w:r>
      <w:r>
        <w:t>was December 1</w:t>
      </w:r>
      <w:r w:rsidR="00DF1B4D">
        <w:t>6</w:t>
      </w:r>
      <w:r>
        <w:t>, 2019.</w:t>
      </w:r>
      <w:r>
        <w:rPr>
          <w:rStyle w:val="FootnoteReference"/>
        </w:rPr>
        <w:footnoteReference w:id="7"/>
      </w:r>
      <w:r>
        <w:t xml:space="preserve">  </w:t>
      </w:r>
      <w:r w:rsidR="00534B64">
        <w:t>Pursuant to s</w:t>
      </w:r>
      <w:r w:rsidR="00EB4207">
        <w:t>ection 1.42</w:t>
      </w:r>
      <w:r w:rsidR="00C01D7B">
        <w:t>(c)</w:t>
      </w:r>
      <w:r w:rsidR="00EB4207">
        <w:t xml:space="preserve"> of the Commission’s rules,</w:t>
      </w:r>
      <w:r>
        <w:rPr>
          <w:rStyle w:val="FootnoteReference"/>
        </w:rPr>
        <w:footnoteReference w:id="8"/>
      </w:r>
      <w:r w:rsidR="00EB4207">
        <w:t xml:space="preserve"> </w:t>
      </w:r>
      <w:r w:rsidR="00C01D7B">
        <w:t>the day after the effective date</w:t>
      </w:r>
      <w:r w:rsidR="00E2486E">
        <w:t xml:space="preserve"> of the order </w:t>
      </w:r>
      <w:r w:rsidR="00C01D7B">
        <w:t xml:space="preserve"> </w:t>
      </w:r>
      <w:r w:rsidR="004D3814">
        <w:t xml:space="preserve">establishes the start of </w:t>
      </w:r>
      <w:r w:rsidR="00C01D7B">
        <w:t>the 20-business day period</w:t>
      </w:r>
      <w:r w:rsidR="004D3814">
        <w:t>.</w:t>
      </w:r>
      <w:r w:rsidR="00C01D7B">
        <w:t xml:space="preserve"> </w:t>
      </w:r>
      <w:r w:rsidR="00EB4207">
        <w:t xml:space="preserve"> </w:t>
      </w:r>
      <w:r>
        <w:t>Accordingly</w:t>
      </w:r>
      <w:r w:rsidR="00534B64">
        <w:t xml:space="preserve"> </w:t>
      </w:r>
      <w:r w:rsidR="00651C71">
        <w:t xml:space="preserve">licensees must submit </w:t>
      </w:r>
      <w:r>
        <w:t xml:space="preserve">notifications of unresolved disputes </w:t>
      </w:r>
      <w:r w:rsidR="001C4139">
        <w:t xml:space="preserve">or executed completion certifications </w:t>
      </w:r>
      <w:r w:rsidR="00697686">
        <w:t xml:space="preserve">by </w:t>
      </w:r>
      <w:r w:rsidR="00697686">
        <w:rPr>
          <w:b/>
        </w:rPr>
        <w:t>January 1</w:t>
      </w:r>
      <w:r w:rsidR="00C01D7B">
        <w:rPr>
          <w:b/>
        </w:rPr>
        <w:t>5</w:t>
      </w:r>
      <w:r w:rsidRPr="00C4338E" w:rsidR="00697686">
        <w:rPr>
          <w:b/>
        </w:rPr>
        <w:t>, 2020</w:t>
      </w:r>
      <w:r w:rsidR="00C4338E">
        <w:t>.</w:t>
      </w:r>
      <w:r w:rsidR="009803E6">
        <w:rPr>
          <w:rStyle w:val="FootnoteReference"/>
        </w:rPr>
        <w:t xml:space="preserve"> </w:t>
      </w:r>
      <w:r w:rsidRPr="00C4338E" w:rsidR="00697686">
        <w:t xml:space="preserve"> </w:t>
      </w:r>
      <w:r w:rsidR="001C4139">
        <w:t>N</w:t>
      </w:r>
      <w:r w:rsidRPr="0048120F" w:rsidR="0072377A">
        <w:t>otification</w:t>
      </w:r>
      <w:r w:rsidR="001C4139">
        <w:t>s</w:t>
      </w:r>
      <w:r w:rsidRPr="0048120F" w:rsidR="0072377A">
        <w:t xml:space="preserve"> may be made by email </w:t>
      </w:r>
      <w:r w:rsidRPr="0048120F" w:rsidR="00433C9D">
        <w:t>to the</w:t>
      </w:r>
      <w:r w:rsidRPr="0048120F" w:rsidR="0023033E">
        <w:t xml:space="preserve"> </w:t>
      </w:r>
      <w:r w:rsidRPr="0048120F" w:rsidR="00433C9D">
        <w:t xml:space="preserve">TA </w:t>
      </w:r>
      <w:r w:rsidRPr="0048120F" w:rsidR="0072377A">
        <w:t>at</w:t>
      </w:r>
      <w:r w:rsidRPr="0048120F" w:rsidR="00433C9D">
        <w:rPr>
          <w:color w:val="1F497D"/>
        </w:rPr>
        <w:t xml:space="preserve"> </w:t>
      </w:r>
      <w:hyperlink r:id="rId5" w:history="1">
        <w:r w:rsidRPr="00B8715D" w:rsidR="00433C9D">
          <w:rPr>
            <w:color w:val="0D0D0D"/>
          </w:rPr>
          <w:t>TAMediation@squirepb.com</w:t>
        </w:r>
      </w:hyperlink>
      <w:r w:rsidRPr="0048120F" w:rsidR="00433C9D">
        <w:rPr>
          <w:color w:val="1F497D"/>
        </w:rPr>
        <w:t xml:space="preserve"> </w:t>
      </w:r>
      <w:r w:rsidRPr="00B8715D" w:rsidR="00433C9D">
        <w:rPr>
          <w:color w:val="0D0D0D"/>
        </w:rPr>
        <w:t>with a copy to Sprint</w:t>
      </w:r>
      <w:r w:rsidRPr="0048120F" w:rsidR="00433C9D">
        <w:rPr>
          <w:color w:val="1F497D"/>
        </w:rPr>
        <w:t xml:space="preserve"> at </w:t>
      </w:r>
      <w:hyperlink r:id="rId6" w:history="1">
        <w:r w:rsidRPr="00B8715D" w:rsidR="00433C9D">
          <w:rPr>
            <w:color w:val="0D0D0D"/>
          </w:rPr>
          <w:t>RebandingReconfig@sprint.com</w:t>
        </w:r>
      </w:hyperlink>
      <w:r w:rsidRPr="00B8715D" w:rsidR="0023033E">
        <w:rPr>
          <w:color w:val="0D0D0D"/>
        </w:rPr>
        <w:t>.</w:t>
      </w:r>
      <w:r>
        <w:rPr>
          <w:rStyle w:val="FootnoteReference"/>
        </w:rPr>
        <w:footnoteReference w:id="9"/>
      </w:r>
      <w:r w:rsidRPr="0048120F" w:rsidR="0023033E">
        <w:t xml:space="preserve"> </w:t>
      </w:r>
      <w:r w:rsidR="001C4139">
        <w:t xml:space="preserve"> Executed completion certifications may be sent to </w:t>
      </w:r>
      <w:r w:rsidRPr="00651C71" w:rsidR="001C4139">
        <w:rPr>
          <w:color w:val="0D0D0D" w:themeColor="text1" w:themeTint="F2"/>
        </w:rPr>
        <w:t xml:space="preserve">Sprint </w:t>
      </w:r>
      <w:r w:rsidRPr="00651C71" w:rsidR="00ED502A">
        <w:rPr>
          <w:color w:val="0D0D0D" w:themeColor="text1" w:themeTint="F2"/>
        </w:rPr>
        <w:t xml:space="preserve">as </w:t>
      </w:r>
      <w:r w:rsidRPr="009803E6" w:rsidR="00ED502A">
        <w:rPr>
          <w:color w:val="0D0D0D" w:themeColor="text1" w:themeTint="F2"/>
        </w:rPr>
        <w:t>an email attachment</w:t>
      </w:r>
      <w:r w:rsidRPr="00651C71" w:rsidR="00ED502A">
        <w:rPr>
          <w:color w:val="0D0D0D" w:themeColor="text1" w:themeTint="F2"/>
        </w:rPr>
        <w:t xml:space="preserve"> </w:t>
      </w:r>
      <w:r w:rsidRPr="00651C71" w:rsidR="001C4139">
        <w:rPr>
          <w:color w:val="0D0D0D" w:themeColor="text1" w:themeTint="F2"/>
        </w:rPr>
        <w:t xml:space="preserve">at </w:t>
      </w:r>
      <w:hyperlink r:id="rId6" w:history="1">
        <w:r w:rsidRPr="00651C71" w:rsidR="001C4139">
          <w:rPr>
            <w:color w:val="0D0D0D" w:themeColor="text1" w:themeTint="F2"/>
          </w:rPr>
          <w:t>RebandingReconfig@sprint.com</w:t>
        </w:r>
      </w:hyperlink>
      <w:r w:rsidR="001C4139">
        <w:rPr>
          <w:color w:val="0D0D0D"/>
        </w:rPr>
        <w:t xml:space="preserve">.  </w:t>
      </w:r>
      <w:r w:rsidR="001C4139">
        <w:t xml:space="preserve"> </w:t>
      </w:r>
      <w:r w:rsidRPr="0048120F" w:rsidR="0023033E">
        <w:t xml:space="preserve"> </w:t>
      </w:r>
    </w:p>
    <w:p w:rsidR="009430A8" w:rsidRPr="0048120F" w:rsidP="00E27C6C" w14:paraId="02E568F3" w14:textId="77777777"/>
    <w:p w:rsidR="00A81F34" w:rsidRPr="0048120F" w:rsidP="009803E6" w14:paraId="35F7ED8C" w14:textId="7C33E39D">
      <w:pPr>
        <w:ind w:firstLine="720"/>
      </w:pPr>
      <w:r>
        <w:t xml:space="preserve">As provided in the </w:t>
      </w:r>
      <w:r w:rsidRPr="0048120F">
        <w:rPr>
          <w:i/>
        </w:rPr>
        <w:t>800 MHz Rebanding Streamlining Order</w:t>
      </w:r>
      <w:r>
        <w:t>, f</w:t>
      </w:r>
      <w:r w:rsidRPr="0048120F" w:rsidR="00F45F1E">
        <w:t xml:space="preserve">ailure </w:t>
      </w:r>
      <w:r w:rsidR="001C4139">
        <w:t xml:space="preserve">to </w:t>
      </w:r>
      <w:r w:rsidRPr="0048120F" w:rsidR="00F45F1E">
        <w:t xml:space="preserve">file </w:t>
      </w:r>
      <w:r w:rsidR="001C4139">
        <w:t xml:space="preserve">a </w:t>
      </w:r>
      <w:r w:rsidR="00C4338E">
        <w:t xml:space="preserve">timely </w:t>
      </w:r>
      <w:r w:rsidR="001C4139">
        <w:t xml:space="preserve">notification or </w:t>
      </w:r>
      <w:r w:rsidRPr="0048120F" w:rsidR="00F45F1E">
        <w:t xml:space="preserve">completion certification will result in </w:t>
      </w:r>
      <w:r w:rsidRPr="009430A8">
        <w:t xml:space="preserve">the </w:t>
      </w:r>
      <w:r w:rsidRPr="0048120F">
        <w:t>Public Safety and Homeland Security Bureau</w:t>
      </w:r>
      <w:r>
        <w:t xml:space="preserve">, upon appropriate verification, </w:t>
      </w:r>
      <w:r w:rsidRPr="0048120F" w:rsidR="00F45F1E">
        <w:t xml:space="preserve">deeming </w:t>
      </w:r>
      <w:r w:rsidRPr="009430A8">
        <w:t>the licensee to have completed rebanding</w:t>
      </w:r>
      <w:r w:rsidR="00C4338E">
        <w:t>,</w:t>
      </w:r>
      <w:r w:rsidRPr="009430A8">
        <w:t xml:space="preserve"> and all of </w:t>
      </w:r>
      <w:r w:rsidR="00C4338E">
        <w:t>the licensee’s</w:t>
      </w:r>
      <w:r w:rsidRPr="009430A8">
        <w:t xml:space="preserve"> rights under the Commission’s 800 MHz rebanding orders, including, without limitation, the right to the T</w:t>
      </w:r>
      <w:r w:rsidRPr="0048120F">
        <w:t xml:space="preserve">A’s </w:t>
      </w:r>
      <w:r w:rsidRPr="009430A8">
        <w:t>dispute resolution process and reimbursement of costs, will be terminated.</w:t>
      </w:r>
      <w:r>
        <w:rPr>
          <w:rStyle w:val="FootnoteReference"/>
        </w:rPr>
        <w:footnoteReference w:id="10"/>
      </w:r>
      <w:r w:rsidRPr="009430A8">
        <w:rPr>
          <w:vertAlign w:val="superscript"/>
        </w:rPr>
        <w:t xml:space="preserve"> </w:t>
      </w:r>
    </w:p>
    <w:p w:rsidR="00FD4E18" w:rsidRPr="0048120F" w:rsidP="00FD4E18" w14:paraId="0360E157" w14:textId="77777777">
      <w:pPr>
        <w:pStyle w:val="ListParagraph"/>
      </w:pPr>
    </w:p>
    <w:p w:rsidR="00433C9D" w:rsidRPr="009430A8" w:rsidP="00433C9D" w14:paraId="0D900314" w14:textId="77777777">
      <w:pPr>
        <w:numPr>
          <w:ilvl w:val="0"/>
          <w:numId w:val="8"/>
        </w:numPr>
        <w:jc w:val="center"/>
      </w:pPr>
      <w:r w:rsidRPr="0048120F">
        <w:t>FCC -</w:t>
      </w:r>
    </w:p>
    <w:p w:rsidR="00A81F34" w:rsidRPr="0048120F" w:rsidP="009430A8" w14:paraId="68D2C133" w14:textId="77777777">
      <w:pPr>
        <w:ind w:firstLine="720"/>
      </w:pPr>
      <w:r w:rsidRPr="0048120F">
        <w:t xml:space="preserve">  </w:t>
      </w:r>
    </w:p>
    <w:p w:rsidR="00A81F34" w:rsidRPr="0048120F" w:rsidP="00433C9D" w14:paraId="784A9E6F" w14:textId="77777777">
      <w:pPr>
        <w:ind w:firstLine="720"/>
      </w:pPr>
    </w:p>
    <w:p w:rsidR="00930ECF" w:rsidRPr="0048120F" w:rsidP="00F96F63" w14:paraId="61AD1184" w14:textId="77777777"/>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8022EE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6CECE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715D" w14:paraId="0993785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6F7393" w:rsidP="00910F12" w14:paraId="797BD21A"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E22BBB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5132" w14:paraId="27F7B7C7" w14:textId="77777777">
      <w:r>
        <w:separator/>
      </w:r>
    </w:p>
  </w:footnote>
  <w:footnote w:type="continuationSeparator" w:id="1">
    <w:p w:rsidR="003D5132" w14:paraId="1B919694" w14:textId="77777777">
      <w:pPr>
        <w:rPr>
          <w:sz w:val="20"/>
        </w:rPr>
      </w:pPr>
      <w:r>
        <w:rPr>
          <w:sz w:val="20"/>
        </w:rPr>
        <w:t xml:space="preserve">(Continued from previous page)  </w:t>
      </w:r>
      <w:r>
        <w:rPr>
          <w:sz w:val="20"/>
        </w:rPr>
        <w:separator/>
      </w:r>
    </w:p>
  </w:footnote>
  <w:footnote w:type="continuationNotice" w:id="2">
    <w:p w:rsidR="003D5132" w:rsidP="00910F12" w14:paraId="30CCCCD5" w14:textId="77777777">
      <w:pPr>
        <w:jc w:val="right"/>
        <w:rPr>
          <w:sz w:val="20"/>
        </w:rPr>
      </w:pPr>
      <w:r>
        <w:rPr>
          <w:sz w:val="20"/>
        </w:rPr>
        <w:t>(continued….)</w:t>
      </w:r>
    </w:p>
  </w:footnote>
  <w:footnote w:id="3">
    <w:p w:rsidR="00C27385" w14:paraId="7C2313D5" w14:textId="001EA8C9">
      <w:pPr>
        <w:pStyle w:val="FootnoteText"/>
      </w:pPr>
      <w:r>
        <w:rPr>
          <w:rStyle w:val="FootnoteReference"/>
        </w:rPr>
        <w:footnoteRef/>
      </w:r>
      <w:r>
        <w:t xml:space="preserve"> </w:t>
      </w:r>
      <w:r w:rsidRPr="00C27385">
        <w:rPr>
          <w:i/>
        </w:rPr>
        <w:t>Improving Public Safe</w:t>
      </w:r>
      <w:bookmarkStart w:id="0" w:name="_GoBack"/>
      <w:bookmarkEnd w:id="0"/>
      <w:r w:rsidRPr="00C27385">
        <w:rPr>
          <w:i/>
        </w:rPr>
        <w:t xml:space="preserve">ty Communications in the 800 MHz Band, </w:t>
      </w:r>
      <w:r w:rsidRPr="00C27385">
        <w:t>Order and Sixth Further Notice of Proposed Rulemaking, ___ FCC Rcd ____ (2019) (FCC 19-108)</w:t>
      </w:r>
      <w:r w:rsidR="00433C9D">
        <w:t xml:space="preserve"> (</w:t>
      </w:r>
      <w:r w:rsidRPr="00433C9D" w:rsidR="00433C9D">
        <w:rPr>
          <w:i/>
        </w:rPr>
        <w:t>800 MHz Rebanding Streamlining Order</w:t>
      </w:r>
      <w:r w:rsidR="00433C9D">
        <w:t>)</w:t>
      </w:r>
      <w:r>
        <w:t>.</w:t>
      </w:r>
    </w:p>
  </w:footnote>
  <w:footnote w:id="4">
    <w:p w:rsidR="00EC1267" w:rsidP="00F0764B" w14:paraId="68BCC6AA" w14:textId="77777777">
      <w:pPr>
        <w:spacing w:after="120"/>
      </w:pPr>
      <w:r>
        <w:rPr>
          <w:rStyle w:val="FootnoteReference"/>
        </w:rPr>
        <w:footnoteRef/>
      </w:r>
      <w:r w:rsidR="00F0764B">
        <w:t xml:space="preserve"> </w:t>
      </w:r>
      <w:r w:rsidRPr="00B8715D" w:rsidR="00F0764B">
        <w:rPr>
          <w:color w:val="0D0D0D"/>
          <w:sz w:val="20"/>
        </w:rPr>
        <w:t>Physical r</w:t>
      </w:r>
      <w:r w:rsidRPr="00B8715D" w:rsidR="00A101B2">
        <w:rPr>
          <w:color w:val="0D0D0D"/>
          <w:sz w:val="20"/>
        </w:rPr>
        <w:t>econfiguration</w:t>
      </w:r>
      <w:r w:rsidRPr="00B8715D" w:rsidR="00F0764B">
        <w:rPr>
          <w:color w:val="0D0D0D"/>
          <w:sz w:val="20"/>
        </w:rPr>
        <w:t xml:space="preserve"> is complete </w:t>
      </w:r>
      <w:r w:rsidRPr="00B8715D" w:rsidR="00F0764B">
        <w:rPr>
          <w:rFonts w:eastAsia="Calibri"/>
          <w:snapToGrid/>
          <w:color w:val="0D0D0D"/>
          <w:kern w:val="0"/>
          <w:sz w:val="20"/>
        </w:rPr>
        <w:t>when all system infrastructure and radios have been retuned, the licensee has commenced operations on its assigned post-rebanding frequencies, and, when required by the rebanding agreement between Sprint and the licensee, pre-rebanding channels have been removed from the licensee’s radios. </w:t>
      </w:r>
      <w:r w:rsidRPr="00B8715D" w:rsidR="00F0764B">
        <w:rPr>
          <w:rFonts w:eastAsia="Calibri"/>
          <w:i/>
          <w:snapToGrid/>
          <w:color w:val="0D0D0D"/>
          <w:kern w:val="0"/>
          <w:sz w:val="20"/>
        </w:rPr>
        <w:t>See</w:t>
      </w:r>
      <w:r w:rsidRPr="00B8715D" w:rsidR="00F0764B">
        <w:rPr>
          <w:rFonts w:eastAsia="Calibri"/>
          <w:snapToGrid/>
          <w:color w:val="0D0D0D"/>
          <w:kern w:val="0"/>
          <w:sz w:val="20"/>
        </w:rPr>
        <w:t xml:space="preserve"> </w:t>
      </w:r>
      <w:r w:rsidRPr="00B8715D" w:rsidR="00F0764B">
        <w:rPr>
          <w:rFonts w:eastAsia="Calibri"/>
          <w:i/>
          <w:snapToGrid/>
          <w:color w:val="0D0D0D"/>
          <w:kern w:val="0"/>
          <w:sz w:val="20"/>
        </w:rPr>
        <w:t>Improving Public Safety Communications in the 800 MHz Band</w:t>
      </w:r>
      <w:r w:rsidRPr="00B8715D" w:rsidR="00F0764B">
        <w:rPr>
          <w:rFonts w:eastAsia="Calibri"/>
          <w:snapToGrid/>
          <w:color w:val="0D0D0D"/>
          <w:kern w:val="0"/>
          <w:sz w:val="20"/>
        </w:rPr>
        <w:t>, Declaratory Ruling, 32 FCC Rcd 7528 (PSHSB 2017) at 2 n 6.</w:t>
      </w:r>
      <w:r>
        <w:t xml:space="preserve"> </w:t>
      </w:r>
    </w:p>
  </w:footnote>
  <w:footnote w:id="5">
    <w:p w:rsidR="00F0764B" w14:paraId="2D1E645D" w14:textId="235E3987">
      <w:pPr>
        <w:pStyle w:val="FootnoteText"/>
      </w:pPr>
      <w:r>
        <w:rPr>
          <w:rStyle w:val="FootnoteReference"/>
        </w:rPr>
        <w:footnoteRef/>
      </w:r>
      <w:r>
        <w:t xml:space="preserve"> </w:t>
      </w:r>
      <w:bookmarkStart w:id="1" w:name="_Hlk29051902"/>
      <w:r w:rsidRPr="00F0764B">
        <w:rPr>
          <w:i/>
        </w:rPr>
        <w:t xml:space="preserve">800 MHz Rebanding Streamlining Order </w:t>
      </w:r>
      <w:r w:rsidRPr="00F0764B">
        <w:t>at para. 12</w:t>
      </w:r>
      <w:r w:rsidR="001C4139">
        <w:t>.</w:t>
      </w:r>
      <w:bookmarkEnd w:id="1"/>
    </w:p>
  </w:footnote>
  <w:footnote w:id="6">
    <w:p w:rsidR="001C4139" w:rsidRPr="001C4139" w14:paraId="01FD2040" w14:textId="39491C7F">
      <w:pPr>
        <w:pStyle w:val="FootnoteText"/>
      </w:pPr>
      <w:r>
        <w:rPr>
          <w:rStyle w:val="FootnoteReference"/>
        </w:rPr>
        <w:footnoteRef/>
      </w:r>
      <w:r>
        <w:t xml:space="preserve"> </w:t>
      </w:r>
      <w:r>
        <w:rPr>
          <w:i/>
        </w:rPr>
        <w:t>Id.</w:t>
      </w:r>
      <w:r w:rsidR="00C4338E">
        <w:rPr>
          <w:i/>
        </w:rPr>
        <w:t xml:space="preserve"> </w:t>
      </w:r>
      <w:r w:rsidR="00C4338E">
        <w:t>at</w:t>
      </w:r>
      <w:r>
        <w:t xml:space="preserve"> para 13. </w:t>
      </w:r>
    </w:p>
  </w:footnote>
  <w:footnote w:id="7">
    <w:p w:rsidR="00E46A24" w14:paraId="66CAF045" w14:textId="170FEB0C">
      <w:pPr>
        <w:pStyle w:val="FootnoteText"/>
      </w:pPr>
      <w:r>
        <w:rPr>
          <w:rStyle w:val="FootnoteReference"/>
        </w:rPr>
        <w:footnoteRef/>
      </w:r>
      <w:r>
        <w:t xml:space="preserve"> The </w:t>
      </w:r>
      <w:r w:rsidRPr="00F0764B" w:rsidR="001C4139">
        <w:rPr>
          <w:i/>
        </w:rPr>
        <w:t xml:space="preserve">800 MHz Rebanding Streamlining Order </w:t>
      </w:r>
      <w:r>
        <w:t xml:space="preserve">was </w:t>
      </w:r>
      <w:r w:rsidRPr="00E46A24">
        <w:t xml:space="preserve">published in the Federal Register on </w:t>
      </w:r>
      <w:r w:rsidRPr="004D3814" w:rsidR="004D3814">
        <w:t>Nov</w:t>
      </w:r>
      <w:r w:rsidR="00BA3C33">
        <w:t>ember</w:t>
      </w:r>
      <w:r w:rsidRPr="004D3814" w:rsidR="004D3814">
        <w:t xml:space="preserve"> 14,</w:t>
      </w:r>
      <w:r w:rsidRPr="00E46A24" w:rsidR="00FF79E6">
        <w:t xml:space="preserve"> 2019</w:t>
      </w:r>
      <w:r w:rsidR="004D3814">
        <w:t xml:space="preserve">, </w:t>
      </w:r>
      <w:r w:rsidRPr="004D3814" w:rsidR="004D3814">
        <w:t>84 FR 61831-01</w:t>
      </w:r>
      <w:r w:rsidR="004D3814">
        <w:t>.  The order specified that it was to be effective 30</w:t>
      </w:r>
      <w:r w:rsidR="00BA3C33">
        <w:t xml:space="preserve"> </w:t>
      </w:r>
      <w:r w:rsidR="004D3814">
        <w:t>days after publication</w:t>
      </w:r>
      <w:r w:rsidR="00E2486E">
        <w:t xml:space="preserve"> in the Federal Register.</w:t>
      </w:r>
      <w:r w:rsidRPr="00E2486E" w:rsidR="00E2486E">
        <w:rPr>
          <w:i/>
          <w:snapToGrid w:val="0"/>
          <w:kern w:val="28"/>
          <w:sz w:val="22"/>
        </w:rPr>
        <w:t xml:space="preserve"> </w:t>
      </w:r>
      <w:r w:rsidRPr="00E2486E" w:rsidR="00E2486E">
        <w:rPr>
          <w:i/>
        </w:rPr>
        <w:t xml:space="preserve">800 MHz Rebanding Streamlining Order </w:t>
      </w:r>
      <w:r w:rsidRPr="00E2486E" w:rsidR="00E2486E">
        <w:t xml:space="preserve">at para. </w:t>
      </w:r>
      <w:r w:rsidR="00E2486E">
        <w:t xml:space="preserve">34. </w:t>
      </w:r>
      <w:r w:rsidR="004D3814">
        <w:t xml:space="preserve"> The 30-day period </w:t>
      </w:r>
      <w:r w:rsidR="00E2486E">
        <w:t>ended</w:t>
      </w:r>
      <w:r w:rsidR="004D3814">
        <w:t xml:space="preserve"> on Dec</w:t>
      </w:r>
      <w:r w:rsidR="00BA3C33">
        <w:t>ember</w:t>
      </w:r>
      <w:r w:rsidR="004D3814">
        <w:t xml:space="preserve"> 14, 2019</w:t>
      </w:r>
      <w:r w:rsidR="00E2486E">
        <w:t>,</w:t>
      </w:r>
      <w:r w:rsidR="00CD563E">
        <w:t xml:space="preserve"> a Saturday. Accordingly, the Federal Register </w:t>
      </w:r>
      <w:r w:rsidR="00FF79E6">
        <w:t xml:space="preserve">stated the effective date as </w:t>
      </w:r>
      <w:r w:rsidR="00AD3AF4">
        <w:t xml:space="preserve">the next business day, Monday </w:t>
      </w:r>
      <w:r w:rsidR="00FF79E6">
        <w:t>Dec</w:t>
      </w:r>
      <w:r w:rsidR="00BA3C33">
        <w:t>ember</w:t>
      </w:r>
      <w:r w:rsidR="00FF79E6">
        <w:t xml:space="preserve"> 16, </w:t>
      </w:r>
      <w:r w:rsidR="00E2486E">
        <w:t xml:space="preserve">2019. </w:t>
      </w:r>
      <w:r w:rsidRPr="00E2486E" w:rsidR="00E2486E">
        <w:t xml:space="preserve">84 FR 61831-01.  </w:t>
      </w:r>
    </w:p>
  </w:footnote>
  <w:footnote w:id="8">
    <w:p w:rsidR="00C01D7B" w14:paraId="412EEE53" w14:textId="377647E7">
      <w:pPr>
        <w:pStyle w:val="FootnoteText"/>
      </w:pPr>
      <w:r>
        <w:rPr>
          <w:rStyle w:val="FootnoteReference"/>
        </w:rPr>
        <w:footnoteRef/>
      </w:r>
      <w:r>
        <w:t xml:space="preserve"> </w:t>
      </w:r>
      <w:r w:rsidRPr="00C01D7B">
        <w:t>47 CFR 1.42(c) (</w:t>
      </w:r>
      <w:r w:rsidR="00534B64">
        <w:t>“</w:t>
      </w:r>
      <w:r w:rsidRPr="00C01D7B">
        <w:rPr>
          <w:rFonts w:eastAsia="Calibri"/>
          <w:szCs w:val="22"/>
        </w:rPr>
        <w:t xml:space="preserve">General Rule - Computation of Beginning Date When Action is Initiated by Act, Event or Default. Commission procedures frequently require the computation of </w:t>
      </w:r>
      <w:bookmarkStart w:id="2" w:name="_Hlk29046297"/>
      <w:r w:rsidRPr="00C01D7B">
        <w:rPr>
          <w:rFonts w:eastAsia="Calibri"/>
          <w:szCs w:val="22"/>
        </w:rPr>
        <w:t>a period of time where the period begins with the occurrence of an act, even</w:t>
      </w:r>
      <w:bookmarkEnd w:id="2"/>
      <w:r w:rsidRPr="00C01D7B">
        <w:rPr>
          <w:rFonts w:eastAsia="Calibri"/>
          <w:szCs w:val="22"/>
        </w:rPr>
        <w:t>t or default. Unless otherwise provided, the first day to be counted when a period of time begins with the occurrence of an act, event or default is the day after the day on which the act, event or default occurs”).</w:t>
      </w:r>
    </w:p>
  </w:footnote>
  <w:footnote w:id="9">
    <w:p w:rsidR="00433C9D" w:rsidRPr="00B8715D" w14:paraId="7D92DDD2" w14:textId="77777777">
      <w:pPr>
        <w:pStyle w:val="FootnoteText"/>
        <w:rPr>
          <w:rFonts w:ascii="Calibri" w:eastAsia="Calibri" w:hAnsi="Calibri" w:cs="Calibri"/>
          <w:color w:val="0D0D0D"/>
          <w:szCs w:val="22"/>
        </w:rPr>
      </w:pPr>
      <w:r>
        <w:rPr>
          <w:rStyle w:val="FootnoteReference"/>
        </w:rPr>
        <w:footnoteRef/>
      </w:r>
      <w:r>
        <w:t xml:space="preserve"> </w:t>
      </w:r>
      <w:r w:rsidRPr="00B8715D" w:rsidR="0023033E">
        <w:rPr>
          <w:color w:val="0D0D0D"/>
        </w:rPr>
        <w:t xml:space="preserve">The </w:t>
      </w:r>
      <w:r w:rsidRPr="00F0764B" w:rsidR="0023033E">
        <w:t>notification</w:t>
      </w:r>
      <w:r w:rsidRPr="00B8715D" w:rsidR="0023033E">
        <w:rPr>
          <w:color w:val="0D0D0D"/>
        </w:rPr>
        <w:t xml:space="preserve"> must include</w:t>
      </w:r>
      <w:r w:rsidRPr="00B8715D" w:rsidR="0023033E">
        <w:rPr>
          <w:rFonts w:eastAsia="Calibri"/>
          <w:color w:val="0D0D0D"/>
        </w:rPr>
        <w:t xml:space="preserve">: (a) the licensee’s name as it appears on its Frequency Reconfiguration Agreement; and (b) </w:t>
      </w:r>
      <w:r w:rsidRPr="00F0764B" w:rsidR="0023033E">
        <w:t>the</w:t>
      </w:r>
      <w:r w:rsidRPr="00B8715D" w:rsidR="0023033E">
        <w:rPr>
          <w:rFonts w:eastAsia="Calibri"/>
          <w:color w:val="0D0D0D"/>
        </w:rPr>
        <w:t xml:space="preserve"> name, telephone number and email address of the licensee’s representative and counsel (if any) who will represent the licensee in mediation.  Licensees are encouraged, but not required, to attach to their email the nature of the licensee’s dispute with Sprint (e.g., the comparability of facilities and/or the costs of reconfiguration); a description of the issues in dispute; and any relevant documents.</w:t>
      </w:r>
      <w:r w:rsidRPr="00B8715D" w:rsidR="00F0764B">
        <w:rPr>
          <w:rFonts w:eastAsia="Calibri"/>
          <w:color w:val="0D0D0D"/>
        </w:rPr>
        <w:t xml:space="preserve"> For further information, see </w:t>
      </w:r>
      <w:hyperlink r:id="rId1" w:history="1">
        <w:r w:rsidRPr="00B8715D" w:rsidR="0023033E">
          <w:rPr>
            <w:snapToGrid w:val="0"/>
            <w:color w:val="0D0D0D"/>
            <w:kern w:val="28"/>
          </w:rPr>
          <w:t>http://800ta.org/content/resources/ADR_Plan.pdf</w:t>
        </w:r>
      </w:hyperlink>
      <w:r w:rsidRPr="00B8715D" w:rsidR="0023033E">
        <w:rPr>
          <w:snapToGrid w:val="0"/>
          <w:color w:val="0D0D0D"/>
          <w:kern w:val="28"/>
          <w:sz w:val="22"/>
        </w:rPr>
        <w:t>.</w:t>
      </w:r>
      <w:r w:rsidRPr="00B8715D" w:rsidR="00F45F1E">
        <w:rPr>
          <w:rFonts w:ascii="Calibri" w:eastAsia="Calibri" w:hAnsi="Calibri" w:cs="Calibri"/>
          <w:color w:val="0D0D0D"/>
          <w:szCs w:val="22"/>
        </w:rPr>
        <w:t xml:space="preserve"> </w:t>
      </w:r>
    </w:p>
  </w:footnote>
  <w:footnote w:id="10">
    <w:p w:rsidR="00A81F34" w14:paraId="0654C88A" w14:textId="66850FDD">
      <w:pPr>
        <w:pStyle w:val="FootnoteText"/>
      </w:pPr>
      <w:r>
        <w:rPr>
          <w:rStyle w:val="FootnoteReference"/>
        </w:rPr>
        <w:footnoteRef/>
      </w:r>
      <w:r>
        <w:t xml:space="preserve"> </w:t>
      </w:r>
      <w:r w:rsidRPr="00F45F1E" w:rsidR="00F45F1E">
        <w:rPr>
          <w:i/>
        </w:rPr>
        <w:t xml:space="preserve">800 MHz Rebanding Streamlining Order </w:t>
      </w:r>
      <w:r w:rsidRPr="00F45F1E" w:rsidR="00F45F1E">
        <w:t>at para. 1</w:t>
      </w:r>
      <w:r w:rsidR="00F45F1E">
        <w:t>3</w:t>
      </w:r>
      <w:r w:rsidRPr="00F45F1E" w:rsidR="00F45F1E">
        <w:t>.</w:t>
      </w:r>
      <w:r w:rsidR="00F45F1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D3D48D9" w14:textId="2807A337">
    <w:pPr>
      <w:tabs>
        <w:tab w:val="center" w:pos="4680"/>
        <w:tab w:val="right" w:pos="9360"/>
      </w:tabs>
    </w:pPr>
    <w:r w:rsidRPr="009838BC">
      <w:rPr>
        <w:b/>
      </w:rPr>
      <w:tab/>
      <w:t>Federal Communications Commission</w:t>
    </w:r>
    <w:r w:rsidRPr="009838BC">
      <w:rPr>
        <w:b/>
      </w:rPr>
      <w:tab/>
    </w:r>
    <w:r w:rsidR="00CE7037">
      <w:rPr>
        <w:b/>
      </w:rPr>
      <w:t>DA 20-</w:t>
    </w:r>
    <w:r w:rsidR="00563C8F">
      <w:rPr>
        <w:b/>
      </w:rPr>
      <w:t>16</w:t>
    </w:r>
  </w:p>
  <w:p w:rsidR="009838BC" w:rsidRPr="009838BC" w:rsidP="009838BC" w14:paraId="632097AE"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7467C8F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E23D2A1"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321A4066" w14:textId="77777777">
                <w:pPr>
                  <w:rPr>
                    <w:rFonts w:ascii="Arial" w:hAnsi="Arial"/>
                    <w:b/>
                  </w:rPr>
                </w:pPr>
                <w:r>
                  <w:rPr>
                    <w:rFonts w:ascii="Arial" w:hAnsi="Arial"/>
                    <w:b/>
                  </w:rPr>
                  <w:t>Federal Communications Commission</w:t>
                </w:r>
              </w:p>
              <w:p w:rsidR="009838BC" w:rsidP="009838BC" w14:paraId="3425500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67B5D75"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6F546A50"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179.2pt,56.7pt" to="4647.2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0FCB1EFB" w14:textId="77777777">
                <w:pPr>
                  <w:spacing w:before="40"/>
                  <w:jc w:val="right"/>
                  <w:rPr>
                    <w:rFonts w:ascii="Arial" w:hAnsi="Arial"/>
                    <w:b/>
                    <w:sz w:val="16"/>
                  </w:rPr>
                </w:pPr>
                <w:r>
                  <w:rPr>
                    <w:rFonts w:ascii="Arial" w:hAnsi="Arial"/>
                    <w:b/>
                    <w:sz w:val="16"/>
                  </w:rPr>
                  <w:t>News Media Information 202 / 418-0500</w:t>
                </w:r>
              </w:p>
              <w:p w:rsidR="009838BC" w:rsidP="009838BC" w14:paraId="7E702DAA"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3094D296" w14:textId="77777777">
                <w:pPr>
                  <w:jc w:val="right"/>
                </w:pPr>
                <w:r>
                  <w:rPr>
                    <w:rFonts w:ascii="Arial" w:hAnsi="Arial"/>
                    <w:b/>
                    <w:sz w:val="16"/>
                  </w:rPr>
                  <w:t>TTY: 1-888-835-5322</w:t>
                </w:r>
              </w:p>
            </w:txbxContent>
          </v:textbox>
        </v:shape>
      </w:pict>
    </w:r>
  </w:p>
  <w:p w:rsidR="006F7393" w:rsidRPr="009838BC" w:rsidP="009838BC" w14:paraId="147F7AC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C35603F"/>
    <w:multiLevelType w:val="hybridMultilevel"/>
    <w:tmpl w:val="F83A602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C37120A"/>
    <w:multiLevelType w:val="hybridMultilevel"/>
    <w:tmpl w:val="2E388BA6"/>
    <w:lvl w:ilvl="0">
      <w:start w:val="1"/>
      <w:numFmt w:val="decimal"/>
      <w:lvlText w:val="%1."/>
      <w:lvlJc w:val="left"/>
      <w:pPr>
        <w:ind w:left="1443" w:hanging="360"/>
      </w:pPr>
    </w:lvl>
    <w:lvl w:ilvl="1" w:tentative="1">
      <w:start w:val="1"/>
      <w:numFmt w:val="lowerLetter"/>
      <w:lvlText w:val="%2."/>
      <w:lvlJc w:val="left"/>
      <w:pPr>
        <w:ind w:left="2163" w:hanging="360"/>
      </w:pPr>
    </w:lvl>
    <w:lvl w:ilvl="2" w:tentative="1">
      <w:start w:val="1"/>
      <w:numFmt w:val="lowerRoman"/>
      <w:lvlText w:val="%3."/>
      <w:lvlJc w:val="right"/>
      <w:pPr>
        <w:ind w:left="2883" w:hanging="180"/>
      </w:pPr>
    </w:lvl>
    <w:lvl w:ilvl="3" w:tentative="1">
      <w:start w:val="1"/>
      <w:numFmt w:val="decimal"/>
      <w:lvlText w:val="%4."/>
      <w:lvlJc w:val="left"/>
      <w:pPr>
        <w:ind w:left="3603" w:hanging="360"/>
      </w:pPr>
    </w:lvl>
    <w:lvl w:ilvl="4" w:tentative="1">
      <w:start w:val="1"/>
      <w:numFmt w:val="lowerLetter"/>
      <w:lvlText w:val="%5."/>
      <w:lvlJc w:val="left"/>
      <w:pPr>
        <w:ind w:left="4323" w:hanging="360"/>
      </w:pPr>
    </w:lvl>
    <w:lvl w:ilvl="5" w:tentative="1">
      <w:start w:val="1"/>
      <w:numFmt w:val="lowerRoman"/>
      <w:lvlText w:val="%6."/>
      <w:lvlJc w:val="right"/>
      <w:pPr>
        <w:ind w:left="5043" w:hanging="180"/>
      </w:pPr>
    </w:lvl>
    <w:lvl w:ilvl="6" w:tentative="1">
      <w:start w:val="1"/>
      <w:numFmt w:val="decimal"/>
      <w:lvlText w:val="%7."/>
      <w:lvlJc w:val="left"/>
      <w:pPr>
        <w:ind w:left="5763" w:hanging="360"/>
      </w:pPr>
    </w:lvl>
    <w:lvl w:ilvl="7" w:tentative="1">
      <w:start w:val="1"/>
      <w:numFmt w:val="lowerLetter"/>
      <w:lvlText w:val="%8."/>
      <w:lvlJc w:val="left"/>
      <w:pPr>
        <w:ind w:left="6483" w:hanging="360"/>
      </w:pPr>
    </w:lvl>
    <w:lvl w:ilvl="8" w:tentative="1">
      <w:start w:val="1"/>
      <w:numFmt w:val="lowerRoman"/>
      <w:lvlText w:val="%9."/>
      <w:lvlJc w:val="right"/>
      <w:pPr>
        <w:ind w:left="7203"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6C"/>
    <w:rsid w:val="000072CE"/>
    <w:rsid w:val="00013A8B"/>
    <w:rsid w:val="00021445"/>
    <w:rsid w:val="00036039"/>
    <w:rsid w:val="00037F90"/>
    <w:rsid w:val="00081A1D"/>
    <w:rsid w:val="000875BF"/>
    <w:rsid w:val="00096D8C"/>
    <w:rsid w:val="000C0B65"/>
    <w:rsid w:val="000E3D42"/>
    <w:rsid w:val="000E5884"/>
    <w:rsid w:val="00122BD5"/>
    <w:rsid w:val="001979D9"/>
    <w:rsid w:val="001C4139"/>
    <w:rsid w:val="001D6BCF"/>
    <w:rsid w:val="001E01CA"/>
    <w:rsid w:val="002060D9"/>
    <w:rsid w:val="00226822"/>
    <w:rsid w:val="0023033E"/>
    <w:rsid w:val="00260594"/>
    <w:rsid w:val="00285017"/>
    <w:rsid w:val="002A2D2E"/>
    <w:rsid w:val="003222F3"/>
    <w:rsid w:val="00343749"/>
    <w:rsid w:val="00357D50"/>
    <w:rsid w:val="003925DC"/>
    <w:rsid w:val="003B0550"/>
    <w:rsid w:val="003B694F"/>
    <w:rsid w:val="003D5132"/>
    <w:rsid w:val="003F171C"/>
    <w:rsid w:val="00412FC5"/>
    <w:rsid w:val="00422276"/>
    <w:rsid w:val="004242F1"/>
    <w:rsid w:val="00433C9D"/>
    <w:rsid w:val="00445A00"/>
    <w:rsid w:val="00451B0F"/>
    <w:rsid w:val="0046125F"/>
    <w:rsid w:val="0048120F"/>
    <w:rsid w:val="00487524"/>
    <w:rsid w:val="00496106"/>
    <w:rsid w:val="004C12D0"/>
    <w:rsid w:val="004C2EE3"/>
    <w:rsid w:val="004D3814"/>
    <w:rsid w:val="004E4A22"/>
    <w:rsid w:val="005053E5"/>
    <w:rsid w:val="00511968"/>
    <w:rsid w:val="00534B64"/>
    <w:rsid w:val="0055614C"/>
    <w:rsid w:val="00563C8F"/>
    <w:rsid w:val="00607BA5"/>
    <w:rsid w:val="00626EB6"/>
    <w:rsid w:val="006353A3"/>
    <w:rsid w:val="00651C71"/>
    <w:rsid w:val="00655D03"/>
    <w:rsid w:val="0065647D"/>
    <w:rsid w:val="00683F84"/>
    <w:rsid w:val="00697686"/>
    <w:rsid w:val="006A6A81"/>
    <w:rsid w:val="006E26AF"/>
    <w:rsid w:val="006F7393"/>
    <w:rsid w:val="0070224F"/>
    <w:rsid w:val="007115F7"/>
    <w:rsid w:val="0072377A"/>
    <w:rsid w:val="00785689"/>
    <w:rsid w:val="0079754B"/>
    <w:rsid w:val="007A1A2D"/>
    <w:rsid w:val="007A1E6D"/>
    <w:rsid w:val="007C24DA"/>
    <w:rsid w:val="00822CE0"/>
    <w:rsid w:val="00837C62"/>
    <w:rsid w:val="00841AB1"/>
    <w:rsid w:val="008C22FD"/>
    <w:rsid w:val="00910F12"/>
    <w:rsid w:val="00926503"/>
    <w:rsid w:val="00930ECF"/>
    <w:rsid w:val="009430A8"/>
    <w:rsid w:val="009803E6"/>
    <w:rsid w:val="009838BC"/>
    <w:rsid w:val="00A101B2"/>
    <w:rsid w:val="00A45F4F"/>
    <w:rsid w:val="00A600A9"/>
    <w:rsid w:val="00A81F34"/>
    <w:rsid w:val="00A866AC"/>
    <w:rsid w:val="00AA55B7"/>
    <w:rsid w:val="00AA5B9E"/>
    <w:rsid w:val="00AB18E4"/>
    <w:rsid w:val="00AB2407"/>
    <w:rsid w:val="00AB53DF"/>
    <w:rsid w:val="00AD3AF4"/>
    <w:rsid w:val="00B07E5C"/>
    <w:rsid w:val="00B326E3"/>
    <w:rsid w:val="00B811F7"/>
    <w:rsid w:val="00B8715D"/>
    <w:rsid w:val="00BA3C33"/>
    <w:rsid w:val="00BA5DC6"/>
    <w:rsid w:val="00BA6196"/>
    <w:rsid w:val="00BC6D8C"/>
    <w:rsid w:val="00C01D7B"/>
    <w:rsid w:val="00C16AF2"/>
    <w:rsid w:val="00C27385"/>
    <w:rsid w:val="00C34006"/>
    <w:rsid w:val="00C426B1"/>
    <w:rsid w:val="00C4338E"/>
    <w:rsid w:val="00C82B6B"/>
    <w:rsid w:val="00C90D6A"/>
    <w:rsid w:val="00CC72B6"/>
    <w:rsid w:val="00CD44B1"/>
    <w:rsid w:val="00CD54D3"/>
    <w:rsid w:val="00CD563E"/>
    <w:rsid w:val="00CE7037"/>
    <w:rsid w:val="00D0218D"/>
    <w:rsid w:val="00D216CD"/>
    <w:rsid w:val="00DA2529"/>
    <w:rsid w:val="00DB130A"/>
    <w:rsid w:val="00DC10A1"/>
    <w:rsid w:val="00DC655F"/>
    <w:rsid w:val="00DD7EBD"/>
    <w:rsid w:val="00DF1B4D"/>
    <w:rsid w:val="00DF62B6"/>
    <w:rsid w:val="00E07225"/>
    <w:rsid w:val="00E155B7"/>
    <w:rsid w:val="00E2486E"/>
    <w:rsid w:val="00E27C6C"/>
    <w:rsid w:val="00E46A24"/>
    <w:rsid w:val="00E5409F"/>
    <w:rsid w:val="00EB4207"/>
    <w:rsid w:val="00EC0185"/>
    <w:rsid w:val="00EC1267"/>
    <w:rsid w:val="00ED502A"/>
    <w:rsid w:val="00F021FA"/>
    <w:rsid w:val="00F0764B"/>
    <w:rsid w:val="00F45F1E"/>
    <w:rsid w:val="00F57ACA"/>
    <w:rsid w:val="00F62E97"/>
    <w:rsid w:val="00F64209"/>
    <w:rsid w:val="00F93BF5"/>
    <w:rsid w:val="00F96F63"/>
    <w:rsid w:val="00FD4E18"/>
    <w:rsid w:val="00FF79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B25ECCA-B076-4E0A-A671-E4084C83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 + Italic,Footnote Text Char Char,Footnote Text Char Char Char Char,Footnote Text Char1,Footnote Text Char2 Char Char2 Char2 Char Char,Footnote Text Char4 Char Char1 Char Char,Footnote Text Char5 Char,Footnote Text Char5 Char Char,f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ListParagraph">
    <w:name w:val="List Paragraph"/>
    <w:basedOn w:val="Normal"/>
    <w:uiPriority w:val="34"/>
    <w:qFormat/>
    <w:rsid w:val="00FD4E18"/>
    <w:pPr>
      <w:ind w:left="720"/>
    </w:pPr>
  </w:style>
  <w:style w:type="character" w:customStyle="1" w:styleId="UnresolvedMention">
    <w:name w:val="Unresolved Mention"/>
    <w:uiPriority w:val="99"/>
    <w:semiHidden/>
    <w:unhideWhenUsed/>
    <w:rsid w:val="0048120F"/>
    <w:rPr>
      <w:color w:val="605E5C"/>
      <w:shd w:val="clear" w:color="auto" w:fill="E1DFDD"/>
    </w:rPr>
  </w:style>
  <w:style w:type="paragraph" w:styleId="BalloonText">
    <w:name w:val="Balloon Text"/>
    <w:basedOn w:val="Normal"/>
    <w:link w:val="BalloonTextChar"/>
    <w:uiPriority w:val="99"/>
    <w:semiHidden/>
    <w:unhideWhenUsed/>
    <w:rsid w:val="006564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47D"/>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1C4139"/>
    <w:rPr>
      <w:sz w:val="16"/>
      <w:szCs w:val="16"/>
    </w:rPr>
  </w:style>
  <w:style w:type="paragraph" w:styleId="CommentText">
    <w:name w:val="annotation text"/>
    <w:basedOn w:val="Normal"/>
    <w:link w:val="CommentTextChar"/>
    <w:uiPriority w:val="99"/>
    <w:semiHidden/>
    <w:unhideWhenUsed/>
    <w:rsid w:val="001C4139"/>
    <w:rPr>
      <w:sz w:val="20"/>
    </w:rPr>
  </w:style>
  <w:style w:type="character" w:customStyle="1" w:styleId="CommentTextChar">
    <w:name w:val="Comment Text Char"/>
    <w:basedOn w:val="DefaultParagraphFont"/>
    <w:link w:val="CommentText"/>
    <w:uiPriority w:val="99"/>
    <w:semiHidden/>
    <w:rsid w:val="001C4139"/>
    <w:rPr>
      <w:snapToGrid w:val="0"/>
      <w:kern w:val="28"/>
    </w:rPr>
  </w:style>
  <w:style w:type="paragraph" w:styleId="CommentSubject">
    <w:name w:val="annotation subject"/>
    <w:basedOn w:val="CommentText"/>
    <w:next w:val="CommentText"/>
    <w:link w:val="CommentSubjectChar"/>
    <w:uiPriority w:val="99"/>
    <w:semiHidden/>
    <w:unhideWhenUsed/>
    <w:rsid w:val="001C4139"/>
    <w:rPr>
      <w:b/>
      <w:bCs/>
    </w:rPr>
  </w:style>
  <w:style w:type="character" w:customStyle="1" w:styleId="CommentSubjectChar">
    <w:name w:val="Comment Subject Char"/>
    <w:basedOn w:val="CommentTextChar"/>
    <w:link w:val="CommentSubject"/>
    <w:uiPriority w:val="99"/>
    <w:semiHidden/>
    <w:rsid w:val="001C4139"/>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TAMediation@squirepb.com" TargetMode="External" /><Relationship Id="rId6" Type="http://schemas.openxmlformats.org/officeDocument/2006/relationships/hyperlink" Target="mailto:RebandingReconfig@sprint.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urldefense.proofpoint.com/v2/url?u=http-3A__800ta.org_content_resources_ADR-5FPlan.pdf&amp;d=DwMFAg&amp;c=y0h0omCe0jAUGr4gAQ02Fw&amp;r=bqhEtpIBzsm-N-K8ke4_D1XmatxJN95_61ipnY1awT8&amp;m=CZ8-8_YJ8U9bQEYzZaxwrtHr3V-a2oeL2yBKTSTn_l0&amp;s=SSBc96ROj7CRXBaoeLvPrgjSoQOFrlmfJjm0slh3Fw4&amp;e="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