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FC4F61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2222454" w14:textId="77777777">
      <w:pPr>
        <w:pStyle w:val="StyleBoldCentered"/>
      </w:pPr>
      <w:r>
        <w:t>F</w:t>
      </w:r>
      <w:r>
        <w:rPr>
          <w:caps w:val="0"/>
        </w:rPr>
        <w:t>ederal Communications Commission</w:t>
      </w:r>
    </w:p>
    <w:p w:rsidR="004C2EE3" w:rsidP="00096D8C" w14:paraId="02D87F0A" w14:textId="77777777">
      <w:pPr>
        <w:pStyle w:val="StyleBoldCentered"/>
      </w:pPr>
      <w:r>
        <w:rPr>
          <w:caps w:val="0"/>
        </w:rPr>
        <w:t>Washington, D.C. 20554</w:t>
      </w:r>
    </w:p>
    <w:p w:rsidR="004C2EE3" w:rsidP="0070224F" w14:paraId="468E51EA" w14:textId="77777777"/>
    <w:p w:rsidR="004C2EE3" w:rsidP="0070224F" w14:paraId="5CE94916" w14:textId="77777777"/>
    <w:tbl>
      <w:tblPr>
        <w:tblW w:w="0" w:type="auto"/>
        <w:tblLayout w:type="fixed"/>
        <w:tblLook w:val="0000"/>
      </w:tblPr>
      <w:tblGrid>
        <w:gridCol w:w="4698"/>
        <w:gridCol w:w="630"/>
        <w:gridCol w:w="4248"/>
      </w:tblGrid>
      <w:tr w14:paraId="0F13FACA" w14:textId="77777777">
        <w:tblPrEx>
          <w:tblW w:w="0" w:type="auto"/>
          <w:tblLayout w:type="fixed"/>
          <w:tblLook w:val="0000"/>
        </w:tblPrEx>
        <w:tc>
          <w:tcPr>
            <w:tcW w:w="4698" w:type="dxa"/>
          </w:tcPr>
          <w:p w:rsidR="004C2EE3" w14:paraId="7CA5C1FB" w14:textId="77777777">
            <w:pPr>
              <w:tabs>
                <w:tab w:val="center" w:pos="4680"/>
              </w:tabs>
              <w:suppressAutoHyphens/>
              <w:rPr>
                <w:spacing w:val="-2"/>
              </w:rPr>
            </w:pPr>
            <w:r>
              <w:rPr>
                <w:spacing w:val="-2"/>
              </w:rPr>
              <w:t>In the Matter of</w:t>
            </w:r>
          </w:p>
          <w:p w:rsidR="004C2EE3" w14:paraId="7E0FB716" w14:textId="77777777">
            <w:pPr>
              <w:tabs>
                <w:tab w:val="center" w:pos="4680"/>
              </w:tabs>
              <w:suppressAutoHyphens/>
              <w:rPr>
                <w:spacing w:val="-2"/>
              </w:rPr>
            </w:pPr>
          </w:p>
          <w:p w:rsidR="004C2EE3" w:rsidP="007115F7" w14:paraId="778EA85C" w14:textId="00042B92">
            <w:pPr>
              <w:tabs>
                <w:tab w:val="center" w:pos="4680"/>
              </w:tabs>
              <w:suppressAutoHyphens/>
              <w:rPr>
                <w:spacing w:val="-2"/>
              </w:rPr>
            </w:pPr>
            <w:r>
              <w:rPr>
                <w:spacing w:val="-2"/>
              </w:rPr>
              <w:t xml:space="preserve">Request for Review </w:t>
            </w:r>
            <w:r w:rsidR="00770925">
              <w:rPr>
                <w:spacing w:val="-2"/>
              </w:rPr>
              <w:t xml:space="preserve">or Waiver </w:t>
            </w:r>
            <w:r>
              <w:rPr>
                <w:spacing w:val="-2"/>
              </w:rPr>
              <w:t>by Maniilaq Association of Decision of Universal Service Administrator</w:t>
            </w:r>
          </w:p>
          <w:p w:rsidR="00DC7EE1" w:rsidP="007115F7" w14:paraId="36DDB860" w14:textId="77777777">
            <w:pPr>
              <w:tabs>
                <w:tab w:val="center" w:pos="4680"/>
              </w:tabs>
              <w:suppressAutoHyphens/>
              <w:rPr>
                <w:spacing w:val="-2"/>
              </w:rPr>
            </w:pPr>
          </w:p>
          <w:p w:rsidR="00DC7EE1" w:rsidP="007115F7" w14:paraId="72F70487" w14:textId="77777777">
            <w:pPr>
              <w:tabs>
                <w:tab w:val="center" w:pos="4680"/>
              </w:tabs>
              <w:suppressAutoHyphens/>
              <w:rPr>
                <w:spacing w:val="-2"/>
              </w:rPr>
            </w:pPr>
            <w:r>
              <w:rPr>
                <w:spacing w:val="-2"/>
              </w:rPr>
              <w:t>Rural Health Care Universal Service</w:t>
            </w:r>
          </w:p>
          <w:p w:rsidR="00DC7EE1" w:rsidRPr="007115F7" w:rsidP="007115F7" w14:paraId="09759E17" w14:textId="77777777">
            <w:pPr>
              <w:tabs>
                <w:tab w:val="center" w:pos="4680"/>
              </w:tabs>
              <w:suppressAutoHyphens/>
              <w:rPr>
                <w:spacing w:val="-2"/>
              </w:rPr>
            </w:pPr>
            <w:r>
              <w:rPr>
                <w:spacing w:val="-2"/>
              </w:rPr>
              <w:t>Support Mechanism</w:t>
            </w:r>
          </w:p>
        </w:tc>
        <w:tc>
          <w:tcPr>
            <w:tcW w:w="630" w:type="dxa"/>
          </w:tcPr>
          <w:p w:rsidR="004C2EE3" w14:paraId="003E9354" w14:textId="77777777">
            <w:pPr>
              <w:tabs>
                <w:tab w:val="center" w:pos="4680"/>
              </w:tabs>
              <w:suppressAutoHyphens/>
              <w:rPr>
                <w:b/>
                <w:spacing w:val="-2"/>
              </w:rPr>
            </w:pPr>
            <w:r>
              <w:rPr>
                <w:b/>
                <w:spacing w:val="-2"/>
              </w:rPr>
              <w:t>)</w:t>
            </w:r>
          </w:p>
          <w:p w:rsidR="004C2EE3" w14:paraId="7BA6AF1D" w14:textId="77777777">
            <w:pPr>
              <w:tabs>
                <w:tab w:val="center" w:pos="4680"/>
              </w:tabs>
              <w:suppressAutoHyphens/>
              <w:rPr>
                <w:b/>
                <w:spacing w:val="-2"/>
              </w:rPr>
            </w:pPr>
            <w:r>
              <w:rPr>
                <w:b/>
                <w:spacing w:val="-2"/>
              </w:rPr>
              <w:t>)</w:t>
            </w:r>
          </w:p>
          <w:p w:rsidR="004C2EE3" w14:paraId="4498F52E" w14:textId="77777777">
            <w:pPr>
              <w:tabs>
                <w:tab w:val="center" w:pos="4680"/>
              </w:tabs>
              <w:suppressAutoHyphens/>
              <w:rPr>
                <w:b/>
                <w:spacing w:val="-2"/>
              </w:rPr>
            </w:pPr>
            <w:r>
              <w:rPr>
                <w:b/>
                <w:spacing w:val="-2"/>
              </w:rPr>
              <w:t>)</w:t>
            </w:r>
          </w:p>
          <w:p w:rsidR="004C2EE3" w14:paraId="3B02C180" w14:textId="77777777">
            <w:pPr>
              <w:tabs>
                <w:tab w:val="center" w:pos="4680"/>
              </w:tabs>
              <w:suppressAutoHyphens/>
              <w:rPr>
                <w:b/>
                <w:spacing w:val="-2"/>
              </w:rPr>
            </w:pPr>
            <w:r>
              <w:rPr>
                <w:b/>
                <w:spacing w:val="-2"/>
              </w:rPr>
              <w:t>)</w:t>
            </w:r>
          </w:p>
          <w:p w:rsidR="004C2EE3" w14:paraId="73C61287" w14:textId="77777777">
            <w:pPr>
              <w:tabs>
                <w:tab w:val="center" w:pos="4680"/>
              </w:tabs>
              <w:suppressAutoHyphens/>
              <w:rPr>
                <w:b/>
                <w:spacing w:val="-2"/>
              </w:rPr>
            </w:pPr>
            <w:r>
              <w:rPr>
                <w:b/>
                <w:spacing w:val="-2"/>
              </w:rPr>
              <w:t>)</w:t>
            </w:r>
          </w:p>
          <w:p w:rsidR="004C2EE3" w14:paraId="10C1CCBE" w14:textId="77777777">
            <w:pPr>
              <w:tabs>
                <w:tab w:val="center" w:pos="4680"/>
              </w:tabs>
              <w:suppressAutoHyphens/>
              <w:rPr>
                <w:b/>
                <w:spacing w:val="-2"/>
              </w:rPr>
            </w:pPr>
            <w:r>
              <w:rPr>
                <w:b/>
                <w:spacing w:val="-2"/>
              </w:rPr>
              <w:t>)</w:t>
            </w:r>
          </w:p>
          <w:p w:rsidR="006D6490" w:rsidP="006D6490" w14:paraId="051D2B48" w14:textId="49AD53C8">
            <w:pPr>
              <w:tabs>
                <w:tab w:val="center" w:pos="4680"/>
              </w:tabs>
              <w:suppressAutoHyphens/>
              <w:rPr>
                <w:b/>
                <w:spacing w:val="-2"/>
              </w:rPr>
            </w:pPr>
            <w:r>
              <w:rPr>
                <w:b/>
                <w:spacing w:val="-2"/>
              </w:rPr>
              <w:t>)</w:t>
            </w:r>
          </w:p>
          <w:p w:rsidR="004C2EE3" w14:paraId="4B120C26" w14:textId="6ED1FE18">
            <w:pPr>
              <w:tabs>
                <w:tab w:val="center" w:pos="4680"/>
              </w:tabs>
              <w:suppressAutoHyphens/>
              <w:rPr>
                <w:spacing w:val="-2"/>
              </w:rPr>
            </w:pPr>
            <w:r>
              <w:rPr>
                <w:spacing w:val="-2"/>
              </w:rPr>
              <w:t>)</w:t>
            </w:r>
          </w:p>
        </w:tc>
        <w:tc>
          <w:tcPr>
            <w:tcW w:w="4248" w:type="dxa"/>
          </w:tcPr>
          <w:p w:rsidR="004C2EE3" w14:paraId="0E68E0FA" w14:textId="77777777">
            <w:pPr>
              <w:tabs>
                <w:tab w:val="center" w:pos="4680"/>
              </w:tabs>
              <w:suppressAutoHyphens/>
              <w:rPr>
                <w:spacing w:val="-2"/>
              </w:rPr>
            </w:pPr>
          </w:p>
          <w:p w:rsidR="004C2EE3" w14:paraId="688BA21F" w14:textId="77777777">
            <w:pPr>
              <w:pStyle w:val="TOAHeading"/>
              <w:tabs>
                <w:tab w:val="center" w:pos="4680"/>
                <w:tab w:val="clear" w:pos="9360"/>
              </w:tabs>
              <w:rPr>
                <w:spacing w:val="-2"/>
              </w:rPr>
            </w:pPr>
          </w:p>
          <w:p w:rsidR="00DC7EE1" w:rsidP="00DC7EE1" w14:paraId="4FD76E28" w14:textId="77777777"/>
          <w:p w:rsidR="00DC7EE1" w:rsidP="00DC7EE1" w14:paraId="16A9C7C8" w14:textId="77777777"/>
          <w:p w:rsidR="00DC7EE1" w:rsidP="00DC7EE1" w14:paraId="0A61EF91" w14:textId="24AB1F86"/>
          <w:p w:rsidR="00532956" w:rsidP="00DC7EE1" w14:paraId="53E526CE" w14:textId="77777777"/>
          <w:p w:rsidR="006D6490" w:rsidRPr="00DC7EE1" w:rsidP="00DC7EE1" w14:paraId="6A305215" w14:textId="031DD39F">
            <w:r>
              <w:rPr>
                <w:spacing w:val="-2"/>
              </w:rPr>
              <w:t>WC Docket No. 02-60</w:t>
            </w:r>
          </w:p>
          <w:p w:rsidR="004C2EE3" w14:paraId="5AC9E99C" w14:textId="521B79D5">
            <w:pPr>
              <w:tabs>
                <w:tab w:val="center" w:pos="4680"/>
              </w:tabs>
              <w:suppressAutoHyphens/>
              <w:rPr>
                <w:spacing w:val="-2"/>
              </w:rPr>
            </w:pPr>
          </w:p>
        </w:tc>
      </w:tr>
    </w:tbl>
    <w:p w:rsidR="00783A9A" w:rsidP="00F021FA" w14:paraId="3EEAC980" w14:textId="77777777">
      <w:pPr>
        <w:pStyle w:val="StyleBoldCentered"/>
      </w:pPr>
    </w:p>
    <w:p w:rsidR="00841AB1" w:rsidP="00F021FA" w14:paraId="0C88C731" w14:textId="63C60641">
      <w:pPr>
        <w:pStyle w:val="StyleBoldCentered"/>
      </w:pPr>
      <w:r>
        <w:t>ORDER</w:t>
      </w:r>
    </w:p>
    <w:p w:rsidR="004C2EE3" w14:paraId="764E51ED" w14:textId="77777777">
      <w:pPr>
        <w:tabs>
          <w:tab w:val="left" w:pos="-720"/>
        </w:tabs>
        <w:suppressAutoHyphens/>
        <w:spacing w:line="227" w:lineRule="auto"/>
        <w:rPr>
          <w:spacing w:val="-2"/>
        </w:rPr>
      </w:pPr>
    </w:p>
    <w:p w:rsidR="004C2EE3" w:rsidP="00133F79" w14:paraId="35A9FAF7" w14:textId="0C221641">
      <w:pPr>
        <w:tabs>
          <w:tab w:val="left" w:pos="720"/>
          <w:tab w:val="right" w:pos="9360"/>
        </w:tabs>
        <w:suppressAutoHyphens/>
        <w:spacing w:line="227" w:lineRule="auto"/>
        <w:rPr>
          <w:spacing w:val="-2"/>
        </w:rPr>
      </w:pPr>
      <w:r>
        <w:rPr>
          <w:b/>
          <w:spacing w:val="-2"/>
        </w:rPr>
        <w:t xml:space="preserve">Adopted: </w:t>
      </w:r>
      <w:r w:rsidR="00DC7EE1">
        <w:rPr>
          <w:b/>
          <w:spacing w:val="-2"/>
        </w:rPr>
        <w:t xml:space="preserve"> </w:t>
      </w:r>
      <w:r w:rsidRPr="00354246" w:rsidR="00DC7EE1">
        <w:rPr>
          <w:b/>
          <w:spacing w:val="-2"/>
        </w:rPr>
        <w:t xml:space="preserve"> </w:t>
      </w:r>
      <w:r w:rsidRPr="00354246" w:rsidR="00354246">
        <w:rPr>
          <w:b/>
          <w:spacing w:val="-2"/>
        </w:rPr>
        <w:t>February 19,</w:t>
      </w:r>
      <w:r w:rsidRPr="00354246" w:rsidR="00DC7EE1">
        <w:rPr>
          <w:b/>
          <w:spacing w:val="-2"/>
        </w:rPr>
        <w:t xml:space="preserve"> 20</w:t>
      </w:r>
      <w:r w:rsidRPr="00354246" w:rsidR="004C2170">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Pr="00354246" w:rsidR="00354246">
        <w:rPr>
          <w:b/>
          <w:spacing w:val="-2"/>
        </w:rPr>
        <w:t>February 19</w:t>
      </w:r>
      <w:r w:rsidRPr="00354246" w:rsidR="00DC7EE1">
        <w:rPr>
          <w:b/>
          <w:spacing w:val="-2"/>
        </w:rPr>
        <w:t>, 20</w:t>
      </w:r>
      <w:r w:rsidRPr="00354246" w:rsidR="004C2170">
        <w:rPr>
          <w:b/>
          <w:spacing w:val="-2"/>
        </w:rPr>
        <w:t>20</w:t>
      </w:r>
    </w:p>
    <w:p w:rsidR="00822CE0" w14:paraId="550DB7F6" w14:textId="77777777"/>
    <w:p w:rsidR="004C2EE3" w14:paraId="0A57373B" w14:textId="77777777">
      <w:pPr>
        <w:rPr>
          <w:spacing w:val="-2"/>
        </w:rPr>
      </w:pPr>
      <w:r>
        <w:t xml:space="preserve">By </w:t>
      </w:r>
      <w:r w:rsidR="004E4A22">
        <w:t>the</w:t>
      </w:r>
      <w:r w:rsidR="00DC7EE1">
        <w:t xml:space="preserve"> </w:t>
      </w:r>
      <w:r w:rsidR="00DC7EE1">
        <w:rPr>
          <w:spacing w:val="-2"/>
        </w:rPr>
        <w:t>Chief, Telecommunications Access Policy Division, Wireline Competition Bureau</w:t>
      </w:r>
    </w:p>
    <w:p w:rsidR="00822CE0" w14:paraId="4EEE8443" w14:textId="77777777">
      <w:pPr>
        <w:rPr>
          <w:spacing w:val="-2"/>
        </w:rPr>
      </w:pPr>
    </w:p>
    <w:p w:rsidR="00412FC5" w:rsidP="00990111" w14:paraId="2F54D02A" w14:textId="77777777">
      <w:pPr>
        <w:pStyle w:val="Heading1"/>
        <w:rPr>
          <w:b w:val="0"/>
        </w:rPr>
      </w:pPr>
      <w:r w:rsidRPr="00990111">
        <w:t>INTRODUCTION</w:t>
      </w:r>
    </w:p>
    <w:p w:rsidR="004362DF" w:rsidRPr="005D70DF" w:rsidP="005D70DF" w14:paraId="6C62F667" w14:textId="05AD285D">
      <w:pPr>
        <w:pStyle w:val="ParaNum"/>
        <w:rPr>
          <w:rFonts w:ascii="TimesNewRomanPSMT" w:hAnsi="TimesNewRomanPSMT" w:cs="TimesNewRomanPSMT"/>
          <w:snapToGrid/>
          <w:kern w:val="0"/>
          <w:szCs w:val="22"/>
        </w:rPr>
      </w:pPr>
      <w:r>
        <w:t xml:space="preserve">In this Order, </w:t>
      </w:r>
      <w:r w:rsidR="00354246">
        <w:t>w</w:t>
      </w:r>
      <w:r>
        <w:t xml:space="preserve">e </w:t>
      </w:r>
      <w:r w:rsidR="006D6490">
        <w:t xml:space="preserve">address a </w:t>
      </w:r>
      <w:r w:rsidR="00802465">
        <w:t xml:space="preserve">Request for Review or Waiver </w:t>
      </w:r>
      <w:r w:rsidR="006D6490">
        <w:t xml:space="preserve">from Maniilaq Association (Maniilaq) </w:t>
      </w:r>
      <w:r w:rsidR="00802465">
        <w:t xml:space="preserve">involving a </w:t>
      </w:r>
      <w:r w:rsidRPr="00E4633A" w:rsidR="006D6490">
        <w:t>decision</w:t>
      </w:r>
      <w:r w:rsidR="00E4633A">
        <w:t xml:space="preserve"> by </w:t>
      </w:r>
      <w:r w:rsidR="006D6490">
        <w:t xml:space="preserve">the Universal Service Administrative Company (USAC) </w:t>
      </w:r>
      <w:r w:rsidR="00802465">
        <w:t xml:space="preserve">to deny </w:t>
      </w:r>
      <w:r w:rsidR="006D6490">
        <w:t xml:space="preserve">funding </w:t>
      </w:r>
      <w:r w:rsidR="00802465">
        <w:t xml:space="preserve">to Maniilaq </w:t>
      </w:r>
      <w:r w:rsidR="006D6490">
        <w:t>under the Rural Health Care</w:t>
      </w:r>
      <w:r w:rsidR="00E00908">
        <w:t xml:space="preserve"> </w:t>
      </w:r>
      <w:r w:rsidR="006D6490">
        <w:t>Program’s Telecommunications (Telecom) Program for funding year 2017.</w:t>
      </w:r>
      <w:r>
        <w:rPr>
          <w:rStyle w:val="FootnoteReference"/>
        </w:rPr>
        <w:footnoteReference w:id="3"/>
      </w:r>
      <w:r w:rsidR="00990111">
        <w:t xml:space="preserve">  </w:t>
      </w:r>
      <w:r w:rsidR="00802465">
        <w:t xml:space="preserve">USAC denied the </w:t>
      </w:r>
      <w:r w:rsidR="00E00908">
        <w:t xml:space="preserve">funding </w:t>
      </w:r>
      <w:r w:rsidR="00802465">
        <w:t>request</w:t>
      </w:r>
      <w:r w:rsidR="00E00908">
        <w:t>s</w:t>
      </w:r>
      <w:r w:rsidR="00802465">
        <w:t xml:space="preserve"> because Maniilaq did not provide </w:t>
      </w:r>
      <w:r w:rsidR="009A15CF">
        <w:t>cop</w:t>
      </w:r>
      <w:r w:rsidR="00B82A0D">
        <w:t>ies</w:t>
      </w:r>
      <w:r w:rsidR="009A15CF">
        <w:t xml:space="preserve"> of the bid</w:t>
      </w:r>
      <w:r w:rsidR="00B82A0D">
        <w:t>s</w:t>
      </w:r>
      <w:r w:rsidR="009A15CF">
        <w:t xml:space="preserve"> </w:t>
      </w:r>
      <w:r w:rsidR="00C92FE9">
        <w:t xml:space="preserve">and responses </w:t>
      </w:r>
      <w:r w:rsidR="009A15CF">
        <w:t xml:space="preserve">it received as required by the </w:t>
      </w:r>
      <w:r w:rsidR="00802465">
        <w:t>Telecom Program’s competitive bidding rules.  Based on our review of the record</w:t>
      </w:r>
      <w:r w:rsidR="00535ED8">
        <w:t xml:space="preserve"> </w:t>
      </w:r>
      <w:r w:rsidR="00802465">
        <w:t xml:space="preserve">and the </w:t>
      </w:r>
      <w:r w:rsidR="009F19D8">
        <w:t xml:space="preserve">special </w:t>
      </w:r>
      <w:r w:rsidR="00802465">
        <w:t xml:space="preserve">circumstances presented here, we </w:t>
      </w:r>
      <w:r w:rsidR="00FE589B">
        <w:t xml:space="preserve">find that good cause exists </w:t>
      </w:r>
      <w:r w:rsidR="00535ED8">
        <w:t xml:space="preserve">for a limited </w:t>
      </w:r>
      <w:r w:rsidR="00802465">
        <w:t>waive</w:t>
      </w:r>
      <w:r w:rsidR="00535ED8">
        <w:t>r</w:t>
      </w:r>
      <w:r w:rsidR="00802465">
        <w:t xml:space="preserve"> </w:t>
      </w:r>
      <w:r w:rsidR="00535ED8">
        <w:t xml:space="preserve">of our </w:t>
      </w:r>
      <w:r w:rsidR="00802465">
        <w:t>competitive bidding rules</w:t>
      </w:r>
      <w:r w:rsidR="009A15CF">
        <w:t xml:space="preserve"> because Mani</w:t>
      </w:r>
      <w:r w:rsidR="004C7508">
        <w:t>i</w:t>
      </w:r>
      <w:r w:rsidR="009A15CF">
        <w:t>laq’s failure to provide cop</w:t>
      </w:r>
      <w:r w:rsidR="00B82A0D">
        <w:t>ies</w:t>
      </w:r>
      <w:r w:rsidR="009A15CF">
        <w:t xml:space="preserve"> of the bid</w:t>
      </w:r>
      <w:r w:rsidR="00B82A0D">
        <w:t>s</w:t>
      </w:r>
      <w:r w:rsidR="009A15CF">
        <w:t xml:space="preserve"> </w:t>
      </w:r>
      <w:r w:rsidR="00C92FE9">
        <w:t xml:space="preserve">and responses </w:t>
      </w:r>
      <w:r w:rsidR="009A15CF">
        <w:t>did not compromise fair and open competitive bidding</w:t>
      </w:r>
      <w:r w:rsidR="000B6C6A">
        <w:t xml:space="preserve"> in this instance</w:t>
      </w:r>
      <w:r w:rsidR="00802465">
        <w:t>.  Accordingly, we</w:t>
      </w:r>
      <w:r w:rsidR="00FE589B">
        <w:t xml:space="preserve"> </w:t>
      </w:r>
      <w:r w:rsidR="005D70DF">
        <w:t>remand the funding requests listed in Appendix A to USAC for further action consistent with this Order.  Additionally, we direct USAC to discontinue its recovery actions related to the funding requests listed in Appendix B and to reinstate these funding commitments no later than 60 calendar days from release of this Order.</w:t>
      </w:r>
      <w:r>
        <w:rPr>
          <w:rStyle w:val="FootnoteReference"/>
        </w:rPr>
        <w:footnoteReference w:id="4"/>
      </w:r>
    </w:p>
    <w:p w:rsidR="00990111" w:rsidP="00990111" w14:paraId="3BEFFCB1" w14:textId="77777777">
      <w:pPr>
        <w:pStyle w:val="Heading1"/>
      </w:pPr>
      <w:r>
        <w:t>Background</w:t>
      </w:r>
    </w:p>
    <w:p w:rsidR="00990111" w:rsidP="005B1685" w14:paraId="00BDDECF" w14:textId="176A77A0">
      <w:pPr>
        <w:pStyle w:val="ParaNum"/>
        <w:widowControl/>
      </w:pPr>
      <w:r>
        <w:t>The Telecom P</w:t>
      </w:r>
      <w:r w:rsidRPr="00596E76">
        <w:t>rogram</w:t>
      </w:r>
      <w:r>
        <w:t xml:space="preserve"> allows</w:t>
      </w:r>
      <w:r w:rsidRPr="00596E76">
        <w:t xml:space="preserve"> eligible </w:t>
      </w:r>
      <w:r>
        <w:t>rural health care providers to</w:t>
      </w:r>
      <w:r w:rsidRPr="00596E76">
        <w:t xml:space="preserve"> apply for universal service support for eligible services.</w:t>
      </w:r>
      <w:bookmarkStart w:id="0" w:name="FN[FN4]"/>
      <w:bookmarkEnd w:id="0"/>
      <w:r>
        <w:rPr>
          <w:vertAlign w:val="superscript"/>
        </w:rPr>
        <w:footnoteReference w:id="5"/>
      </w:r>
      <w:r w:rsidRPr="00596E76">
        <w:t xml:space="preserve">  </w:t>
      </w:r>
      <w:r>
        <w:t>T</w:t>
      </w:r>
      <w:r w:rsidR="0042219E">
        <w:t>he T</w:t>
      </w:r>
      <w:r>
        <w:t xml:space="preserve">elecom Program </w:t>
      </w:r>
      <w:r w:rsidRPr="00596E76">
        <w:t xml:space="preserve">rules </w:t>
      </w:r>
      <w:r>
        <w:t xml:space="preserve">generally require </w:t>
      </w:r>
      <w:r w:rsidRPr="00596E76">
        <w:t>that entities seek competitive bids for services eligible for support.</w:t>
      </w:r>
      <w:bookmarkStart w:id="1" w:name="FN[FN5]"/>
      <w:bookmarkEnd w:id="1"/>
      <w:r>
        <w:rPr>
          <w:vertAlign w:val="superscript"/>
        </w:rPr>
        <w:footnoteReference w:id="6"/>
      </w:r>
      <w:r w:rsidRPr="00596E76">
        <w:t xml:space="preserve">  In accordance with the </w:t>
      </w:r>
      <w:r>
        <w:t xml:space="preserve">Telecom Program’s </w:t>
      </w:r>
      <w:r w:rsidRPr="00596E76">
        <w:t xml:space="preserve">competitive bidding rules, </w:t>
      </w:r>
      <w:r w:rsidR="00283DFA">
        <w:t xml:space="preserve">an </w:t>
      </w:r>
      <w:r w:rsidRPr="00596E76">
        <w:t xml:space="preserve">applicant must </w:t>
      </w:r>
      <w:r w:rsidR="006D1D4A">
        <w:t xml:space="preserve">initiate the competitive bidding process by submitting </w:t>
      </w:r>
      <w:r w:rsidR="00283DFA">
        <w:t xml:space="preserve">a </w:t>
      </w:r>
      <w:r w:rsidR="000516B0">
        <w:t xml:space="preserve">service request </w:t>
      </w:r>
      <w:r w:rsidR="001E0D59">
        <w:t xml:space="preserve">using </w:t>
      </w:r>
      <w:r w:rsidR="00770925">
        <w:t xml:space="preserve">an </w:t>
      </w:r>
      <w:r w:rsidR="001E0D59">
        <w:t xml:space="preserve">FCC Form 465 </w:t>
      </w:r>
      <w:r w:rsidR="006D1D4A">
        <w:t>to USAC for posting on the USAC website.</w:t>
      </w:r>
      <w:r>
        <w:rPr>
          <w:vertAlign w:val="superscript"/>
        </w:rPr>
        <w:footnoteReference w:id="7"/>
      </w:r>
      <w:r w:rsidRPr="00990111">
        <w:rPr>
          <w:bCs/>
        </w:rPr>
        <w:t xml:space="preserve">  </w:t>
      </w:r>
      <w:r w:rsidR="006D1D4A">
        <w:rPr>
          <w:bCs/>
        </w:rPr>
        <w:t xml:space="preserve">After </w:t>
      </w:r>
      <w:r>
        <w:t xml:space="preserve">the </w:t>
      </w:r>
      <w:r w:rsidRPr="00596E76">
        <w:t>FCC Form 4</w:t>
      </w:r>
      <w:r>
        <w:t>65 is posted by USAC</w:t>
      </w:r>
      <w:r w:rsidRPr="00596E76">
        <w:t xml:space="preserve">, </w:t>
      </w:r>
      <w:r w:rsidR="00421873">
        <w:t xml:space="preserve">and following a period of at least 28 days, </w:t>
      </w:r>
      <w:r w:rsidRPr="00596E76">
        <w:t xml:space="preserve">the applicant </w:t>
      </w:r>
      <w:r w:rsidR="00421873">
        <w:t xml:space="preserve">may enter into a contract with its selected service provider and submit </w:t>
      </w:r>
      <w:r w:rsidR="00C26131">
        <w:t xml:space="preserve">a funding </w:t>
      </w:r>
      <w:r w:rsidR="009B53AA">
        <w:t xml:space="preserve">request </w:t>
      </w:r>
      <w:r w:rsidR="00C26131">
        <w:t xml:space="preserve">using </w:t>
      </w:r>
      <w:r w:rsidR="00421873">
        <w:t>FCC Form 466</w:t>
      </w:r>
      <w:r w:rsidR="00B4445F">
        <w:t>.</w:t>
      </w:r>
      <w:r>
        <w:rPr>
          <w:rStyle w:val="FootnoteReference"/>
        </w:rPr>
        <w:footnoteReference w:id="8"/>
      </w:r>
      <w:r w:rsidR="00B4445F">
        <w:t xml:space="preserve"> </w:t>
      </w:r>
      <w:r w:rsidR="00C7438F">
        <w:t xml:space="preserve"> Section 54.603(b)(4) of the Commission’s rules</w:t>
      </w:r>
      <w:r w:rsidR="00692196">
        <w:t xml:space="preserve"> </w:t>
      </w:r>
      <w:r w:rsidR="00C7438F">
        <w:t>require</w:t>
      </w:r>
      <w:r w:rsidR="008A083D">
        <w:t>s</w:t>
      </w:r>
      <w:r w:rsidR="00C7438F">
        <w:t xml:space="preserve"> that, as </w:t>
      </w:r>
      <w:r w:rsidR="00B4445F">
        <w:t>part of its funding</w:t>
      </w:r>
      <w:r w:rsidR="009B53AA">
        <w:t xml:space="preserve"> request</w:t>
      </w:r>
      <w:r w:rsidR="00B4445F">
        <w:t xml:space="preserve">, the applicant include copies of the responses or bids received in response </w:t>
      </w:r>
      <w:r w:rsidR="00C7438F">
        <w:t xml:space="preserve">to </w:t>
      </w:r>
      <w:r w:rsidR="006D1D4A">
        <w:t>the request for service</w:t>
      </w:r>
      <w:r w:rsidR="00B4445F">
        <w:t>.</w:t>
      </w:r>
      <w:r>
        <w:rPr>
          <w:rStyle w:val="FootnoteReference"/>
        </w:rPr>
        <w:footnoteReference w:id="9"/>
      </w:r>
      <w:r w:rsidR="00B4445F">
        <w:t xml:space="preserve">  USAC uses the </w:t>
      </w:r>
      <w:r w:rsidR="00C7438F">
        <w:t xml:space="preserve">FCC </w:t>
      </w:r>
      <w:r w:rsidR="00B4445F">
        <w:t>Form 466 and supporting documentation to determine, among othe</w:t>
      </w:r>
      <w:bookmarkStart w:id="2" w:name="_GoBack"/>
      <w:bookmarkEnd w:id="2"/>
      <w:r w:rsidR="00B4445F">
        <w:t xml:space="preserve">r things, the appropriate support payments from the Universal Service Fund. </w:t>
      </w:r>
      <w:bookmarkStart w:id="3" w:name="FN[FN15]"/>
      <w:bookmarkEnd w:id="3"/>
    </w:p>
    <w:p w:rsidR="009408EE" w:rsidP="00990111" w14:paraId="0F1949C6" w14:textId="6A7C0525">
      <w:pPr>
        <w:pStyle w:val="ParaNum"/>
      </w:pPr>
      <w:r>
        <w:t xml:space="preserve">Maniilaq </w:t>
      </w:r>
      <w:r w:rsidR="00E33917">
        <w:t xml:space="preserve">is the only </w:t>
      </w:r>
      <w:r>
        <w:t>health care</w:t>
      </w:r>
      <w:r w:rsidR="00E33917">
        <w:t xml:space="preserve"> provider serving</w:t>
      </w:r>
      <w:r w:rsidR="00CF74C9">
        <w:t xml:space="preserve"> </w:t>
      </w:r>
      <w:r>
        <w:t>Alaska Natives and other beneficiaries on behalf of 12 federally recognized tribal governments</w:t>
      </w:r>
      <w:r w:rsidR="006254A6">
        <w:t xml:space="preserve"> located in Northwest Alaska</w:t>
      </w:r>
      <w:r>
        <w:t>.</w:t>
      </w:r>
      <w:r>
        <w:rPr>
          <w:rStyle w:val="FootnoteReference"/>
        </w:rPr>
        <w:footnoteReference w:id="10"/>
      </w:r>
      <w:r>
        <w:t xml:space="preserve">  </w:t>
      </w:r>
      <w:r w:rsidR="001C7B94">
        <w:t>In 2014</w:t>
      </w:r>
      <w:r w:rsidR="001C3CED">
        <w:t xml:space="preserve"> and 2015, </w:t>
      </w:r>
      <w:r w:rsidR="001C7B94">
        <w:t xml:space="preserve">Maniilaq commenced </w:t>
      </w:r>
      <w:r w:rsidR="001F3FA4">
        <w:t xml:space="preserve">separate </w:t>
      </w:r>
      <w:r w:rsidR="001C7B94">
        <w:t>competitive bidding process</w:t>
      </w:r>
      <w:r>
        <w:t>es</w:t>
      </w:r>
      <w:r w:rsidR="001C7B94">
        <w:t xml:space="preserve"> by </w:t>
      </w:r>
      <w:r w:rsidR="00A503ED">
        <w:t xml:space="preserve">submitting </w:t>
      </w:r>
      <w:r w:rsidR="00E4633A">
        <w:t xml:space="preserve">two </w:t>
      </w:r>
      <w:r w:rsidR="001C7B94">
        <w:t xml:space="preserve">FCC Forms 465 </w:t>
      </w:r>
      <w:r w:rsidR="00CD413C">
        <w:t xml:space="preserve">requesting the provision of services to </w:t>
      </w:r>
      <w:r w:rsidR="001C7B94">
        <w:t xml:space="preserve">the </w:t>
      </w:r>
      <w:r w:rsidR="005B41AF">
        <w:t>Maniilaq</w:t>
      </w:r>
      <w:r w:rsidR="001C7B94">
        <w:t xml:space="preserve"> Medical Center</w:t>
      </w:r>
      <w:r w:rsidR="001C3CED">
        <w:t xml:space="preserve"> (</w:t>
      </w:r>
      <w:r w:rsidR="00CD413C">
        <w:t xml:space="preserve">in </w:t>
      </w:r>
      <w:r w:rsidR="001C3CED">
        <w:t>2014) and 11 village clinics (</w:t>
      </w:r>
      <w:r w:rsidR="00CD413C">
        <w:t xml:space="preserve">in </w:t>
      </w:r>
      <w:r w:rsidR="001C3CED">
        <w:t>2015)</w:t>
      </w:r>
      <w:r w:rsidR="001C7B94">
        <w:t>.</w:t>
      </w:r>
      <w:r>
        <w:rPr>
          <w:rStyle w:val="FootnoteReference"/>
        </w:rPr>
        <w:footnoteReference w:id="11"/>
      </w:r>
      <w:r w:rsidR="001C7B94">
        <w:t xml:space="preserve">  The 2014 request prompted a bid from GCI and a “short promotional brochure” from Earth</w:t>
      </w:r>
      <w:r w:rsidR="00BF3998">
        <w:t>L</w:t>
      </w:r>
      <w:r w:rsidR="001C7B94">
        <w:t xml:space="preserve">ink, the latter of which according to </w:t>
      </w:r>
      <w:r w:rsidR="005B41AF">
        <w:t>Maniilaq</w:t>
      </w:r>
      <w:r w:rsidR="001C7B94">
        <w:t xml:space="preserve"> lacked the </w:t>
      </w:r>
      <w:r w:rsidR="00CD413C">
        <w:t xml:space="preserve">technical </w:t>
      </w:r>
      <w:r w:rsidR="001C7B94">
        <w:t>detail, pricing, or terms of service necessary to qualify as a bid.</w:t>
      </w:r>
      <w:r>
        <w:rPr>
          <w:rStyle w:val="FootnoteReference"/>
        </w:rPr>
        <w:footnoteReference w:id="12"/>
      </w:r>
      <w:r w:rsidR="001C7B94">
        <w:t xml:space="preserve">  </w:t>
      </w:r>
      <w:r w:rsidR="005B41AF">
        <w:t>Maniilaq</w:t>
      </w:r>
      <w:r w:rsidR="001C7B94">
        <w:t xml:space="preserve"> contacted </w:t>
      </w:r>
      <w:r w:rsidR="00BF3998">
        <w:t>EarthLink</w:t>
      </w:r>
      <w:r w:rsidR="001C7B94">
        <w:t xml:space="preserve"> to seek clarification, whereupon it learned that </w:t>
      </w:r>
      <w:r w:rsidR="00BF3998">
        <w:t>EarthLink</w:t>
      </w:r>
      <w:r w:rsidR="001C7B94">
        <w:t xml:space="preserve"> did not offer the services that </w:t>
      </w:r>
      <w:r w:rsidR="005B41AF">
        <w:t>Maniilaq</w:t>
      </w:r>
      <w:r w:rsidR="001C7B94">
        <w:t xml:space="preserve"> required.</w:t>
      </w:r>
      <w:r>
        <w:rPr>
          <w:rStyle w:val="FootnoteReference"/>
        </w:rPr>
        <w:footnoteReference w:id="13"/>
      </w:r>
      <w:r w:rsidR="001C7B94">
        <w:t xml:space="preserve"> </w:t>
      </w:r>
      <w:r w:rsidR="007C62A6">
        <w:t xml:space="preserve"> </w:t>
      </w:r>
      <w:r w:rsidR="00E43E0D">
        <w:t>The 2015 request prompted only a bid from GCI.</w:t>
      </w:r>
      <w:r>
        <w:rPr>
          <w:rStyle w:val="FootnoteReference"/>
        </w:rPr>
        <w:footnoteReference w:id="14"/>
      </w:r>
      <w:r w:rsidR="00E43E0D">
        <w:t xml:space="preserve">  </w:t>
      </w:r>
      <w:r>
        <w:t xml:space="preserve">With GCI </w:t>
      </w:r>
      <w:r w:rsidR="00F917D3">
        <w:t xml:space="preserve">deemed </w:t>
      </w:r>
      <w:r>
        <w:t>the only viable bidder</w:t>
      </w:r>
      <w:r w:rsidR="001F3FA4">
        <w:t xml:space="preserve"> </w:t>
      </w:r>
      <w:r w:rsidR="00BF3E46">
        <w:t xml:space="preserve">in </w:t>
      </w:r>
      <w:r w:rsidR="009135C8">
        <w:t>2014 and 2015</w:t>
      </w:r>
      <w:r w:rsidR="00435F10">
        <w:t xml:space="preserve">, </w:t>
      </w:r>
      <w:r w:rsidR="005B41AF">
        <w:t>Maniilaq</w:t>
      </w:r>
      <w:r w:rsidR="001C7B94">
        <w:t xml:space="preserve"> entered into </w:t>
      </w:r>
      <w:r>
        <w:t xml:space="preserve">separate </w:t>
      </w:r>
      <w:r w:rsidR="001C7B94">
        <w:t>five-year agreement</w:t>
      </w:r>
      <w:r w:rsidR="00E43E0D">
        <w:t>s</w:t>
      </w:r>
      <w:r w:rsidR="001C7B94">
        <w:t xml:space="preserve"> with GCI</w:t>
      </w:r>
      <w:r w:rsidR="004D74A8">
        <w:t xml:space="preserve"> </w:t>
      </w:r>
      <w:r w:rsidR="009F3679">
        <w:t>covering the service requests</w:t>
      </w:r>
      <w:r w:rsidR="009135C8">
        <w:t xml:space="preserve"> for both years</w:t>
      </w:r>
      <w:r w:rsidR="00E4633A">
        <w:t>.</w:t>
      </w:r>
      <w:r>
        <w:rPr>
          <w:rStyle w:val="FootnoteReference"/>
        </w:rPr>
        <w:footnoteReference w:id="15"/>
      </w:r>
      <w:r w:rsidR="00E4633A">
        <w:t xml:space="preserve">  </w:t>
      </w:r>
      <w:r w:rsidR="001C7B94">
        <w:t xml:space="preserve">When it submitted </w:t>
      </w:r>
      <w:r w:rsidR="004D74A8">
        <w:t xml:space="preserve">the </w:t>
      </w:r>
      <w:r>
        <w:t xml:space="preserve">FCC </w:t>
      </w:r>
      <w:r w:rsidR="001C7B94">
        <w:t>Form</w:t>
      </w:r>
      <w:r>
        <w:t>s</w:t>
      </w:r>
      <w:r w:rsidR="001C7B94">
        <w:t xml:space="preserve"> 466 seeking </w:t>
      </w:r>
      <w:r w:rsidR="00C7438F">
        <w:t xml:space="preserve">funding </w:t>
      </w:r>
      <w:r w:rsidR="00AE309C">
        <w:t xml:space="preserve">for </w:t>
      </w:r>
      <w:r w:rsidR="00C7438F">
        <w:t xml:space="preserve">2014 and 2015 </w:t>
      </w:r>
      <w:r w:rsidR="001C7B94">
        <w:t xml:space="preserve">in connection with the </w:t>
      </w:r>
      <w:r>
        <w:t xml:space="preserve">two GCI </w:t>
      </w:r>
      <w:r w:rsidR="001C7B94">
        <w:t>agreement</w:t>
      </w:r>
      <w:r>
        <w:t>s</w:t>
      </w:r>
      <w:r w:rsidR="001C7B94">
        <w:t xml:space="preserve">, Maniilaq </w:t>
      </w:r>
      <w:r w:rsidR="004D74A8">
        <w:t xml:space="preserve">in both cases </w:t>
      </w:r>
      <w:r w:rsidR="001C7B94">
        <w:t>indicated that no bids were received in response to the F</w:t>
      </w:r>
      <w:r w:rsidR="00AE309C">
        <w:t>CC F</w:t>
      </w:r>
      <w:r w:rsidR="001C7B94">
        <w:t>orm</w:t>
      </w:r>
      <w:r w:rsidR="00AE309C">
        <w:t>s</w:t>
      </w:r>
      <w:r w:rsidR="001C7B94">
        <w:t xml:space="preserve"> 465.</w:t>
      </w:r>
      <w:r>
        <w:rPr>
          <w:rStyle w:val="FootnoteReference"/>
        </w:rPr>
        <w:footnoteReference w:id="16"/>
      </w:r>
      <w:r w:rsidR="001C7B94">
        <w:t xml:space="preserve">  </w:t>
      </w:r>
      <w:r w:rsidR="001C3CED">
        <w:t xml:space="preserve">Maniilaq also provided </w:t>
      </w:r>
      <w:r>
        <w:t xml:space="preserve">copies </w:t>
      </w:r>
      <w:r w:rsidR="001C3CED">
        <w:t xml:space="preserve">of the </w:t>
      </w:r>
      <w:r>
        <w:t xml:space="preserve">two </w:t>
      </w:r>
      <w:r w:rsidR="001C3CED">
        <w:t>GCI agreement</w:t>
      </w:r>
      <w:r>
        <w:t>s</w:t>
      </w:r>
      <w:r w:rsidR="001C3CED">
        <w:t xml:space="preserve"> </w:t>
      </w:r>
      <w:r w:rsidR="00B1143F">
        <w:t xml:space="preserve">with its FCC Forms 466 </w:t>
      </w:r>
      <w:r w:rsidR="001C3CED">
        <w:t xml:space="preserve">but not </w:t>
      </w:r>
      <w:r>
        <w:t xml:space="preserve">copies of either the </w:t>
      </w:r>
      <w:r w:rsidR="00BF3998">
        <w:t>EarthLink</w:t>
      </w:r>
      <w:r>
        <w:t xml:space="preserve"> response from 2014 or </w:t>
      </w:r>
      <w:r w:rsidR="001C3CED">
        <w:t>the GCI bid</w:t>
      </w:r>
      <w:r>
        <w:t>s from 2014 or 2015</w:t>
      </w:r>
      <w:r w:rsidR="001C3CED">
        <w:t>.</w:t>
      </w:r>
      <w:r>
        <w:rPr>
          <w:rStyle w:val="FootnoteReference"/>
        </w:rPr>
        <w:footnoteReference w:id="17"/>
      </w:r>
      <w:r w:rsidR="001C3CED">
        <w:t xml:space="preserve">  </w:t>
      </w:r>
    </w:p>
    <w:p w:rsidR="00990111" w:rsidP="00532956" w14:paraId="582FE89A" w14:textId="409B962B">
      <w:pPr>
        <w:pStyle w:val="ParaNum"/>
        <w:widowControl/>
      </w:pPr>
      <w:r>
        <w:t xml:space="preserve">USAC granted </w:t>
      </w:r>
      <w:r w:rsidR="009408EE">
        <w:t xml:space="preserve">both </w:t>
      </w:r>
      <w:r>
        <w:t>GCI agreement</w:t>
      </w:r>
      <w:r w:rsidR="009408EE">
        <w:t>s</w:t>
      </w:r>
      <w:r>
        <w:t xml:space="preserve"> evergreen status</w:t>
      </w:r>
      <w:r w:rsidR="00770925">
        <w:t xml:space="preserve"> when it issued funding commitments in funding years 2014 and 2015</w:t>
      </w:r>
      <w:r>
        <w:t>.</w:t>
      </w:r>
      <w:r>
        <w:rPr>
          <w:rStyle w:val="FootnoteReference"/>
        </w:rPr>
        <w:footnoteReference w:id="18"/>
      </w:r>
      <w:r w:rsidR="009408EE">
        <w:t xml:space="preserve">  As required when operating under evergreen contracts, Maniilaq filed FCC Forms 466 for each of the FRNs associated with the GCI agreements to request support in </w:t>
      </w:r>
      <w:r w:rsidR="00A503ED">
        <w:t xml:space="preserve">each </w:t>
      </w:r>
      <w:r w:rsidR="009408EE">
        <w:t>funding year.</w:t>
      </w:r>
      <w:r>
        <w:rPr>
          <w:rStyle w:val="FootnoteReference"/>
        </w:rPr>
        <w:footnoteReference w:id="19"/>
      </w:r>
      <w:r w:rsidR="009408EE">
        <w:t xml:space="preserve">  On November 3, 2017, USAC requested additional information regarding </w:t>
      </w:r>
      <w:r w:rsidR="00DE5934">
        <w:t xml:space="preserve">the FRNs </w:t>
      </w:r>
      <w:r w:rsidR="00B1143F">
        <w:t>for which Maniilaq sought support for funding year 2017</w:t>
      </w:r>
      <w:r w:rsidR="00DE5934">
        <w:t>.</w:t>
      </w:r>
      <w:r>
        <w:rPr>
          <w:rStyle w:val="FootnoteReference"/>
        </w:rPr>
        <w:footnoteReference w:id="20"/>
      </w:r>
      <w:r w:rsidR="00DE5934">
        <w:t xml:space="preserve">  Maniilaq</w:t>
      </w:r>
      <w:r w:rsidR="00A503ED">
        <w:t xml:space="preserve"> included as part of its response </w:t>
      </w:r>
      <w:r w:rsidR="00DE5934">
        <w:t xml:space="preserve">copies of the </w:t>
      </w:r>
      <w:r w:rsidR="00BF3998">
        <w:t>EarthLink</w:t>
      </w:r>
      <w:r w:rsidR="00DE5934">
        <w:t xml:space="preserve"> response and GCI bid from 2015 but not a copy of the GCI bid from 2014.</w:t>
      </w:r>
      <w:r>
        <w:rPr>
          <w:rStyle w:val="FootnoteReference"/>
        </w:rPr>
        <w:footnoteReference w:id="21"/>
      </w:r>
      <w:r w:rsidR="000C7B64">
        <w:t xml:space="preserve">  </w:t>
      </w:r>
      <w:r w:rsidR="00DE5934">
        <w:t>USAC denied the funding year 2017 request</w:t>
      </w:r>
      <w:r w:rsidR="00581B75">
        <w:t>s</w:t>
      </w:r>
      <w:r w:rsidR="0096588A">
        <w:t xml:space="preserve"> </w:t>
      </w:r>
      <w:r w:rsidR="00B40AE6">
        <w:t>because all bids received by Maniilaq were not correctly disclosed as required by section 54.603(b)(4)</w:t>
      </w:r>
      <w:r w:rsidR="00FA25FD">
        <w:t xml:space="preserve"> of the Commission’s rules</w:t>
      </w:r>
      <w:r w:rsidR="00DE5934">
        <w:t>.</w:t>
      </w:r>
      <w:r>
        <w:rPr>
          <w:rStyle w:val="FootnoteReference"/>
        </w:rPr>
        <w:footnoteReference w:id="22"/>
      </w:r>
      <w:r w:rsidR="005E225D">
        <w:t xml:space="preserve">  </w:t>
      </w:r>
      <w:r w:rsidR="004F5B3F">
        <w:t>Maniilaq appealed USAC’s decision,</w:t>
      </w:r>
      <w:r>
        <w:rPr>
          <w:rStyle w:val="FootnoteReference"/>
        </w:rPr>
        <w:footnoteReference w:id="23"/>
      </w:r>
      <w:r w:rsidR="004F5B3F">
        <w:t xml:space="preserve"> which </w:t>
      </w:r>
      <w:r w:rsidR="005E225D">
        <w:t xml:space="preserve">USAC denied </w:t>
      </w:r>
      <w:r w:rsidR="00FA25FD">
        <w:t xml:space="preserve">on similar grounds – namely, that </w:t>
      </w:r>
      <w:r w:rsidR="0096588A">
        <w:t xml:space="preserve">by not submitting </w:t>
      </w:r>
      <w:r w:rsidR="00FA25FD">
        <w:t xml:space="preserve">copies of </w:t>
      </w:r>
      <w:r w:rsidR="001E0D59">
        <w:t xml:space="preserve">the </w:t>
      </w:r>
      <w:r w:rsidR="00FA25FD">
        <w:t>responses and bids received in response to its FCC Forms 465, Maniilaq violated</w:t>
      </w:r>
      <w:r w:rsidR="0096588A">
        <w:t xml:space="preserve"> section 54.603(b)(4)</w:t>
      </w:r>
      <w:r w:rsidR="00936D76">
        <w:t xml:space="preserve"> of the Commission’s rules</w:t>
      </w:r>
      <w:r w:rsidR="005E225D">
        <w:t>.</w:t>
      </w:r>
      <w:r>
        <w:rPr>
          <w:rStyle w:val="FootnoteReference"/>
        </w:rPr>
        <w:footnoteReference w:id="24"/>
      </w:r>
    </w:p>
    <w:p w:rsidR="00430470" w:rsidP="005C32D0" w14:paraId="40FB3FB6" w14:textId="5ACD9DF5">
      <w:pPr>
        <w:pStyle w:val="ParaNum"/>
      </w:pPr>
      <w:r>
        <w:t xml:space="preserve">Maniilaq </w:t>
      </w:r>
      <w:r w:rsidR="00035A86">
        <w:t xml:space="preserve">requests </w:t>
      </w:r>
      <w:r>
        <w:t xml:space="preserve">that the Commission overturn USAC’s funding denial on three grounds.  First, Maniilaq maintains that it was not required to submit the </w:t>
      </w:r>
      <w:r w:rsidR="00BF3998">
        <w:t>EarthLink</w:t>
      </w:r>
      <w:r>
        <w:t xml:space="preserve"> response with the 2014 FCC Form 466</w:t>
      </w:r>
      <w:r w:rsidR="008A2FBB">
        <w:t xml:space="preserve"> either because it was not a bid and thus </w:t>
      </w:r>
      <w:r w:rsidR="000113C5">
        <w:t xml:space="preserve">not “relevant” to </w:t>
      </w:r>
      <w:r w:rsidR="004F1CE0">
        <w:t xml:space="preserve">the bid evaluation process </w:t>
      </w:r>
      <w:r w:rsidR="008A2FBB">
        <w:t xml:space="preserve">or, </w:t>
      </w:r>
      <w:r w:rsidR="00435F10">
        <w:t xml:space="preserve">if </w:t>
      </w:r>
      <w:r w:rsidR="008A2FBB">
        <w:t xml:space="preserve">the </w:t>
      </w:r>
      <w:r w:rsidR="00BF3998">
        <w:t>EarthLink</w:t>
      </w:r>
      <w:r w:rsidR="008A2FBB">
        <w:t xml:space="preserve"> response were a bid,</w:t>
      </w:r>
      <w:r w:rsidR="00435F10">
        <w:t xml:space="preserve"> </w:t>
      </w:r>
      <w:r w:rsidR="008A2FBB">
        <w:t xml:space="preserve">it </w:t>
      </w:r>
      <w:r w:rsidR="00AF68A7">
        <w:t xml:space="preserve">was </w:t>
      </w:r>
      <w:r>
        <w:t>properly disqualified.</w:t>
      </w:r>
      <w:r>
        <w:rPr>
          <w:rStyle w:val="FootnoteReference"/>
        </w:rPr>
        <w:footnoteReference w:id="25"/>
      </w:r>
      <w:r>
        <w:t xml:space="preserve">  Second, Maniilaq argues that it was not required to submit the GCI bids from 2014 and 2015 because, under Commission and USAC “precedent,” documentation </w:t>
      </w:r>
      <w:r w:rsidR="00115DEF">
        <w:t xml:space="preserve">supporting an FCC Form 466 </w:t>
      </w:r>
      <w:r w:rsidR="00F16E78">
        <w:t xml:space="preserve">should include bids </w:t>
      </w:r>
      <w:r>
        <w:t xml:space="preserve">only if </w:t>
      </w:r>
      <w:r w:rsidR="008A2FBB">
        <w:t xml:space="preserve">multiple </w:t>
      </w:r>
      <w:r>
        <w:t>bid</w:t>
      </w:r>
      <w:r w:rsidR="00F16E78">
        <w:t>s</w:t>
      </w:r>
      <w:r>
        <w:t xml:space="preserve"> </w:t>
      </w:r>
      <w:r w:rsidR="008A2FBB">
        <w:t xml:space="preserve">are </w:t>
      </w:r>
      <w:r>
        <w:t>received in response to a request for service.</w:t>
      </w:r>
      <w:r>
        <w:rPr>
          <w:rStyle w:val="FootnoteReference"/>
        </w:rPr>
        <w:footnoteReference w:id="26"/>
      </w:r>
      <w:r>
        <w:t xml:space="preserve">  Third, Maniilaq maintains that its </w:t>
      </w:r>
      <w:r w:rsidR="0062358E">
        <w:t>“</w:t>
      </w:r>
      <w:r w:rsidR="00E33917">
        <w:t>inadvertent</w:t>
      </w:r>
      <w:r w:rsidR="002077C0">
        <w:t>”</w:t>
      </w:r>
      <w:r w:rsidR="00E33917">
        <w:t xml:space="preserve"> </w:t>
      </w:r>
      <w:r w:rsidR="004D74A8">
        <w:t>failure</w:t>
      </w:r>
      <w:r>
        <w:t xml:space="preserve"> to indicate that it received bids in response to its FCC Forms 465 </w:t>
      </w:r>
      <w:r w:rsidR="00F16E78">
        <w:t xml:space="preserve">(and to provide copies of the </w:t>
      </w:r>
      <w:r w:rsidR="00BF3998">
        <w:t>EarthLink</w:t>
      </w:r>
      <w:r w:rsidR="00F16E78">
        <w:t xml:space="preserve"> response and GCI bids should their submission be deemed necessary) </w:t>
      </w:r>
      <w:r>
        <w:t>were at most “minor</w:t>
      </w:r>
      <w:r w:rsidR="000C7B64">
        <w:t xml:space="preserve"> </w:t>
      </w:r>
      <w:r>
        <w:t>clerical error</w:t>
      </w:r>
      <w:r w:rsidR="00F16E78">
        <w:t>s</w:t>
      </w:r>
      <w:r w:rsidR="000C7B64">
        <w:t>”</w:t>
      </w:r>
      <w:r>
        <w:t xml:space="preserve"> comparable to those at issue in prior Commission decisions overturning USAC funding denials.</w:t>
      </w:r>
      <w:r>
        <w:rPr>
          <w:rStyle w:val="FootnoteReference"/>
        </w:rPr>
        <w:footnoteReference w:id="27"/>
      </w:r>
      <w:r w:rsidR="004D74A8">
        <w:t xml:space="preserve">  In the alternative, Maniilaq requests a limited waiver of section 54.603(b)(4)</w:t>
      </w:r>
      <w:r w:rsidR="002C5626">
        <w:t>.  As grounds for its request, Maniilaq</w:t>
      </w:r>
      <w:r w:rsidR="0095645B">
        <w:t xml:space="preserve"> </w:t>
      </w:r>
      <w:r w:rsidR="002C5626">
        <w:t xml:space="preserve">relies on </w:t>
      </w:r>
      <w:r w:rsidR="00765C14">
        <w:t xml:space="preserve">prior Commission decisions waiving rules when an applicant’s violation of the rules constituted </w:t>
      </w:r>
      <w:r w:rsidR="002C5626">
        <w:t>“</w:t>
      </w:r>
      <w:r w:rsidR="0095645B">
        <w:t>minor procedural error</w:t>
      </w:r>
      <w:r w:rsidR="00765C14">
        <w:t>”</w:t>
      </w:r>
      <w:r w:rsidR="0095645B">
        <w:t xml:space="preserve"> and special circumstances</w:t>
      </w:r>
      <w:r w:rsidR="009F19D8">
        <w:t xml:space="preserve">, including Maniilaq’s </w:t>
      </w:r>
      <w:r w:rsidR="002C5626">
        <w:t>“</w:t>
      </w:r>
      <w:r w:rsidR="009F19D8">
        <w:t>good faith effort</w:t>
      </w:r>
      <w:r w:rsidR="002C5626">
        <w:t>”</w:t>
      </w:r>
      <w:r w:rsidR="009F19D8">
        <w:t xml:space="preserve"> to comply with the Commission’s rules governing bid selection, the “inconsistent and thus confusing” guidance regarding whether service requests resulting in one bid requires submission of the one bid, and </w:t>
      </w:r>
      <w:r w:rsidR="002C5626">
        <w:t>“</w:t>
      </w:r>
      <w:r w:rsidR="009F19D8">
        <w:t>its willingness to cooperate</w:t>
      </w:r>
      <w:r w:rsidR="002C5626">
        <w:t>”</w:t>
      </w:r>
      <w:r w:rsidR="009F19D8">
        <w:t xml:space="preserve"> with USAC staff requesting further instructions.</w:t>
      </w:r>
      <w:r>
        <w:rPr>
          <w:rStyle w:val="FootnoteReference"/>
        </w:rPr>
        <w:footnoteReference w:id="28"/>
      </w:r>
      <w:r w:rsidR="00F31D0A">
        <w:t xml:space="preserve">    </w:t>
      </w:r>
    </w:p>
    <w:p w:rsidR="00EF3610" w:rsidRPr="00EF3610" w:rsidP="00EF3610" w14:paraId="01C81086" w14:textId="77777777">
      <w:pPr>
        <w:pStyle w:val="Heading1"/>
      </w:pPr>
      <w:r>
        <w:t>Discussion</w:t>
      </w:r>
    </w:p>
    <w:p w:rsidR="00F31D0A" w:rsidRPr="00B139B7" w:rsidP="001D4273" w14:paraId="55BACF13" w14:textId="48AB7B9D">
      <w:pPr>
        <w:pStyle w:val="ParaNum"/>
      </w:pPr>
      <w:r>
        <w:t>Based on a review of the record and the special circumstances presented, w</w:t>
      </w:r>
      <w:r w:rsidR="00430470">
        <w:t xml:space="preserve">e </w:t>
      </w:r>
      <w:r>
        <w:t>grant Maniilaq’s waiver request</w:t>
      </w:r>
      <w:r w:rsidR="00816A55">
        <w:t>, remand the funding requests listed in Appendix A to USAC for further action consistent with this Order</w:t>
      </w:r>
      <w:r w:rsidR="00657379">
        <w:t>,</w:t>
      </w:r>
      <w:r w:rsidR="00816A55">
        <w:t xml:space="preserve"> and direct USAC to discontinue its recovery actions related to the funding requests listed in Appendix B</w:t>
      </w:r>
      <w:r w:rsidR="008F68B4">
        <w:t xml:space="preserve"> that are related to the violation we waive today</w:t>
      </w:r>
      <w:r w:rsidR="00816A55">
        <w:t>.  T</w:t>
      </w:r>
      <w:r>
        <w:t>he Commission’s rules may be waived for good cause shown.</w:t>
      </w:r>
      <w:r>
        <w:rPr>
          <w:rStyle w:val="FootnoteReference"/>
        </w:rPr>
        <w:footnoteReference w:id="29"/>
      </w:r>
      <w:r>
        <w:t xml:space="preserve">  The Commission may exercise its discretion to waive a rule where the particular facts make strict compliance inconsistent with the public interest.</w:t>
      </w:r>
      <w:r>
        <w:rPr>
          <w:rStyle w:val="FootnoteReference"/>
        </w:rPr>
        <w:footnoteReference w:id="30"/>
      </w:r>
      <w:r>
        <w:t xml:space="preserve">  In addition, the Commission may take into account considerations of hardship, equity, or more effective implementation of overall policy on an individual basis.</w:t>
      </w:r>
      <w:r>
        <w:rPr>
          <w:rStyle w:val="FootnoteReference"/>
        </w:rPr>
        <w:footnoteReference w:id="31"/>
      </w:r>
      <w:r>
        <w:t xml:space="preserve">  </w:t>
      </w:r>
      <w:r>
        <w:t xml:space="preserve">Here, although we conclude that Maniilaq did not </w:t>
      </w:r>
      <w:r w:rsidR="00DC12F9">
        <w:t xml:space="preserve">fully </w:t>
      </w:r>
      <w:r>
        <w:t>comply with the requirements of section 54.603(b)(4) when submitting its funding requests</w:t>
      </w:r>
      <w:r w:rsidR="008F68B4">
        <w:t xml:space="preserve"> or responding to USAC requests</w:t>
      </w:r>
      <w:r>
        <w:t xml:space="preserve">, we find that the policy objectives behind our </w:t>
      </w:r>
      <w:r w:rsidR="00DC12F9">
        <w:t xml:space="preserve">competitive bidding </w:t>
      </w:r>
      <w:r>
        <w:t>rule</w:t>
      </w:r>
      <w:r w:rsidR="00DC12F9">
        <w:t>s</w:t>
      </w:r>
      <w:r>
        <w:t xml:space="preserve"> </w:t>
      </w:r>
      <w:r w:rsidR="006B08B4">
        <w:t xml:space="preserve">will not be compromised, </w:t>
      </w:r>
      <w:r w:rsidR="00CF74C9">
        <w:t>and the public interest best served,</w:t>
      </w:r>
      <w:r>
        <w:t xml:space="preserve"> by a grant of a waiver in this limited </w:t>
      </w:r>
      <w:r w:rsidRPr="00B139B7">
        <w:t xml:space="preserve">circumstance. </w:t>
      </w:r>
    </w:p>
    <w:p w:rsidR="005954F5" w:rsidRPr="00B139B7" w:rsidP="001D4273" w14:paraId="51B07886" w14:textId="43649AC1">
      <w:pPr>
        <w:pStyle w:val="ParaNum"/>
      </w:pPr>
      <w:r w:rsidRPr="00B139B7">
        <w:t>Competitive bidding is a fundamental component of the Telecom Program support mechanism</w:t>
      </w:r>
      <w:r w:rsidRPr="00B139B7" w:rsidR="00B139B7">
        <w:t>, and one that must be conducted in a fair and open manner</w:t>
      </w:r>
      <w:r w:rsidRPr="00B139B7" w:rsidR="00A33644">
        <w:t>.</w:t>
      </w:r>
      <w:r>
        <w:rPr>
          <w:rStyle w:val="FootnoteReference"/>
        </w:rPr>
        <w:footnoteReference w:id="32"/>
      </w:r>
      <w:r w:rsidRPr="00B139B7" w:rsidR="00A33644">
        <w:t xml:space="preserve">  </w:t>
      </w:r>
      <w:r w:rsidR="00B139B7">
        <w:t xml:space="preserve">Competitive bidding </w:t>
      </w:r>
      <w:r w:rsidRPr="00B139B7">
        <w:t>is necessary to “help minimize the support required by ensuring that rural [health care providers] are aware of cost-effective alternatives” and “ensures that the universal service fund is used wisely and efficiently.”</w:t>
      </w:r>
      <w:r>
        <w:rPr>
          <w:rStyle w:val="FootnoteReference"/>
        </w:rPr>
        <w:footnoteReference w:id="33"/>
      </w:r>
      <w:r w:rsidRPr="00B139B7">
        <w:t xml:space="preserve">  </w:t>
      </w:r>
      <w:r w:rsidRPr="00B139B7">
        <w:t>Thus s</w:t>
      </w:r>
      <w:r w:rsidRPr="00B139B7">
        <w:t xml:space="preserve">ection 54.603(b)(4) </w:t>
      </w:r>
      <w:r w:rsidRPr="00B139B7">
        <w:t xml:space="preserve">of our Telecom Program competitive bidding rules </w:t>
      </w:r>
      <w:r w:rsidRPr="00B139B7">
        <w:t>requires that an applicant select the most cost-effective method of providing the requested service</w:t>
      </w:r>
      <w:r w:rsidRPr="00B139B7">
        <w:t>, with the “most cost-effective method” of providing service defined to be “the method that costs the least after consideration of the features, quality of transmission, reliability, and other factors that the health care provider deems relevant to choosing a method of providing the required health care services.”</w:t>
      </w:r>
      <w:r>
        <w:rPr>
          <w:rStyle w:val="FootnoteReference"/>
        </w:rPr>
        <w:footnoteReference w:id="34"/>
      </w:r>
    </w:p>
    <w:p w:rsidR="002520DF" w:rsidP="004127F8" w14:paraId="63765D79" w14:textId="33E6D34C">
      <w:pPr>
        <w:pStyle w:val="ParaNum"/>
      </w:pPr>
      <w:r>
        <w:t xml:space="preserve">Because competitive bidding is premised on the availability of “cost-effective alternatives,” an </w:t>
      </w:r>
      <w:r w:rsidR="00B139B7">
        <w:t xml:space="preserve">applicant </w:t>
      </w:r>
      <w:r w:rsidR="0001638F">
        <w:t xml:space="preserve">can expect to have to </w:t>
      </w:r>
      <w:r w:rsidR="005C41DB">
        <w:t xml:space="preserve">compare </w:t>
      </w:r>
      <w:r w:rsidR="00B139B7">
        <w:t>one competing bid against another to ascertain the most cost-effective method</w:t>
      </w:r>
      <w:r>
        <w:t xml:space="preserve"> of providing service</w:t>
      </w:r>
      <w:r w:rsidR="005954F5">
        <w:t xml:space="preserve">.  </w:t>
      </w:r>
      <w:r>
        <w:t xml:space="preserve">However, in </w:t>
      </w:r>
      <w:r w:rsidR="005954F5">
        <w:t>the absence of</w:t>
      </w:r>
      <w:r w:rsidR="0001638F">
        <w:t xml:space="preserve"> alternatives</w:t>
      </w:r>
      <w:r w:rsidR="005954F5">
        <w:t>,</w:t>
      </w:r>
      <w:r w:rsidR="00B139B7">
        <w:t xml:space="preserve"> </w:t>
      </w:r>
      <w:r w:rsidR="005954F5">
        <w:t xml:space="preserve">as in the case of an applicant receiving only one bid in response to a request for service, </w:t>
      </w:r>
      <w:r w:rsidR="005C41DB">
        <w:t>such comparisons are not possible</w:t>
      </w:r>
      <w:r w:rsidR="005954F5">
        <w:t xml:space="preserve">.  That is the case here. </w:t>
      </w:r>
      <w:r w:rsidR="00A33644">
        <w:t xml:space="preserve"> GCI was the only viable bidder responding to the Maniilaq requests for service in 2014 and 2015, thereby </w:t>
      </w:r>
      <w:r w:rsidR="00DC12F9">
        <w:t xml:space="preserve">making </w:t>
      </w:r>
      <w:r w:rsidR="00DC393B">
        <w:t>an evaluation of competing bids impossible</w:t>
      </w:r>
      <w:r w:rsidR="00DC12F9">
        <w:t>.</w:t>
      </w:r>
    </w:p>
    <w:p w:rsidR="00787C2E" w:rsidP="00787C2E" w14:paraId="304C573F" w14:textId="6CB93B6E">
      <w:pPr>
        <w:pStyle w:val="ParaNum"/>
      </w:pPr>
      <w:r w:rsidRPr="00B139B7">
        <w:t>Section 54.603(b)(4) requires an applicant to provide “copies of the responses or bids received in response to the requested services.”</w:t>
      </w:r>
      <w:r>
        <w:rPr>
          <w:rStyle w:val="FootnoteReference"/>
        </w:rPr>
        <w:footnoteReference w:id="35"/>
      </w:r>
      <w:r>
        <w:t xml:space="preserve">  </w:t>
      </w:r>
      <w:r w:rsidR="00640F1D">
        <w:t>While Maniilaq did not comply with this requirement,</w:t>
      </w:r>
      <w:r>
        <w:rPr>
          <w:rStyle w:val="FootnoteReference"/>
        </w:rPr>
        <w:footnoteReference w:id="36"/>
      </w:r>
      <w:r w:rsidR="00640F1D">
        <w:t xml:space="preserve"> we </w:t>
      </w:r>
      <w:r w:rsidR="004A745A">
        <w:t>conclude</w:t>
      </w:r>
      <w:r w:rsidR="00640F1D">
        <w:t xml:space="preserve"> </w:t>
      </w:r>
      <w:r w:rsidR="004A745A">
        <w:t xml:space="preserve">that </w:t>
      </w:r>
      <w:r w:rsidR="005C41DB">
        <w:t xml:space="preserve">the failure </w:t>
      </w:r>
      <w:r w:rsidR="00283279">
        <w:t xml:space="preserve">to do so </w:t>
      </w:r>
      <w:r w:rsidR="0042219E">
        <w:t xml:space="preserve">does not call into question whether the </w:t>
      </w:r>
      <w:r w:rsidR="00283279">
        <w:t>most cost-effective</w:t>
      </w:r>
      <w:r w:rsidR="0042219E">
        <w:t xml:space="preserve"> methods were selected</w:t>
      </w:r>
      <w:r w:rsidR="00283279">
        <w:t>.  As explained above, Maniilaq</w:t>
      </w:r>
      <w:r w:rsidR="00C45A2B">
        <w:t xml:space="preserve"> had </w:t>
      </w:r>
      <w:r w:rsidR="0042219E">
        <w:t xml:space="preserve">only </w:t>
      </w:r>
      <w:r w:rsidR="00C45A2B">
        <w:t xml:space="preserve">one service method choice </w:t>
      </w:r>
      <w:r w:rsidR="00D3703C">
        <w:t xml:space="preserve">available in 2014 and 2015 </w:t>
      </w:r>
      <w:r w:rsidR="00283279">
        <w:t xml:space="preserve">given the solitary </w:t>
      </w:r>
      <w:r w:rsidR="00220907">
        <w:t xml:space="preserve">bid from </w:t>
      </w:r>
      <w:r w:rsidR="00283279">
        <w:t>GCI it received</w:t>
      </w:r>
      <w:r w:rsidR="00220907">
        <w:t xml:space="preserve"> in each year</w:t>
      </w:r>
      <w:r w:rsidR="00283279">
        <w:t xml:space="preserve">. </w:t>
      </w:r>
      <w:r w:rsidR="00734694">
        <w:t xml:space="preserve"> </w:t>
      </w:r>
      <w:r w:rsidR="0042219E">
        <w:t>The missing supporting documentation also did not result in an inefficient use of universal service funds.  O</w:t>
      </w:r>
      <w:r w:rsidR="00644433">
        <w:t xml:space="preserve">ur review of the facts </w:t>
      </w:r>
      <w:r w:rsidR="00734694">
        <w:t>supports the conclusion that Maniilaq conducted its competitive bidding processes in a fair and open manner</w:t>
      </w:r>
      <w:r w:rsidR="00644433">
        <w:t xml:space="preserve">, and that there was no evidence of </w:t>
      </w:r>
      <w:r w:rsidR="00236D6D">
        <w:t>waste,</w:t>
      </w:r>
      <w:r w:rsidR="00C45A2B">
        <w:t xml:space="preserve"> </w:t>
      </w:r>
      <w:r w:rsidR="00236D6D">
        <w:t>fraud</w:t>
      </w:r>
      <w:r w:rsidR="00644433">
        <w:t>,</w:t>
      </w:r>
      <w:r w:rsidR="00236D6D">
        <w:t xml:space="preserve"> or abuse.  </w:t>
      </w:r>
      <w:r w:rsidR="00644433">
        <w:t xml:space="preserve">Importantly, </w:t>
      </w:r>
      <w:r w:rsidR="00C45A2B">
        <w:t xml:space="preserve">we note that the failure to submit the required supporting documentation </w:t>
      </w:r>
      <w:r w:rsidR="005C41DB">
        <w:t xml:space="preserve">did not </w:t>
      </w:r>
      <w:r w:rsidR="00FF51E7">
        <w:t xml:space="preserve">convey an advantage or </w:t>
      </w:r>
      <w:r w:rsidR="005C41DB">
        <w:t xml:space="preserve">benefit </w:t>
      </w:r>
      <w:r w:rsidR="00FF51E7">
        <w:t xml:space="preserve">to </w:t>
      </w:r>
      <w:r w:rsidR="005C41DB">
        <w:t>Maniilaq</w:t>
      </w:r>
      <w:r w:rsidR="00FF51E7">
        <w:t>.</w:t>
      </w:r>
      <w:r>
        <w:rPr>
          <w:rStyle w:val="FootnoteReference"/>
        </w:rPr>
        <w:footnoteReference w:id="37"/>
      </w:r>
      <w:r w:rsidR="00644433">
        <w:t xml:space="preserve">  </w:t>
      </w:r>
      <w:r w:rsidR="00C45A2B">
        <w:t>E</w:t>
      </w:r>
      <w:r w:rsidR="00283279">
        <w:t xml:space="preserve">ven </w:t>
      </w:r>
      <w:r w:rsidR="00220907">
        <w:t xml:space="preserve">if </w:t>
      </w:r>
      <w:r w:rsidR="00FF51E7">
        <w:t>USAC</w:t>
      </w:r>
      <w:r w:rsidR="00220907">
        <w:t xml:space="preserve"> had</w:t>
      </w:r>
      <w:r w:rsidR="00FF51E7">
        <w:t xml:space="preserve"> not discovered Maniilaq’s errors, such errors could not have resulted in more funding for Maniilaq than it was entitled to under either the 2014 or 2015 funding request because only the GCI bids could have been selected.</w:t>
      </w:r>
      <w:r w:rsidR="005C41DB">
        <w:t xml:space="preserve"> </w:t>
      </w:r>
      <w:r w:rsidR="00732F76">
        <w:t xml:space="preserve"> </w:t>
      </w:r>
      <w:r w:rsidR="00C45A2B">
        <w:t xml:space="preserve">In light of </w:t>
      </w:r>
      <w:r w:rsidR="00D3703C">
        <w:t>these special circumstances</w:t>
      </w:r>
      <w:r w:rsidR="00FF51E7">
        <w:t>,</w:t>
      </w:r>
      <w:r>
        <w:t xml:space="preserve"> we conclude that strict enforcement of </w:t>
      </w:r>
      <w:r w:rsidR="00FF51E7">
        <w:t xml:space="preserve">section 54.603(b)(4) </w:t>
      </w:r>
      <w:r w:rsidR="0042219E">
        <w:t xml:space="preserve">is not necessary to achieve </w:t>
      </w:r>
      <w:r>
        <w:t>the policy objectives of the Telecom Program</w:t>
      </w:r>
      <w:r w:rsidR="00FF51E7">
        <w:t>’s competitive bidding rules</w:t>
      </w:r>
      <w:r>
        <w:t xml:space="preserve"> and </w:t>
      </w:r>
      <w:r w:rsidR="0042219E">
        <w:t xml:space="preserve">would otherwise be inconsistent with </w:t>
      </w:r>
      <w:r>
        <w:t>the public interest.</w:t>
      </w:r>
      <w:r>
        <w:rPr>
          <w:rStyle w:val="FootnoteReference"/>
        </w:rPr>
        <w:footnoteReference w:id="38"/>
      </w:r>
      <w:r>
        <w:t xml:space="preserve">  Accordingly, we find in this instance that a limited waiver of the Commission’s rules is warranted.    </w:t>
      </w:r>
    </w:p>
    <w:p w:rsidR="00430470" w:rsidP="0031680F" w14:paraId="121CE9AD" w14:textId="7BA2EBB9">
      <w:pPr>
        <w:pStyle w:val="ParaNum"/>
      </w:pPr>
      <w:r>
        <w:t xml:space="preserve">We emphasize that our decision here is based on the totality of circumstances, including the </w:t>
      </w:r>
      <w:r w:rsidR="00D3703C">
        <w:t xml:space="preserve">absence of alternative bids available to Maniilaq </w:t>
      </w:r>
      <w:r>
        <w:t>and no evidence of waste, fraud, or abuse</w:t>
      </w:r>
      <w:r w:rsidR="006E4783">
        <w:t>.</w:t>
      </w:r>
      <w:r>
        <w:t xml:space="preserve">  </w:t>
      </w:r>
      <w:r w:rsidR="00DC393B">
        <w:t xml:space="preserve">A wavier of section 54.603(b)(4) would not be appropriate if Maniilaq received multiple </w:t>
      </w:r>
      <w:r w:rsidR="0020342E">
        <w:t xml:space="preserve">viable </w:t>
      </w:r>
      <w:r w:rsidR="00DC393B">
        <w:t xml:space="preserve">bids or there </w:t>
      </w:r>
      <w:r w:rsidR="0020342E">
        <w:t>was</w:t>
      </w:r>
      <w:r w:rsidR="00DC393B">
        <w:t xml:space="preserve"> evidence that it withheld bids from USAC to avoid application review.  Finally, our </w:t>
      </w:r>
      <w:r>
        <w:t xml:space="preserve">decision should not be construed as a diminution of an applicant’s responsibility to comply with the Commission’s competitive bidding rules, which remains a bedrock requirement of parties participating in the Universal Service Fund’s Rural Health Care programs.   </w:t>
      </w:r>
      <w:r w:rsidR="00D33572">
        <w:t xml:space="preserve">  </w:t>
      </w:r>
      <w:r w:rsidR="00997963">
        <w:t xml:space="preserve"> </w:t>
      </w:r>
    </w:p>
    <w:p w:rsidR="00913113" w:rsidRPr="000974B6" w:rsidP="00913113" w14:paraId="7A3D5235" w14:textId="77777777">
      <w:pPr>
        <w:pStyle w:val="Heading1"/>
        <w:tabs>
          <w:tab w:val="num" w:pos="720"/>
        </w:tabs>
      </w:pPr>
      <w:r>
        <w:t>Ordering Clauses</w:t>
      </w:r>
    </w:p>
    <w:p w:rsidR="00913113" w:rsidP="00913113" w14:paraId="1D87BC95" w14:textId="689E1BB3">
      <w:pPr>
        <w:pStyle w:val="ParaNum"/>
        <w:rPr>
          <w:rStyle w:val="StyleNumberedparagraphs11ptChar"/>
          <w:szCs w:val="22"/>
        </w:rPr>
      </w:pPr>
      <w:r w:rsidRPr="00676AD4">
        <w:rPr>
          <w:rStyle w:val="StyleNumberedparagraphs11ptChar"/>
          <w:szCs w:val="22"/>
        </w:rPr>
        <w:t>ACCORDINGLY, IT IS ORDERED</w:t>
      </w:r>
      <w:r w:rsidR="00DC49A3">
        <w:rPr>
          <w:rStyle w:val="StyleNumberedparagraphs11ptChar"/>
          <w:szCs w:val="22"/>
        </w:rPr>
        <w:t xml:space="preserve"> that</w:t>
      </w:r>
      <w:r w:rsidRPr="00676AD4">
        <w:rPr>
          <w:rStyle w:val="StyleNumberedparagraphs11ptChar"/>
          <w:szCs w:val="22"/>
        </w:rPr>
        <w:t xml:space="preserve">, pursuant to the authority contained in sections 1-4 and 254 of the Communications Act of 1934, as amended, 47 U.S.C. §§ 151-154 and 254, and </w:t>
      </w:r>
      <w:r w:rsidRPr="00676AD4">
        <w:t xml:space="preserve">sections </w:t>
      </w:r>
      <w:r w:rsidR="00F5446B">
        <w:t>1.3</w:t>
      </w:r>
      <w:r w:rsidRPr="00676AD4">
        <w:t xml:space="preserve"> </w:t>
      </w:r>
      <w:r>
        <w:t>and</w:t>
      </w:r>
      <w:r w:rsidR="00DC49A3">
        <w:t xml:space="preserve"> 54.722(a)</w:t>
      </w:r>
      <w:r w:rsidRPr="00676AD4">
        <w:t xml:space="preserve"> 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w:t>
      </w:r>
      <w:r w:rsidR="00F5446B">
        <w:t>1.3</w:t>
      </w:r>
      <w:r w:rsidRPr="00676AD4">
        <w:t xml:space="preserve"> </w:t>
      </w:r>
      <w:r>
        <w:t>and</w:t>
      </w:r>
      <w:r w:rsidR="00DC49A3">
        <w:t xml:space="preserve"> 54.722(a)</w:t>
      </w:r>
      <w:r w:rsidRPr="00676AD4">
        <w:t xml:space="preserve">, </w:t>
      </w:r>
      <w:r w:rsidRPr="00676AD4">
        <w:rPr>
          <w:rStyle w:val="StyleNumberedparagraphs11ptChar"/>
          <w:szCs w:val="22"/>
        </w:rPr>
        <w:t xml:space="preserve">the </w:t>
      </w:r>
      <w:r w:rsidR="00DC49A3">
        <w:rPr>
          <w:rStyle w:val="StyleNumberedparagraphs11ptChar"/>
          <w:szCs w:val="22"/>
        </w:rPr>
        <w:t xml:space="preserve">Request for Review or Limited Waiver </w:t>
      </w:r>
      <w:r w:rsidRPr="00676AD4">
        <w:rPr>
          <w:rStyle w:val="StyleNumberedparagraphs11ptChar"/>
          <w:szCs w:val="22"/>
        </w:rPr>
        <w:t xml:space="preserve">filed by </w:t>
      </w:r>
      <w:r w:rsidR="00DC49A3">
        <w:rPr>
          <w:rStyle w:val="StyleNumberedparagraphs11ptChar"/>
          <w:szCs w:val="22"/>
        </w:rPr>
        <w:t>Maniilaq Association on July 2, 2019, IS</w:t>
      </w:r>
      <w:r w:rsidR="00F5446B">
        <w:rPr>
          <w:rStyle w:val="StyleNumberedparagraphs11ptChar"/>
          <w:szCs w:val="22"/>
        </w:rPr>
        <w:t xml:space="preserve"> GRANTED</w:t>
      </w:r>
      <w:r w:rsidRPr="00676AD4">
        <w:rPr>
          <w:rStyle w:val="StyleNumberedparagraphs11ptChar"/>
          <w:szCs w:val="22"/>
        </w:rPr>
        <w:t xml:space="preserve">.  </w:t>
      </w:r>
    </w:p>
    <w:p w:rsidR="00F5446B" w:rsidP="00913113" w14:paraId="5E08E93A" w14:textId="5F018218">
      <w:pPr>
        <w:pStyle w:val="ParaNum"/>
        <w:rPr>
          <w:rStyle w:val="StyleNumberedparagraphs11ptChar"/>
          <w:szCs w:val="22"/>
        </w:rPr>
      </w:pPr>
      <w:r>
        <w:rPr>
          <w:rStyle w:val="StyleNumberedparagraphs11ptChar"/>
          <w:szCs w:val="22"/>
        </w:rPr>
        <w:t>IT IS FURTHER ORDERED, pursuant to the authority contained in section 1-4 and 254 of the Communications Act of 1934</w:t>
      </w:r>
      <w:r w:rsidRPr="00676AD4">
        <w:rPr>
          <w:rStyle w:val="StyleNumberedparagraphs11ptChar"/>
          <w:szCs w:val="22"/>
        </w:rPr>
        <w:t>, as amended, 47 U.S.C. §§ 151-154 and 254,</w:t>
      </w:r>
      <w:r>
        <w:rPr>
          <w:rStyle w:val="StyleNumberedparagraphs11ptChar"/>
          <w:szCs w:val="22"/>
        </w:rPr>
        <w:t xml:space="preserve"> and sections 0.91, 0.291, 1.3 and 54.722(a) of the Commission’s rules, </w:t>
      </w:r>
      <w:r w:rsidRPr="00676AD4">
        <w:t>47 CFR §§ </w:t>
      </w:r>
      <w:r>
        <w:t>0.91, 0.291, 1.3</w:t>
      </w:r>
      <w:r w:rsidRPr="00676AD4">
        <w:t xml:space="preserve"> </w:t>
      </w:r>
      <w:r>
        <w:t>and 54.722(a)</w:t>
      </w:r>
      <w:r w:rsidRPr="00676AD4">
        <w:t>,</w:t>
      </w:r>
      <w:r>
        <w:t xml:space="preserve"> section 54.603(b)(4) is WAIVED to the extent described herein.</w:t>
      </w:r>
      <w:r>
        <w:rPr>
          <w:rStyle w:val="StyleNumberedparagraphs11ptChar"/>
          <w:szCs w:val="22"/>
        </w:rPr>
        <w:t xml:space="preserve"> </w:t>
      </w:r>
    </w:p>
    <w:p w:rsidR="00F5446B" w:rsidP="00913113" w14:paraId="14B7D58C" w14:textId="39DCFDB6">
      <w:pPr>
        <w:pStyle w:val="ParaNum"/>
        <w:rPr>
          <w:rStyle w:val="StyleNumberedparagraphs11ptChar"/>
          <w:szCs w:val="22"/>
        </w:rPr>
      </w:pPr>
      <w:r>
        <w:rPr>
          <w:rStyle w:val="StyleNumberedparagraphs11ptChar"/>
          <w:szCs w:val="22"/>
        </w:rPr>
        <w:t>IT IS FURTHER ORDERED, pursuant to authority contained in section 1-4 and 254 of the Communications Act of 1934</w:t>
      </w:r>
      <w:r w:rsidRPr="00676AD4">
        <w:rPr>
          <w:rStyle w:val="StyleNumberedparagraphs11ptChar"/>
          <w:szCs w:val="22"/>
        </w:rPr>
        <w:t>, as amended, 47 U.S.C. §§ 151-154 and 254,</w:t>
      </w:r>
      <w:r>
        <w:rPr>
          <w:rStyle w:val="StyleNumberedparagraphs11ptChar"/>
          <w:szCs w:val="22"/>
        </w:rPr>
        <w:t xml:space="preserve"> sections 0.91</w:t>
      </w:r>
      <w:r w:rsidR="00BD0315">
        <w:rPr>
          <w:rStyle w:val="StyleNumberedparagraphs11ptChar"/>
          <w:szCs w:val="22"/>
        </w:rPr>
        <w:t xml:space="preserve">, </w:t>
      </w:r>
      <w:r>
        <w:rPr>
          <w:rStyle w:val="StyleNumberedparagraphs11ptChar"/>
          <w:szCs w:val="22"/>
        </w:rPr>
        <w:t>0.291</w:t>
      </w:r>
      <w:r w:rsidR="00BD0315">
        <w:rPr>
          <w:rStyle w:val="StyleNumberedparagraphs11ptChar"/>
          <w:szCs w:val="22"/>
        </w:rPr>
        <w:t xml:space="preserve">, 1.3,and 54.722(a), </w:t>
      </w:r>
      <w:r w:rsidRPr="00676AD4" w:rsidR="00BD0315">
        <w:t>47 CFR §§ </w:t>
      </w:r>
      <w:r w:rsidR="00BD0315">
        <w:t>0.91, 0.291, 1.3</w:t>
      </w:r>
      <w:r w:rsidRPr="00676AD4" w:rsidR="00BD0315">
        <w:t xml:space="preserve"> </w:t>
      </w:r>
      <w:r w:rsidR="00BD0315">
        <w:t>and 54.722(a)</w:t>
      </w:r>
      <w:r w:rsidRPr="00676AD4" w:rsidR="00BD0315">
        <w:t>,</w:t>
      </w:r>
      <w:r w:rsidR="00BD0315">
        <w:t xml:space="preserve"> </w:t>
      </w:r>
      <w:r w:rsidR="00BD0315">
        <w:rPr>
          <w:rStyle w:val="StyleNumberedparagraphs11ptChar"/>
          <w:szCs w:val="22"/>
        </w:rPr>
        <w:t>that the denied applications identified in Appendix A ARE REMANDED to USAC for further action in accordance with the terms of this Order.</w:t>
      </w:r>
    </w:p>
    <w:p w:rsidR="00BD0315" w:rsidRPr="00BD0315" w:rsidP="00BD0315" w14:paraId="2BA4E939" w14:textId="1FCFDE75">
      <w:pPr>
        <w:pStyle w:val="ParaNum"/>
        <w:rPr>
          <w:rStyle w:val="StyleNumberedparagraphs11ptChar"/>
          <w:szCs w:val="22"/>
        </w:rPr>
      </w:pPr>
      <w:r>
        <w:rPr>
          <w:rStyle w:val="StyleNumberedparagraphs11ptChar"/>
          <w:szCs w:val="22"/>
        </w:rPr>
        <w:t>IT IS FURTHER ORDERED, pursuant to authority contained in section 1-4 and 254 of the Communications Act of 1934</w:t>
      </w:r>
      <w:r w:rsidRPr="00676AD4">
        <w:rPr>
          <w:rStyle w:val="StyleNumberedparagraphs11ptChar"/>
          <w:szCs w:val="22"/>
        </w:rPr>
        <w:t>, as amended, 47 U.S.C. §§ 151-154 and 254,</w:t>
      </w:r>
      <w:r>
        <w:rPr>
          <w:rStyle w:val="StyleNumberedparagraphs11ptChar"/>
          <w:szCs w:val="22"/>
        </w:rPr>
        <w:t xml:space="preserve"> sections 0.91, 0.291, 1.3,and 54.722(a), </w:t>
      </w:r>
      <w:r w:rsidRPr="00676AD4">
        <w:t>47 CFR §§ </w:t>
      </w:r>
      <w:r>
        <w:t>0.91, 0.291, 1.3</w:t>
      </w:r>
      <w:r w:rsidRPr="00676AD4">
        <w:t xml:space="preserve"> </w:t>
      </w:r>
      <w:r>
        <w:t>and 54.722(a)</w:t>
      </w:r>
      <w:r w:rsidRPr="00676AD4">
        <w:t>,</w:t>
      </w:r>
      <w:r>
        <w:t xml:space="preserve"> </w:t>
      </w:r>
      <w:r>
        <w:rPr>
          <w:rStyle w:val="StyleNumberedparagraphs11ptChar"/>
          <w:szCs w:val="22"/>
        </w:rPr>
        <w:t>that USAC SHALL DISCONTINUE</w:t>
      </w:r>
      <w:r>
        <w:rPr>
          <w:rStyle w:val="StyleNumberedparagraphs11ptChar"/>
          <w:szCs w:val="22"/>
        </w:rPr>
        <w:tab/>
        <w:t xml:space="preserve"> its recovery actions related to the rescinded funding requests identified in Appendix B and SHALL REINSTATE these funding commitments no later than 60 calendar days from release of this Order. </w:t>
      </w:r>
    </w:p>
    <w:p w:rsidR="00913113" w:rsidRPr="00257C23" w:rsidP="00913113" w14:paraId="7B5A6762" w14:textId="57E8B014">
      <w:pPr>
        <w:pStyle w:val="ParaNum"/>
        <w:rPr>
          <w:rStyle w:val="StyleNumberedparagraphs11ptChar"/>
          <w:szCs w:val="22"/>
        </w:rPr>
      </w:pPr>
      <w:r w:rsidRPr="00257C23">
        <w:rPr>
          <w:rStyle w:val="StyleNumberedparagraphs11ptChar"/>
          <w:szCs w:val="22"/>
        </w:rPr>
        <w:t>IT IS FURTHER ORDERED that, pursuant to the authority delegated in section 1.102(b)(1) of the Commission’s rules, 47 C.F.R. § 1.102(b)(1), this order SHALL BE EFFECTIVE upon release.</w:t>
      </w:r>
    </w:p>
    <w:p w:rsidR="00F16EE9" w:rsidP="00913113" w14:paraId="710F6894" w14:textId="77777777"/>
    <w:p w:rsidR="00913113" w:rsidP="00913113" w14:paraId="7FBBD3DB" w14:textId="2B442A16">
      <w:r>
        <w:tab/>
      </w:r>
      <w:r>
        <w:tab/>
      </w:r>
      <w:r>
        <w:tab/>
      </w:r>
      <w:r>
        <w:tab/>
      </w:r>
      <w:r>
        <w:tab/>
      </w:r>
      <w:r>
        <w:tab/>
        <w:t>FEDERAL COMMUNICATIONS COMMISSION</w:t>
      </w:r>
    </w:p>
    <w:p w:rsidR="00913113" w:rsidP="00913113" w14:paraId="63BB6AE6" w14:textId="77777777"/>
    <w:p w:rsidR="00913113" w:rsidP="00913113" w14:paraId="2800DA97" w14:textId="77777777"/>
    <w:p w:rsidR="00913113" w:rsidP="00913113" w14:paraId="43CE8EF3" w14:textId="77777777"/>
    <w:p w:rsidR="00913113" w:rsidRPr="00B5567C" w:rsidP="00913113" w14:paraId="664ECDAD" w14:textId="77777777">
      <w:r>
        <w:tab/>
      </w:r>
      <w:r>
        <w:tab/>
      </w:r>
      <w:r>
        <w:tab/>
      </w:r>
      <w:r>
        <w:tab/>
      </w:r>
      <w:r>
        <w:tab/>
      </w:r>
      <w:r>
        <w:tab/>
      </w:r>
      <w:r w:rsidRPr="00B5567C">
        <w:t>Ryan B. Palmer</w:t>
      </w:r>
    </w:p>
    <w:p w:rsidR="00913113" w:rsidRPr="00B5567C" w:rsidP="00913113" w14:paraId="78355809" w14:textId="77777777">
      <w:pPr>
        <w:ind w:left="3600" w:firstLine="720"/>
      </w:pPr>
      <w:r w:rsidRPr="00B5567C">
        <w:t>Chief</w:t>
      </w:r>
    </w:p>
    <w:p w:rsidR="00913113" w:rsidRPr="00B5567C" w:rsidP="00913113" w14:paraId="317F4A94" w14:textId="77777777">
      <w:pPr>
        <w:ind w:left="3600" w:firstLine="720"/>
      </w:pPr>
      <w:r w:rsidRPr="00B5567C">
        <w:t>Telecommunications Access Policy Division</w:t>
      </w:r>
    </w:p>
    <w:p w:rsidR="00B40968" w:rsidP="00913113" w14:paraId="7B5CEC99" w14:textId="77777777">
      <w:pPr>
        <w:ind w:left="3600" w:firstLine="720"/>
      </w:pPr>
      <w:r w:rsidRPr="00B5567C">
        <w:t>Wireline Competition Bureau</w:t>
      </w:r>
    </w:p>
    <w:p w:rsidR="007F3182" w:rsidP="00B40968" w14:paraId="36EDABCF" w14:textId="77777777">
      <w:pPr>
        <w:pStyle w:val="Numberedparagraphs"/>
        <w:numPr>
          <w:ilvl w:val="0"/>
          <w:numId w:val="0"/>
        </w:numPr>
        <w:jc w:val="center"/>
      </w:pPr>
      <w:r>
        <w:br w:type="page"/>
      </w:r>
    </w:p>
    <w:p w:rsidR="00B40968" w:rsidRPr="00E835DA" w:rsidP="00B40968" w14:paraId="56E4F259" w14:textId="6FDE4647">
      <w:pPr>
        <w:pStyle w:val="Numberedparagraphs"/>
        <w:numPr>
          <w:ilvl w:val="0"/>
          <w:numId w:val="0"/>
        </w:numPr>
        <w:jc w:val="center"/>
        <w:rPr>
          <w:b/>
          <w:sz w:val="22"/>
          <w:szCs w:val="22"/>
        </w:rPr>
      </w:pPr>
      <w:r>
        <w:rPr>
          <w:b/>
          <w:sz w:val="22"/>
          <w:szCs w:val="22"/>
          <w:u w:val="single"/>
        </w:rPr>
        <w:t>Appendix</w:t>
      </w:r>
      <w:r w:rsidR="005D70DF">
        <w:rPr>
          <w:b/>
          <w:sz w:val="22"/>
          <w:szCs w:val="22"/>
          <w:u w:val="single"/>
        </w:rPr>
        <w:t xml:space="preserve"> A</w:t>
      </w:r>
    </w:p>
    <w:p w:rsidR="00587C32" w:rsidP="00B40968" w14:paraId="28322B7B" w14:textId="77777777">
      <w:pPr>
        <w:pStyle w:val="Numberedparagraphs"/>
        <w:numPr>
          <w:ilvl w:val="0"/>
          <w:numId w:val="0"/>
        </w:numPr>
        <w:jc w:val="center"/>
        <w:rPr>
          <w:b/>
          <w:sz w:val="22"/>
          <w:szCs w:val="22"/>
          <w:u w:val="single"/>
        </w:rPr>
      </w:pPr>
    </w:p>
    <w:p w:rsidR="00B40968" w:rsidP="00B40968" w14:paraId="27BADDC9" w14:textId="77777777">
      <w:pPr>
        <w:jc w:val="center"/>
        <w:rPr>
          <w:b/>
          <w:szCs w:val="22"/>
        </w:rPr>
      </w:pPr>
      <w:r>
        <w:rPr>
          <w:b/>
          <w:szCs w:val="22"/>
        </w:rPr>
        <w:t>Maniilaq FRNs Submitted as a Result of the Funding Year 2014 Competitive Bidding Process</w:t>
      </w:r>
    </w:p>
    <w:p w:rsidR="00B40968" w:rsidP="00B40968" w14:paraId="46DB222A" w14:textId="77777777">
      <w:pPr>
        <w:jc w:val="center"/>
        <w:rPr>
          <w:b/>
          <w:szCs w:val="22"/>
        </w:rPr>
      </w:pPr>
    </w:p>
    <w:tbl>
      <w:tblPr>
        <w:tblStyle w:val="TableGrid"/>
        <w:tblW w:w="0" w:type="auto"/>
        <w:tblLook w:val="04A0"/>
      </w:tblPr>
      <w:tblGrid>
        <w:gridCol w:w="3595"/>
        <w:gridCol w:w="1068"/>
        <w:gridCol w:w="2330"/>
        <w:gridCol w:w="2357"/>
      </w:tblGrid>
      <w:tr w14:paraId="7944F040" w14:textId="77777777" w:rsidTr="007E1C81">
        <w:tblPrEx>
          <w:tblW w:w="0" w:type="auto"/>
          <w:tblLook w:val="04A0"/>
        </w:tblPrEx>
        <w:tc>
          <w:tcPr>
            <w:tcW w:w="3595" w:type="dxa"/>
          </w:tcPr>
          <w:p w:rsidR="00B40968" w:rsidRPr="00B40968" w:rsidP="00B40968" w14:paraId="5FBA7D4C" w14:textId="77777777">
            <w:pPr>
              <w:jc w:val="center"/>
              <w:rPr>
                <w:b/>
                <w:szCs w:val="22"/>
              </w:rPr>
            </w:pPr>
            <w:r>
              <w:rPr>
                <w:b/>
                <w:szCs w:val="22"/>
              </w:rPr>
              <w:t>HCP Name</w:t>
            </w:r>
          </w:p>
        </w:tc>
        <w:tc>
          <w:tcPr>
            <w:tcW w:w="1068" w:type="dxa"/>
          </w:tcPr>
          <w:p w:rsidR="00B40968" w:rsidP="00B40968" w14:paraId="1065B6DC" w14:textId="77777777">
            <w:pPr>
              <w:jc w:val="center"/>
              <w:rPr>
                <w:b/>
                <w:szCs w:val="22"/>
              </w:rPr>
            </w:pPr>
            <w:r>
              <w:rPr>
                <w:b/>
                <w:szCs w:val="22"/>
              </w:rPr>
              <w:t>HCP Number</w:t>
            </w:r>
          </w:p>
        </w:tc>
        <w:tc>
          <w:tcPr>
            <w:tcW w:w="2330" w:type="dxa"/>
          </w:tcPr>
          <w:p w:rsidR="00B40968" w:rsidP="00B40968" w14:paraId="2924DF21" w14:textId="77777777">
            <w:pPr>
              <w:jc w:val="center"/>
              <w:rPr>
                <w:b/>
                <w:szCs w:val="22"/>
              </w:rPr>
            </w:pPr>
            <w:r>
              <w:rPr>
                <w:b/>
                <w:szCs w:val="22"/>
              </w:rPr>
              <w:t>FRN</w:t>
            </w:r>
          </w:p>
        </w:tc>
        <w:tc>
          <w:tcPr>
            <w:tcW w:w="2357" w:type="dxa"/>
          </w:tcPr>
          <w:p w:rsidR="00B40968" w:rsidP="00F75034" w14:paraId="0690BA3A" w14:textId="3739EA09">
            <w:pPr>
              <w:jc w:val="center"/>
              <w:rPr>
                <w:b/>
                <w:szCs w:val="22"/>
              </w:rPr>
            </w:pPr>
            <w:r>
              <w:rPr>
                <w:b/>
                <w:szCs w:val="22"/>
              </w:rPr>
              <w:t xml:space="preserve">Evergreen Determination </w:t>
            </w:r>
            <w:r w:rsidR="00F75034">
              <w:rPr>
                <w:b/>
                <w:szCs w:val="22"/>
              </w:rPr>
              <w:t>FRN</w:t>
            </w:r>
          </w:p>
        </w:tc>
      </w:tr>
      <w:tr w14:paraId="2B7B709F" w14:textId="77777777" w:rsidTr="007E1C81">
        <w:tblPrEx>
          <w:tblW w:w="0" w:type="auto"/>
          <w:tblLook w:val="04A0"/>
        </w:tblPrEx>
        <w:tc>
          <w:tcPr>
            <w:tcW w:w="3595" w:type="dxa"/>
          </w:tcPr>
          <w:p w:rsidR="00B40968" w:rsidRPr="00B40968" w:rsidP="00B40968" w14:paraId="64C1B565" w14:textId="77777777">
            <w:pPr>
              <w:jc w:val="center"/>
              <w:rPr>
                <w:szCs w:val="22"/>
              </w:rPr>
            </w:pPr>
            <w:r>
              <w:rPr>
                <w:szCs w:val="22"/>
              </w:rPr>
              <w:t>Maniilaq Medical Center</w:t>
            </w:r>
          </w:p>
        </w:tc>
        <w:tc>
          <w:tcPr>
            <w:tcW w:w="1068" w:type="dxa"/>
          </w:tcPr>
          <w:p w:rsidR="00B40968" w:rsidRPr="00B40968" w:rsidP="00B40968" w14:paraId="7658BE20" w14:textId="77777777">
            <w:pPr>
              <w:jc w:val="center"/>
              <w:rPr>
                <w:szCs w:val="22"/>
              </w:rPr>
            </w:pPr>
            <w:r w:rsidRPr="00B40968">
              <w:rPr>
                <w:szCs w:val="22"/>
              </w:rPr>
              <w:t>10810</w:t>
            </w:r>
          </w:p>
        </w:tc>
        <w:tc>
          <w:tcPr>
            <w:tcW w:w="2330" w:type="dxa"/>
          </w:tcPr>
          <w:p w:rsidR="00B40968" w:rsidRPr="007F3182" w:rsidP="00B40968" w14:paraId="4582DB0B" w14:textId="77777777">
            <w:pPr>
              <w:jc w:val="center"/>
              <w:rPr>
                <w:szCs w:val="22"/>
              </w:rPr>
            </w:pPr>
            <w:r w:rsidRPr="007F3182">
              <w:rPr>
                <w:szCs w:val="22"/>
              </w:rPr>
              <w:t>1720870</w:t>
            </w:r>
          </w:p>
        </w:tc>
        <w:tc>
          <w:tcPr>
            <w:tcW w:w="2357" w:type="dxa"/>
          </w:tcPr>
          <w:p w:rsidR="00B40968" w:rsidRPr="007F3182" w:rsidP="00B40968" w14:paraId="481A13EE" w14:textId="77777777">
            <w:pPr>
              <w:jc w:val="center"/>
              <w:rPr>
                <w:szCs w:val="22"/>
              </w:rPr>
            </w:pPr>
            <w:r w:rsidRPr="007F3182">
              <w:rPr>
                <w:szCs w:val="22"/>
              </w:rPr>
              <w:t>1456414</w:t>
            </w:r>
          </w:p>
        </w:tc>
      </w:tr>
      <w:tr w14:paraId="511D65A5" w14:textId="77777777" w:rsidTr="007E1C81">
        <w:tblPrEx>
          <w:tblW w:w="0" w:type="auto"/>
          <w:tblLook w:val="04A0"/>
        </w:tblPrEx>
        <w:tc>
          <w:tcPr>
            <w:tcW w:w="3595" w:type="dxa"/>
          </w:tcPr>
          <w:p w:rsidR="00B40968" w:rsidP="00B40968" w14:paraId="399C5177" w14:textId="77777777">
            <w:pPr>
              <w:jc w:val="center"/>
              <w:rPr>
                <w:b/>
                <w:szCs w:val="22"/>
              </w:rPr>
            </w:pPr>
            <w:r>
              <w:rPr>
                <w:szCs w:val="22"/>
              </w:rPr>
              <w:t>Maniilaq Medical Center</w:t>
            </w:r>
          </w:p>
        </w:tc>
        <w:tc>
          <w:tcPr>
            <w:tcW w:w="1068" w:type="dxa"/>
          </w:tcPr>
          <w:p w:rsidR="00B40968" w:rsidP="00B40968" w14:paraId="3CEE0392" w14:textId="77777777">
            <w:pPr>
              <w:jc w:val="center"/>
              <w:rPr>
                <w:b/>
                <w:szCs w:val="22"/>
              </w:rPr>
            </w:pPr>
            <w:r w:rsidRPr="00B40968">
              <w:rPr>
                <w:szCs w:val="22"/>
              </w:rPr>
              <w:t>10810</w:t>
            </w:r>
          </w:p>
        </w:tc>
        <w:tc>
          <w:tcPr>
            <w:tcW w:w="2330" w:type="dxa"/>
          </w:tcPr>
          <w:p w:rsidR="00B40968" w:rsidRPr="007F3182" w:rsidP="00B40968" w14:paraId="120BBA81" w14:textId="77777777">
            <w:pPr>
              <w:jc w:val="center"/>
              <w:rPr>
                <w:szCs w:val="22"/>
              </w:rPr>
            </w:pPr>
            <w:r w:rsidRPr="007F3182">
              <w:rPr>
                <w:szCs w:val="22"/>
              </w:rPr>
              <w:t>1720847</w:t>
            </w:r>
          </w:p>
        </w:tc>
        <w:tc>
          <w:tcPr>
            <w:tcW w:w="2357" w:type="dxa"/>
          </w:tcPr>
          <w:p w:rsidR="00B40968" w:rsidRPr="007F3182" w:rsidP="00B40968" w14:paraId="66FE9EC2" w14:textId="77777777">
            <w:pPr>
              <w:jc w:val="center"/>
              <w:rPr>
                <w:szCs w:val="22"/>
              </w:rPr>
            </w:pPr>
            <w:r w:rsidRPr="007F3182">
              <w:rPr>
                <w:szCs w:val="22"/>
              </w:rPr>
              <w:t>1457353</w:t>
            </w:r>
          </w:p>
        </w:tc>
      </w:tr>
      <w:tr w14:paraId="67587DBE" w14:textId="77777777" w:rsidTr="007E1C81">
        <w:tblPrEx>
          <w:tblW w:w="0" w:type="auto"/>
          <w:tblLook w:val="04A0"/>
        </w:tblPrEx>
        <w:tc>
          <w:tcPr>
            <w:tcW w:w="3595" w:type="dxa"/>
          </w:tcPr>
          <w:p w:rsidR="00B40968" w:rsidP="00B40968" w14:paraId="6FD15DBB" w14:textId="77777777">
            <w:pPr>
              <w:jc w:val="center"/>
              <w:rPr>
                <w:b/>
                <w:szCs w:val="22"/>
              </w:rPr>
            </w:pPr>
            <w:r>
              <w:rPr>
                <w:szCs w:val="22"/>
              </w:rPr>
              <w:t>Maniilaq Medical Center</w:t>
            </w:r>
          </w:p>
        </w:tc>
        <w:tc>
          <w:tcPr>
            <w:tcW w:w="1068" w:type="dxa"/>
          </w:tcPr>
          <w:p w:rsidR="00B40968" w:rsidP="00B40968" w14:paraId="4E05B343" w14:textId="77777777">
            <w:pPr>
              <w:jc w:val="center"/>
              <w:rPr>
                <w:b/>
                <w:szCs w:val="22"/>
              </w:rPr>
            </w:pPr>
            <w:r w:rsidRPr="00B40968">
              <w:rPr>
                <w:szCs w:val="22"/>
              </w:rPr>
              <w:t>10810</w:t>
            </w:r>
          </w:p>
        </w:tc>
        <w:tc>
          <w:tcPr>
            <w:tcW w:w="2330" w:type="dxa"/>
          </w:tcPr>
          <w:p w:rsidR="00B40968" w:rsidRPr="007F3182" w:rsidP="00B40968" w14:paraId="4BBAF392" w14:textId="77777777">
            <w:pPr>
              <w:jc w:val="center"/>
              <w:rPr>
                <w:szCs w:val="22"/>
              </w:rPr>
            </w:pPr>
            <w:r w:rsidRPr="007F3182">
              <w:rPr>
                <w:szCs w:val="22"/>
              </w:rPr>
              <w:t>1727453</w:t>
            </w:r>
          </w:p>
        </w:tc>
        <w:tc>
          <w:tcPr>
            <w:tcW w:w="2357" w:type="dxa"/>
          </w:tcPr>
          <w:p w:rsidR="00B40968" w:rsidRPr="007F3182" w:rsidP="00B40968" w14:paraId="5E1F06E6" w14:textId="64BA24E9">
            <w:pPr>
              <w:jc w:val="center"/>
              <w:rPr>
                <w:szCs w:val="22"/>
              </w:rPr>
            </w:pPr>
            <w:r w:rsidRPr="007F3182">
              <w:rPr>
                <w:szCs w:val="22"/>
              </w:rPr>
              <w:t>14</w:t>
            </w:r>
            <w:r w:rsidR="002261D7">
              <w:rPr>
                <w:szCs w:val="22"/>
              </w:rPr>
              <w:t>57353</w:t>
            </w:r>
          </w:p>
        </w:tc>
      </w:tr>
    </w:tbl>
    <w:p w:rsidR="007F3182" w:rsidP="00B40968" w14:paraId="48DCDA35" w14:textId="77777777">
      <w:pPr>
        <w:jc w:val="right"/>
        <w:rPr>
          <w:b/>
          <w:szCs w:val="22"/>
        </w:rPr>
      </w:pPr>
    </w:p>
    <w:p w:rsidR="007F3182" w:rsidP="007F3182" w14:paraId="5BAC0A94" w14:textId="77777777">
      <w:pPr>
        <w:pStyle w:val="Numberedparagraphs"/>
        <w:numPr>
          <w:ilvl w:val="0"/>
          <w:numId w:val="0"/>
        </w:numPr>
        <w:jc w:val="center"/>
        <w:rPr>
          <w:b/>
          <w:sz w:val="22"/>
          <w:szCs w:val="22"/>
          <w:u w:val="single"/>
        </w:rPr>
      </w:pPr>
    </w:p>
    <w:p w:rsidR="007F3182" w:rsidP="007F3182" w14:paraId="721EBC1C" w14:textId="77777777">
      <w:pPr>
        <w:jc w:val="center"/>
        <w:rPr>
          <w:b/>
          <w:szCs w:val="22"/>
        </w:rPr>
      </w:pPr>
      <w:r>
        <w:rPr>
          <w:b/>
          <w:szCs w:val="22"/>
        </w:rPr>
        <w:t>Maniilaq FRNs Submitted as a Result of the Funding Year 2015 Competitive Bidding Process</w:t>
      </w:r>
    </w:p>
    <w:p w:rsidR="007F3182" w:rsidP="007F3182" w14:paraId="2023710A" w14:textId="77777777">
      <w:pPr>
        <w:jc w:val="center"/>
        <w:rPr>
          <w:b/>
          <w:szCs w:val="22"/>
        </w:rPr>
      </w:pPr>
    </w:p>
    <w:tbl>
      <w:tblPr>
        <w:tblStyle w:val="TableGrid"/>
        <w:tblW w:w="0" w:type="auto"/>
        <w:tblLook w:val="04A0"/>
      </w:tblPr>
      <w:tblGrid>
        <w:gridCol w:w="3590"/>
        <w:gridCol w:w="1248"/>
        <w:gridCol w:w="2156"/>
        <w:gridCol w:w="2356"/>
      </w:tblGrid>
      <w:tr w14:paraId="23CCC60E" w14:textId="77777777" w:rsidTr="007F3182">
        <w:tblPrEx>
          <w:tblW w:w="0" w:type="auto"/>
          <w:tblLook w:val="04A0"/>
        </w:tblPrEx>
        <w:tc>
          <w:tcPr>
            <w:tcW w:w="3708" w:type="dxa"/>
          </w:tcPr>
          <w:p w:rsidR="007F3182" w:rsidRPr="00B40968" w:rsidP="00A14C4A" w14:paraId="0AB451A5" w14:textId="77777777">
            <w:pPr>
              <w:jc w:val="center"/>
              <w:rPr>
                <w:b/>
                <w:szCs w:val="22"/>
              </w:rPr>
            </w:pPr>
            <w:r>
              <w:rPr>
                <w:b/>
                <w:szCs w:val="22"/>
              </w:rPr>
              <w:t>HCP Name</w:t>
            </w:r>
          </w:p>
        </w:tc>
        <w:tc>
          <w:tcPr>
            <w:tcW w:w="1260" w:type="dxa"/>
          </w:tcPr>
          <w:p w:rsidR="007F3182" w:rsidP="00A14C4A" w14:paraId="42ACE595" w14:textId="77777777">
            <w:pPr>
              <w:jc w:val="center"/>
              <w:rPr>
                <w:b/>
                <w:szCs w:val="22"/>
              </w:rPr>
            </w:pPr>
            <w:r>
              <w:rPr>
                <w:b/>
                <w:szCs w:val="22"/>
              </w:rPr>
              <w:t>HCP Number</w:t>
            </w:r>
          </w:p>
        </w:tc>
        <w:tc>
          <w:tcPr>
            <w:tcW w:w="2214" w:type="dxa"/>
          </w:tcPr>
          <w:p w:rsidR="007F3182" w:rsidP="00A14C4A" w14:paraId="7DF05945" w14:textId="77777777">
            <w:pPr>
              <w:jc w:val="center"/>
              <w:rPr>
                <w:b/>
                <w:szCs w:val="22"/>
              </w:rPr>
            </w:pPr>
            <w:r>
              <w:rPr>
                <w:b/>
                <w:szCs w:val="22"/>
              </w:rPr>
              <w:t>FRN</w:t>
            </w:r>
          </w:p>
        </w:tc>
        <w:tc>
          <w:tcPr>
            <w:tcW w:w="2394" w:type="dxa"/>
          </w:tcPr>
          <w:p w:rsidR="007F3182" w:rsidP="00A14C4A" w14:paraId="089DAB99" w14:textId="2AAAB7BF">
            <w:pPr>
              <w:jc w:val="center"/>
              <w:rPr>
                <w:b/>
                <w:szCs w:val="22"/>
              </w:rPr>
            </w:pPr>
            <w:r>
              <w:rPr>
                <w:b/>
                <w:szCs w:val="22"/>
              </w:rPr>
              <w:t xml:space="preserve">Evergreen Determination </w:t>
            </w:r>
            <w:r w:rsidR="00F75034">
              <w:rPr>
                <w:b/>
                <w:szCs w:val="22"/>
              </w:rPr>
              <w:t>FRN</w:t>
            </w:r>
          </w:p>
        </w:tc>
      </w:tr>
      <w:tr w14:paraId="5B8E27B4" w14:textId="77777777" w:rsidTr="007F3182">
        <w:tblPrEx>
          <w:tblW w:w="0" w:type="auto"/>
          <w:tblLook w:val="04A0"/>
        </w:tblPrEx>
        <w:tc>
          <w:tcPr>
            <w:tcW w:w="3708" w:type="dxa"/>
          </w:tcPr>
          <w:p w:rsidR="007F3182" w:rsidRPr="007F3182" w:rsidP="00A14C4A" w14:paraId="01D6C6C7" w14:textId="77777777">
            <w:pPr>
              <w:jc w:val="center"/>
              <w:rPr>
                <w:szCs w:val="22"/>
              </w:rPr>
            </w:pPr>
            <w:r w:rsidRPr="007F3182">
              <w:rPr>
                <w:szCs w:val="22"/>
              </w:rPr>
              <w:t>Maniilaq Association – Kiana Clinic</w:t>
            </w:r>
          </w:p>
        </w:tc>
        <w:tc>
          <w:tcPr>
            <w:tcW w:w="1260" w:type="dxa"/>
          </w:tcPr>
          <w:p w:rsidR="007F3182" w:rsidRPr="007F3182" w:rsidP="00A14C4A" w14:paraId="279482E8" w14:textId="77777777">
            <w:pPr>
              <w:jc w:val="center"/>
              <w:rPr>
                <w:szCs w:val="22"/>
              </w:rPr>
            </w:pPr>
            <w:r w:rsidRPr="007F3182">
              <w:rPr>
                <w:szCs w:val="22"/>
              </w:rPr>
              <w:t>10249</w:t>
            </w:r>
          </w:p>
        </w:tc>
        <w:tc>
          <w:tcPr>
            <w:tcW w:w="2214" w:type="dxa"/>
          </w:tcPr>
          <w:p w:rsidR="007F3182" w:rsidRPr="007F3182" w:rsidP="00A14C4A" w14:paraId="076EC41F" w14:textId="77777777">
            <w:pPr>
              <w:jc w:val="center"/>
              <w:rPr>
                <w:szCs w:val="22"/>
              </w:rPr>
            </w:pPr>
            <w:r>
              <w:rPr>
                <w:szCs w:val="22"/>
              </w:rPr>
              <w:t>1720857</w:t>
            </w:r>
          </w:p>
        </w:tc>
        <w:tc>
          <w:tcPr>
            <w:tcW w:w="2394" w:type="dxa"/>
          </w:tcPr>
          <w:p w:rsidR="007F3182" w:rsidRPr="007F3182" w:rsidP="00A14C4A" w14:paraId="3F668878" w14:textId="77777777">
            <w:pPr>
              <w:jc w:val="center"/>
              <w:rPr>
                <w:szCs w:val="22"/>
              </w:rPr>
            </w:pPr>
            <w:r>
              <w:rPr>
                <w:szCs w:val="22"/>
              </w:rPr>
              <w:t>1578617</w:t>
            </w:r>
          </w:p>
        </w:tc>
      </w:tr>
      <w:tr w14:paraId="7008F7C9" w14:textId="77777777" w:rsidTr="007F3182">
        <w:tblPrEx>
          <w:tblW w:w="0" w:type="auto"/>
          <w:tblLook w:val="04A0"/>
        </w:tblPrEx>
        <w:tc>
          <w:tcPr>
            <w:tcW w:w="3708" w:type="dxa"/>
          </w:tcPr>
          <w:p w:rsidR="007F3182" w:rsidRPr="007F3182" w:rsidP="00A14C4A" w14:paraId="7796027F" w14:textId="77777777">
            <w:pPr>
              <w:jc w:val="center"/>
              <w:rPr>
                <w:szCs w:val="22"/>
              </w:rPr>
            </w:pPr>
            <w:r w:rsidRPr="007F3182">
              <w:rPr>
                <w:szCs w:val="22"/>
              </w:rPr>
              <w:t>Maniilaq Association – Kiana Clinic</w:t>
            </w:r>
          </w:p>
        </w:tc>
        <w:tc>
          <w:tcPr>
            <w:tcW w:w="1260" w:type="dxa"/>
          </w:tcPr>
          <w:p w:rsidR="007F3182" w:rsidRPr="007F3182" w:rsidP="00A14C4A" w14:paraId="50EAC7BC" w14:textId="77777777">
            <w:pPr>
              <w:jc w:val="center"/>
              <w:rPr>
                <w:szCs w:val="22"/>
              </w:rPr>
            </w:pPr>
            <w:r w:rsidRPr="007F3182">
              <w:rPr>
                <w:szCs w:val="22"/>
              </w:rPr>
              <w:t>10249</w:t>
            </w:r>
          </w:p>
        </w:tc>
        <w:tc>
          <w:tcPr>
            <w:tcW w:w="2214" w:type="dxa"/>
          </w:tcPr>
          <w:p w:rsidR="007F3182" w:rsidRPr="007F3182" w:rsidP="00A14C4A" w14:paraId="59FD4C0A" w14:textId="77777777">
            <w:pPr>
              <w:jc w:val="center"/>
              <w:rPr>
                <w:szCs w:val="22"/>
              </w:rPr>
            </w:pPr>
            <w:r>
              <w:rPr>
                <w:szCs w:val="22"/>
              </w:rPr>
              <w:t>1720860</w:t>
            </w:r>
          </w:p>
        </w:tc>
        <w:tc>
          <w:tcPr>
            <w:tcW w:w="2394" w:type="dxa"/>
          </w:tcPr>
          <w:p w:rsidR="007F3182" w:rsidRPr="007F3182" w:rsidP="00A14C4A" w14:paraId="655B062E" w14:textId="77777777">
            <w:pPr>
              <w:jc w:val="center"/>
              <w:rPr>
                <w:szCs w:val="22"/>
              </w:rPr>
            </w:pPr>
            <w:r>
              <w:rPr>
                <w:szCs w:val="22"/>
              </w:rPr>
              <w:t>1578617</w:t>
            </w:r>
          </w:p>
        </w:tc>
      </w:tr>
      <w:tr w14:paraId="2417B383" w14:textId="77777777" w:rsidTr="007F3182">
        <w:tblPrEx>
          <w:tblW w:w="0" w:type="auto"/>
          <w:tblLook w:val="04A0"/>
        </w:tblPrEx>
        <w:tc>
          <w:tcPr>
            <w:tcW w:w="3708" w:type="dxa"/>
          </w:tcPr>
          <w:p w:rsidR="007F3182" w:rsidRPr="007F3182" w:rsidP="00A14C4A" w14:paraId="2316DB7F" w14:textId="77777777">
            <w:pPr>
              <w:jc w:val="center"/>
              <w:rPr>
                <w:szCs w:val="22"/>
              </w:rPr>
            </w:pPr>
            <w:r w:rsidRPr="007F3182">
              <w:rPr>
                <w:szCs w:val="22"/>
              </w:rPr>
              <w:t>Ambler Clinic</w:t>
            </w:r>
          </w:p>
        </w:tc>
        <w:tc>
          <w:tcPr>
            <w:tcW w:w="1260" w:type="dxa"/>
          </w:tcPr>
          <w:p w:rsidR="007F3182" w:rsidRPr="007F3182" w:rsidP="00A14C4A" w14:paraId="3EEF6C2E" w14:textId="77777777">
            <w:pPr>
              <w:jc w:val="center"/>
              <w:rPr>
                <w:szCs w:val="22"/>
              </w:rPr>
            </w:pPr>
            <w:r w:rsidRPr="007F3182">
              <w:rPr>
                <w:szCs w:val="22"/>
              </w:rPr>
              <w:t>10811</w:t>
            </w:r>
          </w:p>
        </w:tc>
        <w:tc>
          <w:tcPr>
            <w:tcW w:w="2214" w:type="dxa"/>
          </w:tcPr>
          <w:p w:rsidR="007F3182" w:rsidRPr="007F3182" w:rsidP="00A14C4A" w14:paraId="021600C6" w14:textId="77777777">
            <w:pPr>
              <w:jc w:val="center"/>
              <w:rPr>
                <w:szCs w:val="22"/>
              </w:rPr>
            </w:pPr>
            <w:r>
              <w:rPr>
                <w:szCs w:val="22"/>
              </w:rPr>
              <w:t>1714957</w:t>
            </w:r>
          </w:p>
        </w:tc>
        <w:tc>
          <w:tcPr>
            <w:tcW w:w="2394" w:type="dxa"/>
          </w:tcPr>
          <w:p w:rsidR="007F3182" w:rsidRPr="007F3182" w:rsidP="00A14C4A" w14:paraId="21285A2A" w14:textId="77777777">
            <w:pPr>
              <w:jc w:val="center"/>
              <w:rPr>
                <w:szCs w:val="22"/>
              </w:rPr>
            </w:pPr>
            <w:r>
              <w:rPr>
                <w:szCs w:val="22"/>
              </w:rPr>
              <w:t>1578619</w:t>
            </w:r>
          </w:p>
        </w:tc>
      </w:tr>
      <w:tr w14:paraId="728694DE" w14:textId="77777777" w:rsidTr="007F3182">
        <w:tblPrEx>
          <w:tblW w:w="0" w:type="auto"/>
          <w:tblLook w:val="04A0"/>
        </w:tblPrEx>
        <w:tc>
          <w:tcPr>
            <w:tcW w:w="3708" w:type="dxa"/>
          </w:tcPr>
          <w:p w:rsidR="007F3182" w:rsidP="00A14C4A" w14:paraId="3C4E6030" w14:textId="77777777">
            <w:pPr>
              <w:jc w:val="center"/>
              <w:rPr>
                <w:szCs w:val="22"/>
              </w:rPr>
            </w:pPr>
            <w:r>
              <w:rPr>
                <w:szCs w:val="22"/>
              </w:rPr>
              <w:t>Buckland Clinic</w:t>
            </w:r>
          </w:p>
        </w:tc>
        <w:tc>
          <w:tcPr>
            <w:tcW w:w="1260" w:type="dxa"/>
          </w:tcPr>
          <w:p w:rsidR="007F3182" w:rsidRPr="00B40968" w:rsidP="00A14C4A" w14:paraId="25CCE2BD" w14:textId="77777777">
            <w:pPr>
              <w:jc w:val="center"/>
              <w:rPr>
                <w:szCs w:val="22"/>
              </w:rPr>
            </w:pPr>
            <w:r>
              <w:rPr>
                <w:szCs w:val="22"/>
              </w:rPr>
              <w:t>10812</w:t>
            </w:r>
          </w:p>
        </w:tc>
        <w:tc>
          <w:tcPr>
            <w:tcW w:w="2214" w:type="dxa"/>
          </w:tcPr>
          <w:p w:rsidR="007F3182" w:rsidRPr="007F3182" w:rsidP="00A14C4A" w14:paraId="40232335" w14:textId="77777777">
            <w:pPr>
              <w:jc w:val="center"/>
              <w:rPr>
                <w:szCs w:val="22"/>
              </w:rPr>
            </w:pPr>
            <w:r>
              <w:rPr>
                <w:szCs w:val="22"/>
              </w:rPr>
              <w:t>1720849</w:t>
            </w:r>
          </w:p>
        </w:tc>
        <w:tc>
          <w:tcPr>
            <w:tcW w:w="2394" w:type="dxa"/>
          </w:tcPr>
          <w:p w:rsidR="007F3182" w:rsidRPr="007F3182" w:rsidP="00A14C4A" w14:paraId="1F0A8B16" w14:textId="77777777">
            <w:pPr>
              <w:jc w:val="center"/>
              <w:rPr>
                <w:szCs w:val="22"/>
              </w:rPr>
            </w:pPr>
            <w:r>
              <w:rPr>
                <w:szCs w:val="22"/>
              </w:rPr>
              <w:t>1578883</w:t>
            </w:r>
          </w:p>
        </w:tc>
      </w:tr>
      <w:tr w14:paraId="290B9F54" w14:textId="77777777" w:rsidTr="007F3182">
        <w:tblPrEx>
          <w:tblW w:w="0" w:type="auto"/>
          <w:tblLook w:val="04A0"/>
        </w:tblPrEx>
        <w:tc>
          <w:tcPr>
            <w:tcW w:w="3708" w:type="dxa"/>
          </w:tcPr>
          <w:p w:rsidR="007F3182" w:rsidP="00A14C4A" w14:paraId="300A0C99" w14:textId="77777777">
            <w:pPr>
              <w:jc w:val="center"/>
              <w:rPr>
                <w:szCs w:val="22"/>
              </w:rPr>
            </w:pPr>
            <w:r>
              <w:rPr>
                <w:szCs w:val="22"/>
              </w:rPr>
              <w:t>Deering Clinic</w:t>
            </w:r>
          </w:p>
        </w:tc>
        <w:tc>
          <w:tcPr>
            <w:tcW w:w="1260" w:type="dxa"/>
          </w:tcPr>
          <w:p w:rsidR="007F3182" w:rsidRPr="00B40968" w:rsidP="00A14C4A" w14:paraId="0C921E7B" w14:textId="77777777">
            <w:pPr>
              <w:jc w:val="center"/>
              <w:rPr>
                <w:szCs w:val="22"/>
              </w:rPr>
            </w:pPr>
            <w:r>
              <w:rPr>
                <w:szCs w:val="22"/>
              </w:rPr>
              <w:t>10813</w:t>
            </w:r>
          </w:p>
        </w:tc>
        <w:tc>
          <w:tcPr>
            <w:tcW w:w="2214" w:type="dxa"/>
          </w:tcPr>
          <w:p w:rsidR="007F3182" w:rsidRPr="007F3182" w:rsidP="00A14C4A" w14:paraId="5CA80071" w14:textId="77777777">
            <w:pPr>
              <w:jc w:val="center"/>
              <w:rPr>
                <w:szCs w:val="22"/>
              </w:rPr>
            </w:pPr>
            <w:r>
              <w:rPr>
                <w:szCs w:val="22"/>
              </w:rPr>
              <w:t>1714995</w:t>
            </w:r>
          </w:p>
        </w:tc>
        <w:tc>
          <w:tcPr>
            <w:tcW w:w="2394" w:type="dxa"/>
          </w:tcPr>
          <w:p w:rsidR="007F3182" w:rsidRPr="007F3182" w:rsidP="00A14C4A" w14:paraId="3425CBE3" w14:textId="77777777">
            <w:pPr>
              <w:jc w:val="center"/>
              <w:rPr>
                <w:szCs w:val="22"/>
              </w:rPr>
            </w:pPr>
            <w:r>
              <w:rPr>
                <w:szCs w:val="22"/>
              </w:rPr>
              <w:t>1578888</w:t>
            </w:r>
          </w:p>
        </w:tc>
      </w:tr>
      <w:tr w14:paraId="406EECB1" w14:textId="77777777" w:rsidTr="007F3182">
        <w:tblPrEx>
          <w:tblW w:w="0" w:type="auto"/>
          <w:tblLook w:val="04A0"/>
        </w:tblPrEx>
        <w:tc>
          <w:tcPr>
            <w:tcW w:w="3708" w:type="dxa"/>
          </w:tcPr>
          <w:p w:rsidR="007F3182" w:rsidP="00A14C4A" w14:paraId="3DEC2784" w14:textId="77777777">
            <w:pPr>
              <w:jc w:val="center"/>
              <w:rPr>
                <w:szCs w:val="22"/>
              </w:rPr>
            </w:pPr>
            <w:r>
              <w:rPr>
                <w:szCs w:val="22"/>
              </w:rPr>
              <w:t>Kivalina Clinic</w:t>
            </w:r>
          </w:p>
        </w:tc>
        <w:tc>
          <w:tcPr>
            <w:tcW w:w="1260" w:type="dxa"/>
          </w:tcPr>
          <w:p w:rsidR="007F3182" w:rsidRPr="00B40968" w:rsidP="00A14C4A" w14:paraId="27B4D02A" w14:textId="77777777">
            <w:pPr>
              <w:jc w:val="center"/>
              <w:rPr>
                <w:szCs w:val="22"/>
              </w:rPr>
            </w:pPr>
            <w:r>
              <w:rPr>
                <w:szCs w:val="22"/>
              </w:rPr>
              <w:t>10814</w:t>
            </w:r>
          </w:p>
        </w:tc>
        <w:tc>
          <w:tcPr>
            <w:tcW w:w="2214" w:type="dxa"/>
          </w:tcPr>
          <w:p w:rsidR="007F3182" w:rsidRPr="007F3182" w:rsidP="00A14C4A" w14:paraId="5EA2B399" w14:textId="77777777">
            <w:pPr>
              <w:jc w:val="center"/>
              <w:rPr>
                <w:szCs w:val="22"/>
              </w:rPr>
            </w:pPr>
            <w:r>
              <w:rPr>
                <w:szCs w:val="22"/>
              </w:rPr>
              <w:t>1714996</w:t>
            </w:r>
          </w:p>
        </w:tc>
        <w:tc>
          <w:tcPr>
            <w:tcW w:w="2394" w:type="dxa"/>
          </w:tcPr>
          <w:p w:rsidR="007F3182" w:rsidRPr="007F3182" w:rsidP="00A14C4A" w14:paraId="22D0D458" w14:textId="77777777">
            <w:pPr>
              <w:jc w:val="center"/>
              <w:rPr>
                <w:szCs w:val="22"/>
              </w:rPr>
            </w:pPr>
            <w:r>
              <w:rPr>
                <w:szCs w:val="22"/>
              </w:rPr>
              <w:t>1578889</w:t>
            </w:r>
          </w:p>
        </w:tc>
      </w:tr>
      <w:tr w14:paraId="71B8A6E2" w14:textId="77777777" w:rsidTr="007F3182">
        <w:tblPrEx>
          <w:tblW w:w="0" w:type="auto"/>
          <w:tblLook w:val="04A0"/>
        </w:tblPrEx>
        <w:tc>
          <w:tcPr>
            <w:tcW w:w="3708" w:type="dxa"/>
          </w:tcPr>
          <w:p w:rsidR="007F3182" w:rsidP="00A14C4A" w14:paraId="7A7B0908" w14:textId="77777777">
            <w:pPr>
              <w:jc w:val="center"/>
              <w:rPr>
                <w:szCs w:val="22"/>
              </w:rPr>
            </w:pPr>
            <w:r>
              <w:rPr>
                <w:szCs w:val="22"/>
              </w:rPr>
              <w:t>Kobuk Clinic</w:t>
            </w:r>
          </w:p>
        </w:tc>
        <w:tc>
          <w:tcPr>
            <w:tcW w:w="1260" w:type="dxa"/>
          </w:tcPr>
          <w:p w:rsidR="007F3182" w:rsidRPr="00B40968" w:rsidP="00A14C4A" w14:paraId="5D1663BA" w14:textId="77777777">
            <w:pPr>
              <w:jc w:val="center"/>
              <w:rPr>
                <w:szCs w:val="22"/>
              </w:rPr>
            </w:pPr>
            <w:r>
              <w:rPr>
                <w:szCs w:val="22"/>
              </w:rPr>
              <w:t>10815</w:t>
            </w:r>
          </w:p>
        </w:tc>
        <w:tc>
          <w:tcPr>
            <w:tcW w:w="2214" w:type="dxa"/>
          </w:tcPr>
          <w:p w:rsidR="007F3182" w:rsidRPr="007F3182" w:rsidP="00A14C4A" w14:paraId="3EFCBF18" w14:textId="77777777">
            <w:pPr>
              <w:jc w:val="center"/>
              <w:rPr>
                <w:szCs w:val="22"/>
              </w:rPr>
            </w:pPr>
            <w:r>
              <w:rPr>
                <w:szCs w:val="22"/>
              </w:rPr>
              <w:t>1714997</w:t>
            </w:r>
          </w:p>
        </w:tc>
        <w:tc>
          <w:tcPr>
            <w:tcW w:w="2394" w:type="dxa"/>
          </w:tcPr>
          <w:p w:rsidR="007F3182" w:rsidRPr="007F3182" w:rsidP="00A14C4A" w14:paraId="013BE479" w14:textId="77777777">
            <w:pPr>
              <w:jc w:val="center"/>
              <w:rPr>
                <w:szCs w:val="22"/>
              </w:rPr>
            </w:pPr>
            <w:r>
              <w:rPr>
                <w:szCs w:val="22"/>
              </w:rPr>
              <w:t>1578890</w:t>
            </w:r>
          </w:p>
        </w:tc>
      </w:tr>
      <w:tr w14:paraId="7883B12C" w14:textId="77777777" w:rsidTr="007F3182">
        <w:tblPrEx>
          <w:tblW w:w="0" w:type="auto"/>
          <w:tblLook w:val="04A0"/>
        </w:tblPrEx>
        <w:tc>
          <w:tcPr>
            <w:tcW w:w="3708" w:type="dxa"/>
          </w:tcPr>
          <w:p w:rsidR="007F3182" w:rsidP="00A14C4A" w14:paraId="53E71D65" w14:textId="77777777">
            <w:pPr>
              <w:jc w:val="center"/>
              <w:rPr>
                <w:szCs w:val="22"/>
              </w:rPr>
            </w:pPr>
            <w:r>
              <w:rPr>
                <w:szCs w:val="22"/>
              </w:rPr>
              <w:t>Noatak Clinic</w:t>
            </w:r>
          </w:p>
        </w:tc>
        <w:tc>
          <w:tcPr>
            <w:tcW w:w="1260" w:type="dxa"/>
          </w:tcPr>
          <w:p w:rsidR="007F3182" w:rsidRPr="00B40968" w:rsidP="00A14C4A" w14:paraId="645F8348" w14:textId="77777777">
            <w:pPr>
              <w:jc w:val="center"/>
              <w:rPr>
                <w:szCs w:val="22"/>
              </w:rPr>
            </w:pPr>
            <w:r>
              <w:rPr>
                <w:szCs w:val="22"/>
              </w:rPr>
              <w:t>10816</w:t>
            </w:r>
          </w:p>
        </w:tc>
        <w:tc>
          <w:tcPr>
            <w:tcW w:w="2214" w:type="dxa"/>
          </w:tcPr>
          <w:p w:rsidR="007F3182" w:rsidRPr="007F3182" w:rsidP="00A14C4A" w14:paraId="3F3C47F5" w14:textId="77777777">
            <w:pPr>
              <w:jc w:val="center"/>
              <w:rPr>
                <w:szCs w:val="22"/>
              </w:rPr>
            </w:pPr>
            <w:r>
              <w:rPr>
                <w:szCs w:val="22"/>
              </w:rPr>
              <w:t>1720861</w:t>
            </w:r>
          </w:p>
        </w:tc>
        <w:tc>
          <w:tcPr>
            <w:tcW w:w="2394" w:type="dxa"/>
          </w:tcPr>
          <w:p w:rsidR="007F3182" w:rsidRPr="002A373B" w:rsidP="00A14C4A" w14:paraId="06A163F0" w14:textId="77777777">
            <w:pPr>
              <w:jc w:val="center"/>
              <w:rPr>
                <w:szCs w:val="22"/>
              </w:rPr>
            </w:pPr>
            <w:r w:rsidRPr="002A373B">
              <w:rPr>
                <w:szCs w:val="22"/>
              </w:rPr>
              <w:t>1578892</w:t>
            </w:r>
          </w:p>
        </w:tc>
      </w:tr>
      <w:tr w14:paraId="21C04B1E" w14:textId="77777777" w:rsidTr="007F3182">
        <w:tblPrEx>
          <w:tblW w:w="0" w:type="auto"/>
          <w:tblLook w:val="04A0"/>
        </w:tblPrEx>
        <w:tc>
          <w:tcPr>
            <w:tcW w:w="3708" w:type="dxa"/>
          </w:tcPr>
          <w:p w:rsidR="007F3182" w:rsidP="00A14C4A" w14:paraId="6F30CDA8" w14:textId="77777777">
            <w:pPr>
              <w:jc w:val="center"/>
              <w:rPr>
                <w:szCs w:val="22"/>
              </w:rPr>
            </w:pPr>
            <w:r>
              <w:rPr>
                <w:szCs w:val="22"/>
              </w:rPr>
              <w:t>Noatak Clinic</w:t>
            </w:r>
          </w:p>
        </w:tc>
        <w:tc>
          <w:tcPr>
            <w:tcW w:w="1260" w:type="dxa"/>
          </w:tcPr>
          <w:p w:rsidR="007F3182" w:rsidRPr="00B40968" w:rsidP="00A14C4A" w14:paraId="3E4E9CCB" w14:textId="77777777">
            <w:pPr>
              <w:jc w:val="center"/>
              <w:rPr>
                <w:szCs w:val="22"/>
              </w:rPr>
            </w:pPr>
            <w:r>
              <w:rPr>
                <w:szCs w:val="22"/>
              </w:rPr>
              <w:t>10816</w:t>
            </w:r>
          </w:p>
        </w:tc>
        <w:tc>
          <w:tcPr>
            <w:tcW w:w="2214" w:type="dxa"/>
          </w:tcPr>
          <w:p w:rsidR="007F3182" w:rsidRPr="007F3182" w:rsidP="00A14C4A" w14:paraId="68E1EDD6" w14:textId="77777777">
            <w:pPr>
              <w:jc w:val="center"/>
              <w:rPr>
                <w:szCs w:val="22"/>
              </w:rPr>
            </w:pPr>
            <w:r>
              <w:rPr>
                <w:szCs w:val="22"/>
              </w:rPr>
              <w:t>1720862</w:t>
            </w:r>
          </w:p>
        </w:tc>
        <w:tc>
          <w:tcPr>
            <w:tcW w:w="2394" w:type="dxa"/>
          </w:tcPr>
          <w:p w:rsidR="007F3182" w:rsidRPr="002A373B" w:rsidP="00A14C4A" w14:paraId="3E6E1FA1" w14:textId="77777777">
            <w:pPr>
              <w:jc w:val="center"/>
              <w:rPr>
                <w:szCs w:val="22"/>
              </w:rPr>
            </w:pPr>
            <w:r w:rsidRPr="002A373B">
              <w:rPr>
                <w:szCs w:val="22"/>
              </w:rPr>
              <w:t>1578892</w:t>
            </w:r>
          </w:p>
        </w:tc>
      </w:tr>
      <w:tr w14:paraId="55F6828E" w14:textId="77777777" w:rsidTr="007F3182">
        <w:tblPrEx>
          <w:tblW w:w="0" w:type="auto"/>
          <w:tblLook w:val="04A0"/>
        </w:tblPrEx>
        <w:tc>
          <w:tcPr>
            <w:tcW w:w="3708" w:type="dxa"/>
          </w:tcPr>
          <w:p w:rsidR="007F3182" w:rsidP="00A14C4A" w14:paraId="690E7964" w14:textId="77777777">
            <w:pPr>
              <w:jc w:val="center"/>
              <w:rPr>
                <w:szCs w:val="22"/>
              </w:rPr>
            </w:pPr>
            <w:r>
              <w:rPr>
                <w:szCs w:val="22"/>
              </w:rPr>
              <w:t>Noorvik</w:t>
            </w:r>
            <w:r>
              <w:rPr>
                <w:szCs w:val="22"/>
              </w:rPr>
              <w:t xml:space="preserve"> Clinic</w:t>
            </w:r>
          </w:p>
        </w:tc>
        <w:tc>
          <w:tcPr>
            <w:tcW w:w="1260" w:type="dxa"/>
          </w:tcPr>
          <w:p w:rsidR="007F3182" w:rsidRPr="00B40968" w:rsidP="00A14C4A" w14:paraId="6B53D3B5" w14:textId="77777777">
            <w:pPr>
              <w:jc w:val="center"/>
              <w:rPr>
                <w:szCs w:val="22"/>
              </w:rPr>
            </w:pPr>
            <w:r>
              <w:rPr>
                <w:szCs w:val="22"/>
              </w:rPr>
              <w:t>10817</w:t>
            </w:r>
          </w:p>
        </w:tc>
        <w:tc>
          <w:tcPr>
            <w:tcW w:w="2214" w:type="dxa"/>
          </w:tcPr>
          <w:p w:rsidR="007F3182" w:rsidRPr="007F3182" w:rsidP="00A14C4A" w14:paraId="09EDB38E" w14:textId="77777777">
            <w:pPr>
              <w:jc w:val="center"/>
              <w:rPr>
                <w:szCs w:val="22"/>
              </w:rPr>
            </w:pPr>
            <w:r>
              <w:rPr>
                <w:szCs w:val="22"/>
              </w:rPr>
              <w:t>1720854</w:t>
            </w:r>
          </w:p>
        </w:tc>
        <w:tc>
          <w:tcPr>
            <w:tcW w:w="2394" w:type="dxa"/>
          </w:tcPr>
          <w:p w:rsidR="007F3182" w:rsidRPr="007F3182" w:rsidP="00A14C4A" w14:paraId="7F0DF82B" w14:textId="77777777">
            <w:pPr>
              <w:jc w:val="center"/>
              <w:rPr>
                <w:szCs w:val="22"/>
              </w:rPr>
            </w:pPr>
            <w:r>
              <w:rPr>
                <w:szCs w:val="22"/>
              </w:rPr>
              <w:t>1573431</w:t>
            </w:r>
          </w:p>
        </w:tc>
      </w:tr>
      <w:tr w14:paraId="3B49C0F1" w14:textId="77777777" w:rsidTr="007F3182">
        <w:tblPrEx>
          <w:tblW w:w="0" w:type="auto"/>
          <w:tblLook w:val="04A0"/>
        </w:tblPrEx>
        <w:tc>
          <w:tcPr>
            <w:tcW w:w="3708" w:type="dxa"/>
          </w:tcPr>
          <w:p w:rsidR="007F3182" w:rsidP="00A14C4A" w14:paraId="6CFB6204" w14:textId="77777777">
            <w:pPr>
              <w:jc w:val="center"/>
              <w:rPr>
                <w:szCs w:val="22"/>
              </w:rPr>
            </w:pPr>
            <w:r>
              <w:rPr>
                <w:szCs w:val="22"/>
              </w:rPr>
              <w:t>Point Hope Clinic</w:t>
            </w:r>
          </w:p>
        </w:tc>
        <w:tc>
          <w:tcPr>
            <w:tcW w:w="1260" w:type="dxa"/>
          </w:tcPr>
          <w:p w:rsidR="007F3182" w:rsidRPr="00B40968" w:rsidP="00A14C4A" w14:paraId="02EC2AE5" w14:textId="77777777">
            <w:pPr>
              <w:jc w:val="center"/>
              <w:rPr>
                <w:szCs w:val="22"/>
              </w:rPr>
            </w:pPr>
            <w:r>
              <w:rPr>
                <w:szCs w:val="22"/>
              </w:rPr>
              <w:t>10818</w:t>
            </w:r>
          </w:p>
        </w:tc>
        <w:tc>
          <w:tcPr>
            <w:tcW w:w="2214" w:type="dxa"/>
          </w:tcPr>
          <w:p w:rsidR="007F3182" w:rsidRPr="007F3182" w:rsidP="00A14C4A" w14:paraId="393634FC" w14:textId="77777777">
            <w:pPr>
              <w:jc w:val="center"/>
              <w:rPr>
                <w:szCs w:val="22"/>
              </w:rPr>
            </w:pPr>
            <w:r>
              <w:rPr>
                <w:szCs w:val="22"/>
              </w:rPr>
              <w:t>1715126</w:t>
            </w:r>
          </w:p>
        </w:tc>
        <w:tc>
          <w:tcPr>
            <w:tcW w:w="2394" w:type="dxa"/>
          </w:tcPr>
          <w:p w:rsidR="007F3182" w:rsidRPr="007F3182" w:rsidP="00A14C4A" w14:paraId="6F9B7E50" w14:textId="77777777">
            <w:pPr>
              <w:jc w:val="center"/>
              <w:rPr>
                <w:szCs w:val="22"/>
              </w:rPr>
            </w:pPr>
            <w:r>
              <w:rPr>
                <w:szCs w:val="22"/>
              </w:rPr>
              <w:t>1578894</w:t>
            </w:r>
          </w:p>
        </w:tc>
      </w:tr>
      <w:tr w14:paraId="23E19C53" w14:textId="77777777" w:rsidTr="007F3182">
        <w:tblPrEx>
          <w:tblW w:w="0" w:type="auto"/>
          <w:tblLook w:val="04A0"/>
        </w:tblPrEx>
        <w:tc>
          <w:tcPr>
            <w:tcW w:w="3708" w:type="dxa"/>
          </w:tcPr>
          <w:p w:rsidR="007F3182" w:rsidP="00A14C4A" w14:paraId="177BBD63" w14:textId="77777777">
            <w:pPr>
              <w:jc w:val="center"/>
              <w:rPr>
                <w:szCs w:val="22"/>
              </w:rPr>
            </w:pPr>
            <w:r>
              <w:rPr>
                <w:szCs w:val="22"/>
              </w:rPr>
              <w:t>Selawik</w:t>
            </w:r>
            <w:r>
              <w:rPr>
                <w:szCs w:val="22"/>
              </w:rPr>
              <w:t xml:space="preserve"> Clinic</w:t>
            </w:r>
          </w:p>
        </w:tc>
        <w:tc>
          <w:tcPr>
            <w:tcW w:w="1260" w:type="dxa"/>
          </w:tcPr>
          <w:p w:rsidR="007F3182" w:rsidRPr="00B40968" w:rsidP="00A14C4A" w14:paraId="011D3EA8" w14:textId="77777777">
            <w:pPr>
              <w:jc w:val="center"/>
              <w:rPr>
                <w:szCs w:val="22"/>
              </w:rPr>
            </w:pPr>
            <w:r>
              <w:rPr>
                <w:szCs w:val="22"/>
              </w:rPr>
              <w:t>10819</w:t>
            </w:r>
          </w:p>
        </w:tc>
        <w:tc>
          <w:tcPr>
            <w:tcW w:w="2214" w:type="dxa"/>
          </w:tcPr>
          <w:p w:rsidR="007F3182" w:rsidRPr="007F3182" w:rsidP="00A14C4A" w14:paraId="59F975A4" w14:textId="77777777">
            <w:pPr>
              <w:jc w:val="center"/>
              <w:rPr>
                <w:szCs w:val="22"/>
              </w:rPr>
            </w:pPr>
            <w:r>
              <w:rPr>
                <w:szCs w:val="22"/>
              </w:rPr>
              <w:t>1720855</w:t>
            </w:r>
          </w:p>
        </w:tc>
        <w:tc>
          <w:tcPr>
            <w:tcW w:w="2394" w:type="dxa"/>
          </w:tcPr>
          <w:p w:rsidR="007F3182" w:rsidRPr="007F3182" w:rsidP="00A14C4A" w14:paraId="522300C6" w14:textId="77777777">
            <w:pPr>
              <w:jc w:val="center"/>
              <w:rPr>
                <w:szCs w:val="22"/>
              </w:rPr>
            </w:pPr>
            <w:r>
              <w:rPr>
                <w:szCs w:val="22"/>
              </w:rPr>
              <w:t>1578896</w:t>
            </w:r>
          </w:p>
        </w:tc>
      </w:tr>
      <w:tr w14:paraId="44842339" w14:textId="77777777" w:rsidTr="007F3182">
        <w:tblPrEx>
          <w:tblW w:w="0" w:type="auto"/>
          <w:tblLook w:val="04A0"/>
        </w:tblPrEx>
        <w:tc>
          <w:tcPr>
            <w:tcW w:w="3708" w:type="dxa"/>
          </w:tcPr>
          <w:p w:rsidR="007F3182" w:rsidP="00A14C4A" w14:paraId="2136E150" w14:textId="77777777">
            <w:pPr>
              <w:jc w:val="center"/>
              <w:rPr>
                <w:szCs w:val="22"/>
              </w:rPr>
            </w:pPr>
            <w:r>
              <w:rPr>
                <w:szCs w:val="22"/>
              </w:rPr>
              <w:t>Shungnak</w:t>
            </w:r>
            <w:r>
              <w:rPr>
                <w:szCs w:val="22"/>
              </w:rPr>
              <w:t xml:space="preserve"> Clinic</w:t>
            </w:r>
          </w:p>
        </w:tc>
        <w:tc>
          <w:tcPr>
            <w:tcW w:w="1260" w:type="dxa"/>
          </w:tcPr>
          <w:p w:rsidR="007F3182" w:rsidRPr="00B40968" w:rsidP="00A14C4A" w14:paraId="516E86A3" w14:textId="77777777">
            <w:pPr>
              <w:jc w:val="center"/>
              <w:rPr>
                <w:szCs w:val="22"/>
              </w:rPr>
            </w:pPr>
            <w:r>
              <w:rPr>
                <w:szCs w:val="22"/>
              </w:rPr>
              <w:t>10820</w:t>
            </w:r>
          </w:p>
        </w:tc>
        <w:tc>
          <w:tcPr>
            <w:tcW w:w="2214" w:type="dxa"/>
          </w:tcPr>
          <w:p w:rsidR="007F3182" w:rsidRPr="007F3182" w:rsidP="00A14C4A" w14:paraId="18300D7C" w14:textId="77777777">
            <w:pPr>
              <w:jc w:val="center"/>
              <w:rPr>
                <w:szCs w:val="22"/>
              </w:rPr>
            </w:pPr>
            <w:r>
              <w:rPr>
                <w:szCs w:val="22"/>
              </w:rPr>
              <w:t>1715129</w:t>
            </w:r>
          </w:p>
        </w:tc>
        <w:tc>
          <w:tcPr>
            <w:tcW w:w="2394" w:type="dxa"/>
          </w:tcPr>
          <w:p w:rsidR="007F3182" w:rsidRPr="007F3182" w:rsidP="00A14C4A" w14:paraId="0682019A" w14:textId="77777777">
            <w:pPr>
              <w:jc w:val="center"/>
              <w:rPr>
                <w:szCs w:val="22"/>
              </w:rPr>
            </w:pPr>
            <w:r>
              <w:rPr>
                <w:szCs w:val="22"/>
              </w:rPr>
              <w:t>1578898</w:t>
            </w:r>
          </w:p>
        </w:tc>
      </w:tr>
    </w:tbl>
    <w:p w:rsidR="007F3182" w:rsidP="007F3182" w14:paraId="1C4816FA" w14:textId="77777777">
      <w:pPr>
        <w:jc w:val="right"/>
        <w:rPr>
          <w:b/>
          <w:szCs w:val="22"/>
        </w:rPr>
      </w:pPr>
    </w:p>
    <w:p w:rsidR="00913113" w:rsidP="00913113" w14:paraId="14A6436C" w14:textId="77777777">
      <w:pPr>
        <w:ind w:left="3600" w:firstLine="720"/>
      </w:pPr>
    </w:p>
    <w:p w:rsidR="00913113" w:rsidRPr="00430470" w:rsidP="00913113" w14:paraId="49754E77" w14:textId="4EAD55B8">
      <w:pPr>
        <w:pStyle w:val="Heading1"/>
        <w:numPr>
          <w:ilvl w:val="0"/>
          <w:numId w:val="0"/>
        </w:numPr>
      </w:pPr>
      <w:r>
        <w:br w:type="page"/>
      </w:r>
    </w:p>
    <w:p w:rsidR="00DC7EE1" w:rsidP="005D70DF" w14:paraId="345008F8" w14:textId="36F098A4">
      <w:pPr>
        <w:pStyle w:val="ParaNum"/>
        <w:numPr>
          <w:ilvl w:val="0"/>
          <w:numId w:val="0"/>
        </w:numPr>
        <w:jc w:val="center"/>
        <w:rPr>
          <w:b/>
          <w:bCs/>
          <w:u w:val="single"/>
        </w:rPr>
      </w:pPr>
      <w:r>
        <w:rPr>
          <w:b/>
          <w:bCs/>
          <w:u w:val="single"/>
        </w:rPr>
        <w:t>Appendix B</w:t>
      </w:r>
    </w:p>
    <w:p w:rsidR="00C3702C" w:rsidP="00E64ECD" w14:paraId="471C9203" w14:textId="65A966EF">
      <w:pPr>
        <w:pStyle w:val="ParaNum"/>
        <w:numPr>
          <w:ilvl w:val="0"/>
          <w:numId w:val="0"/>
        </w:numPr>
        <w:spacing w:after="0"/>
        <w:jc w:val="center"/>
        <w:rPr>
          <w:b/>
          <w:bCs/>
          <w:u w:val="single"/>
        </w:rPr>
      </w:pPr>
    </w:p>
    <w:p w:rsidR="00814838" w:rsidP="005D70DF" w14:paraId="7D23E8DD" w14:textId="6D9E889F">
      <w:pPr>
        <w:pStyle w:val="ParaNum"/>
        <w:numPr>
          <w:ilvl w:val="0"/>
          <w:numId w:val="0"/>
        </w:numPr>
        <w:jc w:val="center"/>
        <w:rPr>
          <w:b/>
          <w:bCs/>
        </w:rPr>
      </w:pPr>
      <w:r>
        <w:rPr>
          <w:b/>
          <w:bCs/>
        </w:rPr>
        <w:t>Maniilaq FRNs Subject to Funding Commitment Adjustments</w:t>
      </w:r>
    </w:p>
    <w:p w:rsidR="00E64ECD" w:rsidP="00E64ECD" w14:paraId="75EC343E" w14:textId="77777777">
      <w:pPr>
        <w:pStyle w:val="ParaNum"/>
        <w:numPr>
          <w:ilvl w:val="0"/>
          <w:numId w:val="0"/>
        </w:numPr>
        <w:spacing w:after="0"/>
        <w:jc w:val="center"/>
        <w:rPr>
          <w:b/>
          <w:bCs/>
        </w:rPr>
      </w:pPr>
    </w:p>
    <w:tbl>
      <w:tblPr>
        <w:tblStyle w:val="TableGrid"/>
        <w:tblW w:w="0" w:type="auto"/>
        <w:tblLook w:val="04A0"/>
      </w:tblPr>
      <w:tblGrid>
        <w:gridCol w:w="3685"/>
        <w:gridCol w:w="1170"/>
        <w:gridCol w:w="2970"/>
        <w:gridCol w:w="1525"/>
      </w:tblGrid>
      <w:tr w14:paraId="209E1604" w14:textId="77777777" w:rsidTr="00814838">
        <w:tblPrEx>
          <w:tblW w:w="0" w:type="auto"/>
          <w:tblLook w:val="04A0"/>
        </w:tblPrEx>
        <w:tc>
          <w:tcPr>
            <w:tcW w:w="3685" w:type="dxa"/>
          </w:tcPr>
          <w:p w:rsidR="00C3702C" w:rsidP="005D70DF" w14:paraId="25A1C5A2" w14:textId="648C3577">
            <w:pPr>
              <w:pStyle w:val="ParaNum"/>
              <w:numPr>
                <w:ilvl w:val="0"/>
                <w:numId w:val="0"/>
              </w:numPr>
              <w:jc w:val="center"/>
              <w:rPr>
                <w:b/>
                <w:bCs/>
              </w:rPr>
            </w:pPr>
            <w:r>
              <w:rPr>
                <w:b/>
                <w:bCs/>
              </w:rPr>
              <w:t>HCP Name</w:t>
            </w:r>
          </w:p>
        </w:tc>
        <w:tc>
          <w:tcPr>
            <w:tcW w:w="1170" w:type="dxa"/>
          </w:tcPr>
          <w:p w:rsidR="00C3702C" w:rsidP="005D70DF" w14:paraId="4A27A39B" w14:textId="480F2B91">
            <w:pPr>
              <w:pStyle w:val="ParaNum"/>
              <w:numPr>
                <w:ilvl w:val="0"/>
                <w:numId w:val="0"/>
              </w:numPr>
              <w:jc w:val="center"/>
              <w:rPr>
                <w:b/>
                <w:bCs/>
              </w:rPr>
            </w:pPr>
            <w:r>
              <w:rPr>
                <w:b/>
                <w:bCs/>
              </w:rPr>
              <w:t>HCP Number</w:t>
            </w:r>
          </w:p>
        </w:tc>
        <w:tc>
          <w:tcPr>
            <w:tcW w:w="2970" w:type="dxa"/>
          </w:tcPr>
          <w:p w:rsidR="00C3702C" w:rsidP="00E64ECD" w14:paraId="6DBC3D49" w14:textId="2D169D9F">
            <w:pPr>
              <w:pStyle w:val="ParaNum"/>
              <w:numPr>
                <w:ilvl w:val="0"/>
                <w:numId w:val="0"/>
              </w:numPr>
              <w:spacing w:after="0"/>
              <w:jc w:val="center"/>
              <w:rPr>
                <w:b/>
                <w:bCs/>
              </w:rPr>
            </w:pPr>
            <w:r>
              <w:rPr>
                <w:b/>
                <w:bCs/>
              </w:rPr>
              <w:t>FRN</w:t>
            </w:r>
          </w:p>
        </w:tc>
        <w:tc>
          <w:tcPr>
            <w:tcW w:w="1525" w:type="dxa"/>
          </w:tcPr>
          <w:p w:rsidR="00C3702C" w:rsidP="005D70DF" w14:paraId="6987FA66" w14:textId="23B8BF0F">
            <w:pPr>
              <w:pStyle w:val="ParaNum"/>
              <w:numPr>
                <w:ilvl w:val="0"/>
                <w:numId w:val="0"/>
              </w:numPr>
              <w:jc w:val="center"/>
              <w:rPr>
                <w:b/>
                <w:bCs/>
              </w:rPr>
            </w:pPr>
            <w:r>
              <w:rPr>
                <w:b/>
                <w:bCs/>
              </w:rPr>
              <w:t>Funding Year</w:t>
            </w:r>
          </w:p>
        </w:tc>
      </w:tr>
      <w:tr w14:paraId="16EBC78D" w14:textId="77777777" w:rsidTr="00814838">
        <w:tblPrEx>
          <w:tblW w:w="0" w:type="auto"/>
          <w:tblLook w:val="04A0"/>
        </w:tblPrEx>
        <w:tc>
          <w:tcPr>
            <w:tcW w:w="3685" w:type="dxa"/>
          </w:tcPr>
          <w:p w:rsidR="00C3702C" w:rsidRPr="00C3702C" w:rsidP="00C3702C" w14:paraId="6BBF4DB3" w14:textId="1AA78FB7">
            <w:pPr>
              <w:pStyle w:val="ParaNum"/>
              <w:numPr>
                <w:ilvl w:val="0"/>
                <w:numId w:val="0"/>
              </w:numPr>
            </w:pPr>
            <w:r>
              <w:t>Maniilaq Medical Center</w:t>
            </w:r>
          </w:p>
        </w:tc>
        <w:tc>
          <w:tcPr>
            <w:tcW w:w="1170" w:type="dxa"/>
          </w:tcPr>
          <w:p w:rsidR="00C3702C" w:rsidRPr="009841BD" w:rsidP="005D70DF" w14:paraId="2514B95A" w14:textId="69298498">
            <w:pPr>
              <w:pStyle w:val="ParaNum"/>
              <w:numPr>
                <w:ilvl w:val="0"/>
                <w:numId w:val="0"/>
              </w:numPr>
              <w:jc w:val="center"/>
            </w:pPr>
            <w:r w:rsidRPr="009841BD">
              <w:t>10810</w:t>
            </w:r>
          </w:p>
        </w:tc>
        <w:tc>
          <w:tcPr>
            <w:tcW w:w="2970" w:type="dxa"/>
          </w:tcPr>
          <w:p w:rsidR="00C3702C" w:rsidRPr="009841BD" w:rsidP="005D70DF" w14:paraId="271765C6" w14:textId="04700F43">
            <w:pPr>
              <w:pStyle w:val="ParaNum"/>
              <w:numPr>
                <w:ilvl w:val="0"/>
                <w:numId w:val="0"/>
              </w:numPr>
              <w:jc w:val="center"/>
            </w:pPr>
            <w:r w:rsidRPr="009841BD">
              <w:t>1456414</w:t>
            </w:r>
            <w:r w:rsidR="009841BD">
              <w:t>1</w:t>
            </w:r>
          </w:p>
        </w:tc>
        <w:tc>
          <w:tcPr>
            <w:tcW w:w="1525" w:type="dxa"/>
          </w:tcPr>
          <w:p w:rsidR="00C3702C" w:rsidRPr="009841BD" w:rsidP="005D70DF" w14:paraId="47A8199F" w14:textId="1381E997">
            <w:pPr>
              <w:pStyle w:val="ParaNum"/>
              <w:numPr>
                <w:ilvl w:val="0"/>
                <w:numId w:val="0"/>
              </w:numPr>
              <w:jc w:val="center"/>
            </w:pPr>
            <w:r w:rsidRPr="009841BD">
              <w:t>2014</w:t>
            </w:r>
          </w:p>
        </w:tc>
      </w:tr>
      <w:tr w14:paraId="2FD7DF71" w14:textId="77777777" w:rsidTr="00814838">
        <w:tblPrEx>
          <w:tblW w:w="0" w:type="auto"/>
          <w:tblLook w:val="04A0"/>
        </w:tblPrEx>
        <w:tc>
          <w:tcPr>
            <w:tcW w:w="3685" w:type="dxa"/>
          </w:tcPr>
          <w:p w:rsidR="00C3702C" w:rsidP="00C3702C" w14:paraId="6E531714" w14:textId="48B652D8">
            <w:pPr>
              <w:pStyle w:val="ParaNum"/>
              <w:numPr>
                <w:ilvl w:val="0"/>
                <w:numId w:val="0"/>
              </w:numPr>
              <w:rPr>
                <w:b/>
                <w:bCs/>
              </w:rPr>
            </w:pPr>
            <w:r>
              <w:t>Maniilaq Medical Center</w:t>
            </w:r>
          </w:p>
        </w:tc>
        <w:tc>
          <w:tcPr>
            <w:tcW w:w="1170" w:type="dxa"/>
          </w:tcPr>
          <w:p w:rsidR="00C3702C" w:rsidRPr="009841BD" w:rsidP="00C3702C" w14:paraId="04A95693" w14:textId="1594F233">
            <w:pPr>
              <w:pStyle w:val="ParaNum"/>
              <w:numPr>
                <w:ilvl w:val="0"/>
                <w:numId w:val="0"/>
              </w:numPr>
              <w:jc w:val="center"/>
            </w:pPr>
            <w:r w:rsidRPr="009841BD">
              <w:t>10810</w:t>
            </w:r>
          </w:p>
        </w:tc>
        <w:tc>
          <w:tcPr>
            <w:tcW w:w="2970" w:type="dxa"/>
          </w:tcPr>
          <w:p w:rsidR="00C3702C" w:rsidRPr="009841BD" w:rsidP="00C3702C" w14:paraId="6F6B0610" w14:textId="5A06396E">
            <w:pPr>
              <w:pStyle w:val="ParaNum"/>
              <w:numPr>
                <w:ilvl w:val="0"/>
                <w:numId w:val="0"/>
              </w:numPr>
              <w:jc w:val="center"/>
            </w:pPr>
            <w:r w:rsidRPr="009841BD">
              <w:t>145</w:t>
            </w:r>
            <w:r w:rsidRPr="009841BD" w:rsidR="009841BD">
              <w:t>7353</w:t>
            </w:r>
            <w:r w:rsidR="009841BD">
              <w:t>1</w:t>
            </w:r>
          </w:p>
        </w:tc>
        <w:tc>
          <w:tcPr>
            <w:tcW w:w="1525" w:type="dxa"/>
          </w:tcPr>
          <w:p w:rsidR="00C3702C" w:rsidRPr="009841BD" w:rsidP="00C3702C" w14:paraId="77D48AA5" w14:textId="7155C168">
            <w:pPr>
              <w:pStyle w:val="ParaNum"/>
              <w:numPr>
                <w:ilvl w:val="0"/>
                <w:numId w:val="0"/>
              </w:numPr>
              <w:jc w:val="center"/>
            </w:pPr>
            <w:r w:rsidRPr="009841BD">
              <w:t>2014</w:t>
            </w:r>
          </w:p>
        </w:tc>
      </w:tr>
      <w:tr w14:paraId="2C384683" w14:textId="77777777" w:rsidTr="00814838">
        <w:tblPrEx>
          <w:tblW w:w="0" w:type="auto"/>
          <w:tblLook w:val="04A0"/>
        </w:tblPrEx>
        <w:tc>
          <w:tcPr>
            <w:tcW w:w="3685" w:type="dxa"/>
          </w:tcPr>
          <w:p w:rsidR="009841BD" w:rsidP="009841BD" w14:paraId="07A3C380" w14:textId="5322383E">
            <w:pPr>
              <w:pStyle w:val="ParaNum"/>
              <w:numPr>
                <w:ilvl w:val="0"/>
                <w:numId w:val="0"/>
              </w:numPr>
              <w:rPr>
                <w:b/>
                <w:bCs/>
              </w:rPr>
            </w:pPr>
            <w:r>
              <w:t>Maniilaq Medical Center</w:t>
            </w:r>
          </w:p>
        </w:tc>
        <w:tc>
          <w:tcPr>
            <w:tcW w:w="1170" w:type="dxa"/>
          </w:tcPr>
          <w:p w:rsidR="009841BD" w:rsidRPr="009841BD" w:rsidP="009841BD" w14:paraId="308FC9FC" w14:textId="62D4820E">
            <w:pPr>
              <w:pStyle w:val="ParaNum"/>
              <w:numPr>
                <w:ilvl w:val="0"/>
                <w:numId w:val="0"/>
              </w:numPr>
              <w:jc w:val="center"/>
            </w:pPr>
            <w:r w:rsidRPr="009841BD">
              <w:t>10810</w:t>
            </w:r>
          </w:p>
        </w:tc>
        <w:tc>
          <w:tcPr>
            <w:tcW w:w="2970" w:type="dxa"/>
          </w:tcPr>
          <w:p w:rsidR="009841BD" w:rsidRPr="009841BD" w:rsidP="009841BD" w14:paraId="1744A323" w14:textId="3BD624BA">
            <w:pPr>
              <w:pStyle w:val="ParaNum"/>
              <w:numPr>
                <w:ilvl w:val="0"/>
                <w:numId w:val="0"/>
              </w:numPr>
              <w:jc w:val="center"/>
            </w:pPr>
            <w:r w:rsidRPr="009841BD">
              <w:t>1464231</w:t>
            </w:r>
            <w:r>
              <w:t>1</w:t>
            </w:r>
          </w:p>
        </w:tc>
        <w:tc>
          <w:tcPr>
            <w:tcW w:w="1525" w:type="dxa"/>
          </w:tcPr>
          <w:p w:rsidR="009841BD" w:rsidRPr="009841BD" w:rsidP="009841BD" w14:paraId="3F334058" w14:textId="360E0A82">
            <w:pPr>
              <w:pStyle w:val="ParaNum"/>
              <w:numPr>
                <w:ilvl w:val="0"/>
                <w:numId w:val="0"/>
              </w:numPr>
              <w:jc w:val="center"/>
            </w:pPr>
            <w:r w:rsidRPr="009841BD">
              <w:t>2014</w:t>
            </w:r>
          </w:p>
        </w:tc>
      </w:tr>
      <w:tr w14:paraId="6BCACDC1" w14:textId="77777777" w:rsidTr="00814838">
        <w:tblPrEx>
          <w:tblW w:w="0" w:type="auto"/>
          <w:tblLook w:val="04A0"/>
        </w:tblPrEx>
        <w:tc>
          <w:tcPr>
            <w:tcW w:w="3685" w:type="dxa"/>
          </w:tcPr>
          <w:p w:rsidR="009841BD" w:rsidP="009841BD" w14:paraId="05F5E191" w14:textId="63870227">
            <w:pPr>
              <w:pStyle w:val="ParaNum"/>
              <w:numPr>
                <w:ilvl w:val="0"/>
                <w:numId w:val="0"/>
              </w:numPr>
              <w:rPr>
                <w:b/>
                <w:bCs/>
              </w:rPr>
            </w:pPr>
            <w:r>
              <w:t>Maniilaq Medical Center</w:t>
            </w:r>
          </w:p>
        </w:tc>
        <w:tc>
          <w:tcPr>
            <w:tcW w:w="1170" w:type="dxa"/>
          </w:tcPr>
          <w:p w:rsidR="009841BD" w:rsidRPr="009841BD" w:rsidP="009841BD" w14:paraId="44DB2036" w14:textId="4D6A7CF1">
            <w:pPr>
              <w:pStyle w:val="ParaNum"/>
              <w:numPr>
                <w:ilvl w:val="0"/>
                <w:numId w:val="0"/>
              </w:numPr>
              <w:jc w:val="center"/>
            </w:pPr>
            <w:r w:rsidRPr="009841BD">
              <w:t>10810</w:t>
            </w:r>
          </w:p>
        </w:tc>
        <w:tc>
          <w:tcPr>
            <w:tcW w:w="2970" w:type="dxa"/>
          </w:tcPr>
          <w:p w:rsidR="009841BD" w:rsidRPr="009841BD" w:rsidP="009841BD" w14:paraId="256F9BB9" w14:textId="214BBF66">
            <w:pPr>
              <w:pStyle w:val="ParaNum"/>
              <w:numPr>
                <w:ilvl w:val="0"/>
                <w:numId w:val="0"/>
              </w:numPr>
              <w:jc w:val="center"/>
            </w:pPr>
            <w:r w:rsidRPr="009841BD">
              <w:t>1</w:t>
            </w:r>
            <w:r>
              <w:t>5711251</w:t>
            </w:r>
          </w:p>
        </w:tc>
        <w:tc>
          <w:tcPr>
            <w:tcW w:w="1525" w:type="dxa"/>
          </w:tcPr>
          <w:p w:rsidR="009841BD" w:rsidRPr="009841BD" w:rsidP="009841BD" w14:paraId="45B5D575" w14:textId="60C098D8">
            <w:pPr>
              <w:pStyle w:val="ParaNum"/>
              <w:numPr>
                <w:ilvl w:val="0"/>
                <w:numId w:val="0"/>
              </w:numPr>
              <w:jc w:val="center"/>
            </w:pPr>
            <w:r w:rsidRPr="009841BD">
              <w:t>2015</w:t>
            </w:r>
          </w:p>
        </w:tc>
      </w:tr>
      <w:tr w14:paraId="002A1D24" w14:textId="77777777" w:rsidTr="00814838">
        <w:tblPrEx>
          <w:tblW w:w="0" w:type="auto"/>
          <w:tblLook w:val="04A0"/>
        </w:tblPrEx>
        <w:tc>
          <w:tcPr>
            <w:tcW w:w="3685" w:type="dxa"/>
          </w:tcPr>
          <w:p w:rsidR="009841BD" w:rsidP="009841BD" w14:paraId="5E4466AA" w14:textId="21D65032">
            <w:pPr>
              <w:pStyle w:val="ParaNum"/>
              <w:numPr>
                <w:ilvl w:val="0"/>
                <w:numId w:val="0"/>
              </w:numPr>
              <w:rPr>
                <w:b/>
                <w:bCs/>
              </w:rPr>
            </w:pPr>
            <w:r>
              <w:t>Maniilaq Medical Center</w:t>
            </w:r>
          </w:p>
        </w:tc>
        <w:tc>
          <w:tcPr>
            <w:tcW w:w="1170" w:type="dxa"/>
          </w:tcPr>
          <w:p w:rsidR="009841BD" w:rsidRPr="009841BD" w:rsidP="009841BD" w14:paraId="012363D9" w14:textId="35CF3FFE">
            <w:pPr>
              <w:pStyle w:val="ParaNum"/>
              <w:numPr>
                <w:ilvl w:val="0"/>
                <w:numId w:val="0"/>
              </w:numPr>
              <w:jc w:val="center"/>
            </w:pPr>
            <w:r w:rsidRPr="009841BD">
              <w:t>10810</w:t>
            </w:r>
          </w:p>
        </w:tc>
        <w:tc>
          <w:tcPr>
            <w:tcW w:w="2970" w:type="dxa"/>
          </w:tcPr>
          <w:p w:rsidR="009841BD" w:rsidRPr="009841BD" w:rsidP="009841BD" w14:paraId="45BA3860" w14:textId="567C98AE">
            <w:pPr>
              <w:pStyle w:val="ParaNum"/>
              <w:numPr>
                <w:ilvl w:val="0"/>
                <w:numId w:val="0"/>
              </w:numPr>
              <w:jc w:val="center"/>
            </w:pPr>
            <w:r w:rsidRPr="009841BD">
              <w:t>1</w:t>
            </w:r>
            <w:r>
              <w:t>5711321</w:t>
            </w:r>
          </w:p>
        </w:tc>
        <w:tc>
          <w:tcPr>
            <w:tcW w:w="1525" w:type="dxa"/>
          </w:tcPr>
          <w:p w:rsidR="009841BD" w:rsidRPr="009841BD" w:rsidP="009841BD" w14:paraId="14118BBA" w14:textId="44FF81ED">
            <w:pPr>
              <w:pStyle w:val="ParaNum"/>
              <w:numPr>
                <w:ilvl w:val="0"/>
                <w:numId w:val="0"/>
              </w:numPr>
              <w:jc w:val="center"/>
            </w:pPr>
            <w:r w:rsidRPr="009841BD">
              <w:t>2015</w:t>
            </w:r>
          </w:p>
        </w:tc>
      </w:tr>
      <w:tr w14:paraId="49A59346" w14:textId="77777777" w:rsidTr="00814838">
        <w:tblPrEx>
          <w:tblW w:w="0" w:type="auto"/>
          <w:tblLook w:val="04A0"/>
        </w:tblPrEx>
        <w:tc>
          <w:tcPr>
            <w:tcW w:w="3685" w:type="dxa"/>
          </w:tcPr>
          <w:p w:rsidR="009841BD" w:rsidP="009841BD" w14:paraId="6AAC94E4" w14:textId="627A26EB">
            <w:pPr>
              <w:pStyle w:val="ParaNum"/>
              <w:numPr>
                <w:ilvl w:val="0"/>
                <w:numId w:val="0"/>
              </w:numPr>
              <w:rPr>
                <w:b/>
                <w:bCs/>
              </w:rPr>
            </w:pPr>
            <w:r>
              <w:t>Maniilaq Medical Center</w:t>
            </w:r>
          </w:p>
        </w:tc>
        <w:tc>
          <w:tcPr>
            <w:tcW w:w="1170" w:type="dxa"/>
          </w:tcPr>
          <w:p w:rsidR="009841BD" w:rsidRPr="009841BD" w:rsidP="009841BD" w14:paraId="79D8CC1D" w14:textId="0333EFEC">
            <w:pPr>
              <w:pStyle w:val="ParaNum"/>
              <w:numPr>
                <w:ilvl w:val="0"/>
                <w:numId w:val="0"/>
              </w:numPr>
              <w:jc w:val="center"/>
            </w:pPr>
            <w:r w:rsidRPr="009841BD">
              <w:t>10810</w:t>
            </w:r>
          </w:p>
        </w:tc>
        <w:tc>
          <w:tcPr>
            <w:tcW w:w="2970" w:type="dxa"/>
          </w:tcPr>
          <w:p w:rsidR="009841BD" w:rsidRPr="009841BD" w:rsidP="009841BD" w14:paraId="0D1B623C" w14:textId="66138648">
            <w:pPr>
              <w:pStyle w:val="ParaNum"/>
              <w:numPr>
                <w:ilvl w:val="0"/>
                <w:numId w:val="0"/>
              </w:numPr>
              <w:jc w:val="center"/>
            </w:pPr>
            <w:r w:rsidRPr="009841BD">
              <w:t>1</w:t>
            </w:r>
            <w:r>
              <w:t>5807641</w:t>
            </w:r>
          </w:p>
        </w:tc>
        <w:tc>
          <w:tcPr>
            <w:tcW w:w="1525" w:type="dxa"/>
          </w:tcPr>
          <w:p w:rsidR="009841BD" w:rsidRPr="009841BD" w:rsidP="009841BD" w14:paraId="6E944846" w14:textId="06BFF9C2">
            <w:pPr>
              <w:pStyle w:val="ParaNum"/>
              <w:numPr>
                <w:ilvl w:val="0"/>
                <w:numId w:val="0"/>
              </w:numPr>
              <w:jc w:val="center"/>
            </w:pPr>
            <w:r w:rsidRPr="009841BD">
              <w:t>2015</w:t>
            </w:r>
          </w:p>
        </w:tc>
      </w:tr>
      <w:tr w14:paraId="0765BE6D" w14:textId="77777777" w:rsidTr="00814838">
        <w:tblPrEx>
          <w:tblW w:w="0" w:type="auto"/>
          <w:tblLook w:val="04A0"/>
        </w:tblPrEx>
        <w:tc>
          <w:tcPr>
            <w:tcW w:w="3685" w:type="dxa"/>
          </w:tcPr>
          <w:p w:rsidR="009841BD" w:rsidP="009841BD" w14:paraId="700FC95B" w14:textId="3C40C636">
            <w:pPr>
              <w:pStyle w:val="ParaNum"/>
              <w:numPr>
                <w:ilvl w:val="0"/>
                <w:numId w:val="0"/>
              </w:numPr>
              <w:rPr>
                <w:b/>
                <w:bCs/>
              </w:rPr>
            </w:pPr>
            <w:r>
              <w:t>Maniilaq Medical Center</w:t>
            </w:r>
          </w:p>
        </w:tc>
        <w:tc>
          <w:tcPr>
            <w:tcW w:w="1170" w:type="dxa"/>
          </w:tcPr>
          <w:p w:rsidR="009841BD" w:rsidRPr="009841BD" w:rsidP="009841BD" w14:paraId="28AC9B9A" w14:textId="1C00CB61">
            <w:pPr>
              <w:pStyle w:val="ParaNum"/>
              <w:numPr>
                <w:ilvl w:val="0"/>
                <w:numId w:val="0"/>
              </w:numPr>
              <w:jc w:val="center"/>
            </w:pPr>
            <w:r w:rsidRPr="009841BD">
              <w:t>10810</w:t>
            </w:r>
          </w:p>
        </w:tc>
        <w:tc>
          <w:tcPr>
            <w:tcW w:w="2970" w:type="dxa"/>
          </w:tcPr>
          <w:p w:rsidR="009841BD" w:rsidRPr="009841BD" w:rsidP="009841BD" w14:paraId="00DA1A06" w14:textId="5C728445">
            <w:pPr>
              <w:pStyle w:val="ParaNum"/>
              <w:numPr>
                <w:ilvl w:val="0"/>
                <w:numId w:val="0"/>
              </w:numPr>
              <w:jc w:val="center"/>
            </w:pPr>
            <w:r w:rsidRPr="009841BD">
              <w:t>1</w:t>
            </w:r>
            <w:r>
              <w:t>6878981</w:t>
            </w:r>
          </w:p>
        </w:tc>
        <w:tc>
          <w:tcPr>
            <w:tcW w:w="1525" w:type="dxa"/>
          </w:tcPr>
          <w:p w:rsidR="009841BD" w:rsidRPr="009841BD" w:rsidP="009841BD" w14:paraId="4A24F8B3" w14:textId="79AD2582">
            <w:pPr>
              <w:pStyle w:val="ParaNum"/>
              <w:numPr>
                <w:ilvl w:val="0"/>
                <w:numId w:val="0"/>
              </w:numPr>
              <w:jc w:val="center"/>
            </w:pPr>
            <w:r w:rsidRPr="009841BD">
              <w:t>2016</w:t>
            </w:r>
          </w:p>
        </w:tc>
      </w:tr>
      <w:tr w14:paraId="265422ED" w14:textId="77777777" w:rsidTr="00814838">
        <w:tblPrEx>
          <w:tblW w:w="0" w:type="auto"/>
          <w:tblLook w:val="04A0"/>
        </w:tblPrEx>
        <w:tc>
          <w:tcPr>
            <w:tcW w:w="3685" w:type="dxa"/>
          </w:tcPr>
          <w:p w:rsidR="009841BD" w:rsidP="009841BD" w14:paraId="44E52869" w14:textId="4E0E959C">
            <w:pPr>
              <w:pStyle w:val="ParaNum"/>
              <w:numPr>
                <w:ilvl w:val="0"/>
                <w:numId w:val="0"/>
              </w:numPr>
              <w:rPr>
                <w:b/>
                <w:bCs/>
              </w:rPr>
            </w:pPr>
            <w:r>
              <w:t>Maniilaq Medical Center</w:t>
            </w:r>
          </w:p>
        </w:tc>
        <w:tc>
          <w:tcPr>
            <w:tcW w:w="1170" w:type="dxa"/>
          </w:tcPr>
          <w:p w:rsidR="009841BD" w:rsidRPr="009841BD" w:rsidP="009841BD" w14:paraId="264C1897" w14:textId="208E7331">
            <w:pPr>
              <w:pStyle w:val="ParaNum"/>
              <w:numPr>
                <w:ilvl w:val="0"/>
                <w:numId w:val="0"/>
              </w:numPr>
              <w:jc w:val="center"/>
            </w:pPr>
            <w:r w:rsidRPr="009841BD">
              <w:t>10810</w:t>
            </w:r>
          </w:p>
        </w:tc>
        <w:tc>
          <w:tcPr>
            <w:tcW w:w="2970" w:type="dxa"/>
          </w:tcPr>
          <w:p w:rsidR="009841BD" w:rsidRPr="009841BD" w:rsidP="009841BD" w14:paraId="50582788" w14:textId="3CEDEB04">
            <w:pPr>
              <w:pStyle w:val="ParaNum"/>
              <w:numPr>
                <w:ilvl w:val="0"/>
                <w:numId w:val="0"/>
              </w:numPr>
              <w:jc w:val="center"/>
            </w:pPr>
            <w:r w:rsidRPr="009841BD">
              <w:t>1</w:t>
            </w:r>
            <w:r>
              <w:t>6904171</w:t>
            </w:r>
          </w:p>
        </w:tc>
        <w:tc>
          <w:tcPr>
            <w:tcW w:w="1525" w:type="dxa"/>
          </w:tcPr>
          <w:p w:rsidR="009841BD" w:rsidRPr="009841BD" w:rsidP="009841BD" w14:paraId="60F15B9B" w14:textId="42045766">
            <w:pPr>
              <w:pStyle w:val="ParaNum"/>
              <w:numPr>
                <w:ilvl w:val="0"/>
                <w:numId w:val="0"/>
              </w:numPr>
              <w:jc w:val="center"/>
            </w:pPr>
            <w:r w:rsidRPr="009841BD">
              <w:t>2016</w:t>
            </w:r>
          </w:p>
        </w:tc>
      </w:tr>
      <w:tr w14:paraId="43A0A8CE" w14:textId="77777777" w:rsidTr="00814838">
        <w:tblPrEx>
          <w:tblW w:w="0" w:type="auto"/>
          <w:tblLook w:val="04A0"/>
        </w:tblPrEx>
        <w:tc>
          <w:tcPr>
            <w:tcW w:w="3685" w:type="dxa"/>
          </w:tcPr>
          <w:p w:rsidR="009841BD" w:rsidRPr="00814838" w:rsidP="009841BD" w14:paraId="53B19E77" w14:textId="5AFA32D7">
            <w:pPr>
              <w:pStyle w:val="ParaNum"/>
              <w:numPr>
                <w:ilvl w:val="0"/>
                <w:numId w:val="0"/>
              </w:numPr>
            </w:pPr>
            <w:r w:rsidRPr="00814838">
              <w:t>Maniilaq Association – Kiana Clinic</w:t>
            </w:r>
          </w:p>
        </w:tc>
        <w:tc>
          <w:tcPr>
            <w:tcW w:w="1170" w:type="dxa"/>
          </w:tcPr>
          <w:p w:rsidR="009841BD" w:rsidRPr="00814838" w:rsidP="009841BD" w14:paraId="6019167E" w14:textId="7DB8E70B">
            <w:pPr>
              <w:pStyle w:val="ParaNum"/>
              <w:numPr>
                <w:ilvl w:val="0"/>
                <w:numId w:val="0"/>
              </w:numPr>
              <w:jc w:val="center"/>
            </w:pPr>
            <w:r w:rsidRPr="00814838">
              <w:t>10249</w:t>
            </w:r>
          </w:p>
        </w:tc>
        <w:tc>
          <w:tcPr>
            <w:tcW w:w="2970" w:type="dxa"/>
          </w:tcPr>
          <w:p w:rsidR="009841BD" w:rsidRPr="00814838" w:rsidP="009841BD" w14:paraId="3D80C2C1" w14:textId="04913C5C">
            <w:pPr>
              <w:pStyle w:val="ParaNum"/>
              <w:numPr>
                <w:ilvl w:val="0"/>
                <w:numId w:val="0"/>
              </w:numPr>
              <w:jc w:val="center"/>
            </w:pPr>
            <w:r w:rsidRPr="00814838">
              <w:t>15786171</w:t>
            </w:r>
          </w:p>
        </w:tc>
        <w:tc>
          <w:tcPr>
            <w:tcW w:w="1525" w:type="dxa"/>
          </w:tcPr>
          <w:p w:rsidR="009841BD" w:rsidRPr="00814838" w:rsidP="009841BD" w14:paraId="0FBC3DEF" w14:textId="103602C5">
            <w:pPr>
              <w:pStyle w:val="ParaNum"/>
              <w:numPr>
                <w:ilvl w:val="0"/>
                <w:numId w:val="0"/>
              </w:numPr>
              <w:jc w:val="center"/>
            </w:pPr>
            <w:r w:rsidRPr="00814838">
              <w:t>2015</w:t>
            </w:r>
          </w:p>
        </w:tc>
      </w:tr>
      <w:tr w14:paraId="4A9C5F27" w14:textId="77777777" w:rsidTr="00814838">
        <w:tblPrEx>
          <w:tblW w:w="0" w:type="auto"/>
          <w:tblLook w:val="04A0"/>
        </w:tblPrEx>
        <w:tc>
          <w:tcPr>
            <w:tcW w:w="3685" w:type="dxa"/>
          </w:tcPr>
          <w:p w:rsidR="009841BD" w:rsidRPr="00814838" w:rsidP="009841BD" w14:paraId="57BF42E7" w14:textId="2555566D">
            <w:pPr>
              <w:pStyle w:val="ParaNum"/>
              <w:numPr>
                <w:ilvl w:val="0"/>
                <w:numId w:val="0"/>
              </w:numPr>
            </w:pPr>
            <w:r w:rsidRPr="00814838">
              <w:t>Maniilaq Association – Kiana Clinic</w:t>
            </w:r>
          </w:p>
        </w:tc>
        <w:tc>
          <w:tcPr>
            <w:tcW w:w="1170" w:type="dxa"/>
          </w:tcPr>
          <w:p w:rsidR="009841BD" w:rsidRPr="00814838" w:rsidP="009841BD" w14:paraId="5F767BA5" w14:textId="55E15C5A">
            <w:pPr>
              <w:pStyle w:val="ParaNum"/>
              <w:numPr>
                <w:ilvl w:val="0"/>
                <w:numId w:val="0"/>
              </w:numPr>
              <w:jc w:val="center"/>
            </w:pPr>
            <w:r w:rsidRPr="00814838">
              <w:t>10249</w:t>
            </w:r>
          </w:p>
        </w:tc>
        <w:tc>
          <w:tcPr>
            <w:tcW w:w="2970" w:type="dxa"/>
          </w:tcPr>
          <w:p w:rsidR="009841BD" w:rsidRPr="00814838" w:rsidP="009841BD" w14:paraId="5F726013" w14:textId="16691310">
            <w:pPr>
              <w:pStyle w:val="ParaNum"/>
              <w:numPr>
                <w:ilvl w:val="0"/>
                <w:numId w:val="0"/>
              </w:numPr>
              <w:jc w:val="center"/>
            </w:pPr>
            <w:r w:rsidRPr="00814838">
              <w:t>16871081</w:t>
            </w:r>
          </w:p>
        </w:tc>
        <w:tc>
          <w:tcPr>
            <w:tcW w:w="1525" w:type="dxa"/>
          </w:tcPr>
          <w:p w:rsidR="009841BD" w:rsidRPr="00814838" w:rsidP="009841BD" w14:paraId="41DCB1C3" w14:textId="5178DABD">
            <w:pPr>
              <w:pStyle w:val="ParaNum"/>
              <w:numPr>
                <w:ilvl w:val="0"/>
                <w:numId w:val="0"/>
              </w:numPr>
              <w:jc w:val="center"/>
            </w:pPr>
            <w:r w:rsidRPr="00814838">
              <w:t>2015</w:t>
            </w:r>
          </w:p>
        </w:tc>
      </w:tr>
      <w:tr w14:paraId="0D6945C5" w14:textId="77777777" w:rsidTr="00814838">
        <w:tblPrEx>
          <w:tblW w:w="0" w:type="auto"/>
          <w:tblLook w:val="04A0"/>
        </w:tblPrEx>
        <w:tc>
          <w:tcPr>
            <w:tcW w:w="3685" w:type="dxa"/>
          </w:tcPr>
          <w:p w:rsidR="009841BD" w:rsidRPr="00814838" w:rsidP="009841BD" w14:paraId="5E695086" w14:textId="50FF594A">
            <w:pPr>
              <w:pStyle w:val="ParaNum"/>
              <w:numPr>
                <w:ilvl w:val="0"/>
                <w:numId w:val="0"/>
              </w:numPr>
            </w:pPr>
            <w:r w:rsidRPr="00814838">
              <w:t>Ambler Clinic</w:t>
            </w:r>
          </w:p>
        </w:tc>
        <w:tc>
          <w:tcPr>
            <w:tcW w:w="1170" w:type="dxa"/>
          </w:tcPr>
          <w:p w:rsidR="009841BD" w:rsidRPr="00814838" w:rsidP="009841BD" w14:paraId="09431F91" w14:textId="7F21145C">
            <w:pPr>
              <w:pStyle w:val="ParaNum"/>
              <w:numPr>
                <w:ilvl w:val="0"/>
                <w:numId w:val="0"/>
              </w:numPr>
              <w:jc w:val="center"/>
            </w:pPr>
            <w:r w:rsidRPr="00814838">
              <w:t>10811</w:t>
            </w:r>
          </w:p>
        </w:tc>
        <w:tc>
          <w:tcPr>
            <w:tcW w:w="2970" w:type="dxa"/>
          </w:tcPr>
          <w:p w:rsidR="009841BD" w:rsidRPr="00814838" w:rsidP="009841BD" w14:paraId="6F1EACF4" w14:textId="44D50152">
            <w:pPr>
              <w:pStyle w:val="ParaNum"/>
              <w:numPr>
                <w:ilvl w:val="0"/>
                <w:numId w:val="0"/>
              </w:numPr>
              <w:jc w:val="center"/>
            </w:pPr>
            <w:r w:rsidRPr="00814838">
              <w:t>15786191</w:t>
            </w:r>
          </w:p>
        </w:tc>
        <w:tc>
          <w:tcPr>
            <w:tcW w:w="1525" w:type="dxa"/>
          </w:tcPr>
          <w:p w:rsidR="009841BD" w:rsidRPr="00814838" w:rsidP="009841BD" w14:paraId="06DDFE16" w14:textId="2E154372">
            <w:pPr>
              <w:pStyle w:val="ParaNum"/>
              <w:numPr>
                <w:ilvl w:val="0"/>
                <w:numId w:val="0"/>
              </w:numPr>
              <w:jc w:val="center"/>
            </w:pPr>
            <w:r w:rsidRPr="00814838">
              <w:t>2015</w:t>
            </w:r>
          </w:p>
        </w:tc>
      </w:tr>
      <w:tr w14:paraId="195BB22D" w14:textId="77777777" w:rsidTr="00814838">
        <w:tblPrEx>
          <w:tblW w:w="0" w:type="auto"/>
          <w:tblLook w:val="04A0"/>
        </w:tblPrEx>
        <w:tc>
          <w:tcPr>
            <w:tcW w:w="3685" w:type="dxa"/>
          </w:tcPr>
          <w:p w:rsidR="009841BD" w:rsidRPr="00814838" w:rsidP="009841BD" w14:paraId="67FE70B9" w14:textId="2EAC892E">
            <w:pPr>
              <w:pStyle w:val="ParaNum"/>
              <w:numPr>
                <w:ilvl w:val="0"/>
                <w:numId w:val="0"/>
              </w:numPr>
            </w:pPr>
            <w:r w:rsidRPr="00814838">
              <w:t>Ambler Clinic</w:t>
            </w:r>
          </w:p>
        </w:tc>
        <w:tc>
          <w:tcPr>
            <w:tcW w:w="1170" w:type="dxa"/>
          </w:tcPr>
          <w:p w:rsidR="009841BD" w:rsidRPr="00814838" w:rsidP="009841BD" w14:paraId="27375195" w14:textId="2C17862D">
            <w:pPr>
              <w:pStyle w:val="ParaNum"/>
              <w:numPr>
                <w:ilvl w:val="0"/>
                <w:numId w:val="0"/>
              </w:numPr>
              <w:jc w:val="center"/>
            </w:pPr>
            <w:r w:rsidRPr="00814838">
              <w:t>10811</w:t>
            </w:r>
          </w:p>
        </w:tc>
        <w:tc>
          <w:tcPr>
            <w:tcW w:w="2970" w:type="dxa"/>
          </w:tcPr>
          <w:p w:rsidR="009841BD" w:rsidRPr="00814838" w:rsidP="009841BD" w14:paraId="10419BF2" w14:textId="1F8CF885">
            <w:pPr>
              <w:pStyle w:val="ParaNum"/>
              <w:numPr>
                <w:ilvl w:val="0"/>
                <w:numId w:val="0"/>
              </w:numPr>
              <w:jc w:val="center"/>
            </w:pPr>
            <w:r w:rsidRPr="00814838">
              <w:t>16871311</w:t>
            </w:r>
          </w:p>
        </w:tc>
        <w:tc>
          <w:tcPr>
            <w:tcW w:w="1525" w:type="dxa"/>
          </w:tcPr>
          <w:p w:rsidR="009841BD" w:rsidRPr="00814838" w:rsidP="009841BD" w14:paraId="40084C16" w14:textId="40387C4A">
            <w:pPr>
              <w:pStyle w:val="ParaNum"/>
              <w:numPr>
                <w:ilvl w:val="0"/>
                <w:numId w:val="0"/>
              </w:numPr>
              <w:jc w:val="center"/>
            </w:pPr>
            <w:r w:rsidRPr="00814838">
              <w:t>2016</w:t>
            </w:r>
          </w:p>
        </w:tc>
      </w:tr>
      <w:tr w14:paraId="570A3C69" w14:textId="77777777" w:rsidTr="00814838">
        <w:tblPrEx>
          <w:tblW w:w="0" w:type="auto"/>
          <w:tblLook w:val="04A0"/>
        </w:tblPrEx>
        <w:tc>
          <w:tcPr>
            <w:tcW w:w="3685" w:type="dxa"/>
          </w:tcPr>
          <w:p w:rsidR="009841BD" w:rsidRPr="00814838" w:rsidP="009841BD" w14:paraId="71F033BF" w14:textId="63411820">
            <w:pPr>
              <w:pStyle w:val="ParaNum"/>
              <w:numPr>
                <w:ilvl w:val="0"/>
                <w:numId w:val="0"/>
              </w:numPr>
            </w:pPr>
            <w:r w:rsidRPr="00814838">
              <w:t>Buckland Clinic</w:t>
            </w:r>
          </w:p>
        </w:tc>
        <w:tc>
          <w:tcPr>
            <w:tcW w:w="1170" w:type="dxa"/>
          </w:tcPr>
          <w:p w:rsidR="009841BD" w:rsidRPr="00814838" w:rsidP="009841BD" w14:paraId="26FE25D7" w14:textId="49445A79">
            <w:pPr>
              <w:pStyle w:val="ParaNum"/>
              <w:numPr>
                <w:ilvl w:val="0"/>
                <w:numId w:val="0"/>
              </w:numPr>
              <w:jc w:val="center"/>
            </w:pPr>
            <w:r w:rsidRPr="00814838">
              <w:t>10812</w:t>
            </w:r>
          </w:p>
        </w:tc>
        <w:tc>
          <w:tcPr>
            <w:tcW w:w="2970" w:type="dxa"/>
          </w:tcPr>
          <w:p w:rsidR="009841BD" w:rsidRPr="00814838" w:rsidP="009841BD" w14:paraId="7EFE81E4" w14:textId="331CF9F1">
            <w:pPr>
              <w:pStyle w:val="ParaNum"/>
              <w:numPr>
                <w:ilvl w:val="0"/>
                <w:numId w:val="0"/>
              </w:numPr>
              <w:jc w:val="center"/>
            </w:pPr>
            <w:r w:rsidRPr="00814838">
              <w:t>15788831</w:t>
            </w:r>
          </w:p>
        </w:tc>
        <w:tc>
          <w:tcPr>
            <w:tcW w:w="1525" w:type="dxa"/>
          </w:tcPr>
          <w:p w:rsidR="009841BD" w:rsidRPr="00814838" w:rsidP="009841BD" w14:paraId="04CA1167" w14:textId="5F607422">
            <w:pPr>
              <w:pStyle w:val="ParaNum"/>
              <w:numPr>
                <w:ilvl w:val="0"/>
                <w:numId w:val="0"/>
              </w:numPr>
              <w:jc w:val="center"/>
            </w:pPr>
            <w:r w:rsidRPr="00814838">
              <w:t>2015</w:t>
            </w:r>
          </w:p>
        </w:tc>
      </w:tr>
      <w:tr w14:paraId="7E94C0EF" w14:textId="77777777" w:rsidTr="00814838">
        <w:tblPrEx>
          <w:tblW w:w="0" w:type="auto"/>
          <w:tblLook w:val="04A0"/>
        </w:tblPrEx>
        <w:tc>
          <w:tcPr>
            <w:tcW w:w="3685" w:type="dxa"/>
          </w:tcPr>
          <w:p w:rsidR="009841BD" w:rsidRPr="00814838" w:rsidP="009841BD" w14:paraId="6F5E2455" w14:textId="6E1C428F">
            <w:pPr>
              <w:pStyle w:val="ParaNum"/>
              <w:numPr>
                <w:ilvl w:val="0"/>
                <w:numId w:val="0"/>
              </w:numPr>
            </w:pPr>
            <w:r w:rsidRPr="00814838">
              <w:t>Buckland Clinic</w:t>
            </w:r>
          </w:p>
        </w:tc>
        <w:tc>
          <w:tcPr>
            <w:tcW w:w="1170" w:type="dxa"/>
          </w:tcPr>
          <w:p w:rsidR="009841BD" w:rsidRPr="00814838" w:rsidP="009841BD" w14:paraId="09A4BD74" w14:textId="4D32575E">
            <w:pPr>
              <w:pStyle w:val="ParaNum"/>
              <w:numPr>
                <w:ilvl w:val="0"/>
                <w:numId w:val="0"/>
              </w:numPr>
              <w:jc w:val="center"/>
            </w:pPr>
            <w:r w:rsidRPr="00814838">
              <w:t>10812</w:t>
            </w:r>
          </w:p>
        </w:tc>
        <w:tc>
          <w:tcPr>
            <w:tcW w:w="2970" w:type="dxa"/>
          </w:tcPr>
          <w:p w:rsidR="009841BD" w:rsidRPr="00814838" w:rsidP="009841BD" w14:paraId="1004D1CD" w14:textId="128F1840">
            <w:pPr>
              <w:pStyle w:val="ParaNum"/>
              <w:numPr>
                <w:ilvl w:val="0"/>
                <w:numId w:val="0"/>
              </w:numPr>
              <w:jc w:val="center"/>
            </w:pPr>
            <w:r w:rsidRPr="00814838">
              <w:t>16871321</w:t>
            </w:r>
          </w:p>
        </w:tc>
        <w:tc>
          <w:tcPr>
            <w:tcW w:w="1525" w:type="dxa"/>
          </w:tcPr>
          <w:p w:rsidR="009841BD" w:rsidRPr="00814838" w:rsidP="009841BD" w14:paraId="23F163F7" w14:textId="79D36994">
            <w:pPr>
              <w:pStyle w:val="ParaNum"/>
              <w:numPr>
                <w:ilvl w:val="0"/>
                <w:numId w:val="0"/>
              </w:numPr>
              <w:jc w:val="center"/>
            </w:pPr>
            <w:r w:rsidRPr="00814838">
              <w:t>2016</w:t>
            </w:r>
          </w:p>
        </w:tc>
      </w:tr>
      <w:tr w14:paraId="39D38B69" w14:textId="77777777" w:rsidTr="00814838">
        <w:tblPrEx>
          <w:tblW w:w="0" w:type="auto"/>
          <w:tblLook w:val="04A0"/>
        </w:tblPrEx>
        <w:tc>
          <w:tcPr>
            <w:tcW w:w="3685" w:type="dxa"/>
          </w:tcPr>
          <w:p w:rsidR="009841BD" w:rsidRPr="00814838" w:rsidP="009841BD" w14:paraId="4DD37EAE" w14:textId="5D1432FC">
            <w:pPr>
              <w:pStyle w:val="ParaNum"/>
              <w:numPr>
                <w:ilvl w:val="0"/>
                <w:numId w:val="0"/>
              </w:numPr>
            </w:pPr>
            <w:r w:rsidRPr="00814838">
              <w:t>Buckland Clinic</w:t>
            </w:r>
          </w:p>
        </w:tc>
        <w:tc>
          <w:tcPr>
            <w:tcW w:w="1170" w:type="dxa"/>
          </w:tcPr>
          <w:p w:rsidR="009841BD" w:rsidRPr="00814838" w:rsidP="009841BD" w14:paraId="45AFC209" w14:textId="6AF4C73C">
            <w:pPr>
              <w:pStyle w:val="ParaNum"/>
              <w:numPr>
                <w:ilvl w:val="0"/>
                <w:numId w:val="0"/>
              </w:numPr>
              <w:jc w:val="center"/>
            </w:pPr>
            <w:r w:rsidRPr="00814838">
              <w:t>10812</w:t>
            </w:r>
          </w:p>
        </w:tc>
        <w:tc>
          <w:tcPr>
            <w:tcW w:w="2970" w:type="dxa"/>
          </w:tcPr>
          <w:p w:rsidR="009841BD" w:rsidRPr="00814838" w:rsidP="009841BD" w14:paraId="02B3B189" w14:textId="2181BB29">
            <w:pPr>
              <w:pStyle w:val="ParaNum"/>
              <w:numPr>
                <w:ilvl w:val="0"/>
                <w:numId w:val="0"/>
              </w:numPr>
              <w:jc w:val="center"/>
            </w:pPr>
            <w:r w:rsidRPr="00814838">
              <w:t>16898961</w:t>
            </w:r>
          </w:p>
        </w:tc>
        <w:tc>
          <w:tcPr>
            <w:tcW w:w="1525" w:type="dxa"/>
          </w:tcPr>
          <w:p w:rsidR="009841BD" w:rsidRPr="00814838" w:rsidP="009841BD" w14:paraId="42AE7537" w14:textId="5D4F3B3C">
            <w:pPr>
              <w:pStyle w:val="ParaNum"/>
              <w:numPr>
                <w:ilvl w:val="0"/>
                <w:numId w:val="0"/>
              </w:numPr>
              <w:jc w:val="center"/>
            </w:pPr>
            <w:r w:rsidRPr="00814838">
              <w:t>2016</w:t>
            </w:r>
          </w:p>
        </w:tc>
      </w:tr>
      <w:tr w14:paraId="2902DE75" w14:textId="77777777" w:rsidTr="00814838">
        <w:tblPrEx>
          <w:tblW w:w="0" w:type="auto"/>
          <w:tblLook w:val="04A0"/>
        </w:tblPrEx>
        <w:tc>
          <w:tcPr>
            <w:tcW w:w="3685" w:type="dxa"/>
          </w:tcPr>
          <w:p w:rsidR="009841BD" w:rsidRPr="00814838" w:rsidP="009841BD" w14:paraId="4E982572" w14:textId="53D0DFFB">
            <w:pPr>
              <w:pStyle w:val="ParaNum"/>
              <w:numPr>
                <w:ilvl w:val="0"/>
                <w:numId w:val="0"/>
              </w:numPr>
            </w:pPr>
            <w:r w:rsidRPr="00814838">
              <w:t>Deering Clinic</w:t>
            </w:r>
          </w:p>
        </w:tc>
        <w:tc>
          <w:tcPr>
            <w:tcW w:w="1170" w:type="dxa"/>
          </w:tcPr>
          <w:p w:rsidR="009841BD" w:rsidRPr="00814838" w:rsidP="009841BD" w14:paraId="3DE17588" w14:textId="120A0A14">
            <w:pPr>
              <w:pStyle w:val="ParaNum"/>
              <w:numPr>
                <w:ilvl w:val="0"/>
                <w:numId w:val="0"/>
              </w:numPr>
              <w:jc w:val="center"/>
            </w:pPr>
            <w:r w:rsidRPr="00814838">
              <w:t>10813</w:t>
            </w:r>
          </w:p>
        </w:tc>
        <w:tc>
          <w:tcPr>
            <w:tcW w:w="2970" w:type="dxa"/>
          </w:tcPr>
          <w:p w:rsidR="009841BD" w:rsidRPr="00814838" w:rsidP="009841BD" w14:paraId="0D66CA8F" w14:textId="7D3D99FD">
            <w:pPr>
              <w:pStyle w:val="ParaNum"/>
              <w:numPr>
                <w:ilvl w:val="0"/>
                <w:numId w:val="0"/>
              </w:numPr>
              <w:jc w:val="center"/>
            </w:pPr>
            <w:r w:rsidRPr="00814838">
              <w:t>15788881</w:t>
            </w:r>
          </w:p>
        </w:tc>
        <w:tc>
          <w:tcPr>
            <w:tcW w:w="1525" w:type="dxa"/>
          </w:tcPr>
          <w:p w:rsidR="009841BD" w:rsidRPr="00814838" w:rsidP="009841BD" w14:paraId="3B7595DC" w14:textId="7923AF2D">
            <w:pPr>
              <w:pStyle w:val="ParaNum"/>
              <w:numPr>
                <w:ilvl w:val="0"/>
                <w:numId w:val="0"/>
              </w:numPr>
              <w:jc w:val="center"/>
            </w:pPr>
            <w:r w:rsidRPr="00814838">
              <w:t>2015</w:t>
            </w:r>
          </w:p>
        </w:tc>
      </w:tr>
      <w:tr w14:paraId="60CFB15D" w14:textId="77777777" w:rsidTr="00814838">
        <w:tblPrEx>
          <w:tblW w:w="0" w:type="auto"/>
          <w:tblLook w:val="04A0"/>
        </w:tblPrEx>
        <w:tc>
          <w:tcPr>
            <w:tcW w:w="3685" w:type="dxa"/>
          </w:tcPr>
          <w:p w:rsidR="009841BD" w:rsidRPr="00814838" w:rsidP="009841BD" w14:paraId="3B33E7AB" w14:textId="035B0FBD">
            <w:pPr>
              <w:pStyle w:val="ParaNum"/>
              <w:numPr>
                <w:ilvl w:val="0"/>
                <w:numId w:val="0"/>
              </w:numPr>
            </w:pPr>
            <w:r w:rsidRPr="00814838">
              <w:t>Deering Clinic</w:t>
            </w:r>
          </w:p>
        </w:tc>
        <w:tc>
          <w:tcPr>
            <w:tcW w:w="1170" w:type="dxa"/>
          </w:tcPr>
          <w:p w:rsidR="009841BD" w:rsidRPr="00814838" w:rsidP="009841BD" w14:paraId="514B63D6" w14:textId="577774F0">
            <w:pPr>
              <w:pStyle w:val="ParaNum"/>
              <w:numPr>
                <w:ilvl w:val="0"/>
                <w:numId w:val="0"/>
              </w:numPr>
              <w:jc w:val="center"/>
            </w:pPr>
            <w:r w:rsidRPr="00814838">
              <w:t>10813</w:t>
            </w:r>
          </w:p>
        </w:tc>
        <w:tc>
          <w:tcPr>
            <w:tcW w:w="2970" w:type="dxa"/>
          </w:tcPr>
          <w:p w:rsidR="009841BD" w:rsidRPr="00814838" w:rsidP="009841BD" w14:paraId="5441E4FA" w14:textId="4650BAC1">
            <w:pPr>
              <w:pStyle w:val="ParaNum"/>
              <w:numPr>
                <w:ilvl w:val="0"/>
                <w:numId w:val="0"/>
              </w:numPr>
              <w:jc w:val="center"/>
            </w:pPr>
            <w:r w:rsidRPr="00814838">
              <w:t>16871441</w:t>
            </w:r>
          </w:p>
        </w:tc>
        <w:tc>
          <w:tcPr>
            <w:tcW w:w="1525" w:type="dxa"/>
          </w:tcPr>
          <w:p w:rsidR="009841BD" w:rsidRPr="00814838" w:rsidP="009841BD" w14:paraId="7EFA3BA9" w14:textId="440D5DC2">
            <w:pPr>
              <w:pStyle w:val="ParaNum"/>
              <w:numPr>
                <w:ilvl w:val="0"/>
                <w:numId w:val="0"/>
              </w:numPr>
              <w:jc w:val="center"/>
            </w:pPr>
            <w:r w:rsidRPr="00814838">
              <w:t>2016</w:t>
            </w:r>
          </w:p>
        </w:tc>
      </w:tr>
      <w:tr w14:paraId="105161D7" w14:textId="77777777" w:rsidTr="00814838">
        <w:tblPrEx>
          <w:tblW w:w="0" w:type="auto"/>
          <w:tblLook w:val="04A0"/>
        </w:tblPrEx>
        <w:tc>
          <w:tcPr>
            <w:tcW w:w="3685" w:type="dxa"/>
          </w:tcPr>
          <w:p w:rsidR="009841BD" w:rsidRPr="00814838" w:rsidP="009841BD" w14:paraId="285A338A" w14:textId="5702C3A7">
            <w:pPr>
              <w:pStyle w:val="ParaNum"/>
              <w:numPr>
                <w:ilvl w:val="0"/>
                <w:numId w:val="0"/>
              </w:numPr>
            </w:pPr>
            <w:r w:rsidRPr="00814838">
              <w:t>Kivalina Clinic</w:t>
            </w:r>
          </w:p>
        </w:tc>
        <w:tc>
          <w:tcPr>
            <w:tcW w:w="1170" w:type="dxa"/>
          </w:tcPr>
          <w:p w:rsidR="009841BD" w:rsidRPr="00814838" w:rsidP="009841BD" w14:paraId="2777F892" w14:textId="5AB4F9C2">
            <w:pPr>
              <w:pStyle w:val="ParaNum"/>
              <w:numPr>
                <w:ilvl w:val="0"/>
                <w:numId w:val="0"/>
              </w:numPr>
              <w:jc w:val="center"/>
            </w:pPr>
            <w:r w:rsidRPr="00814838">
              <w:t>10814</w:t>
            </w:r>
          </w:p>
        </w:tc>
        <w:tc>
          <w:tcPr>
            <w:tcW w:w="2970" w:type="dxa"/>
          </w:tcPr>
          <w:p w:rsidR="009841BD" w:rsidRPr="00814838" w:rsidP="009841BD" w14:paraId="4087BECC" w14:textId="666D445C">
            <w:pPr>
              <w:pStyle w:val="ParaNum"/>
              <w:numPr>
                <w:ilvl w:val="0"/>
                <w:numId w:val="0"/>
              </w:numPr>
              <w:jc w:val="center"/>
            </w:pPr>
            <w:r w:rsidRPr="00814838">
              <w:t>15788891</w:t>
            </w:r>
          </w:p>
        </w:tc>
        <w:tc>
          <w:tcPr>
            <w:tcW w:w="1525" w:type="dxa"/>
          </w:tcPr>
          <w:p w:rsidR="009841BD" w:rsidRPr="00814838" w:rsidP="009841BD" w14:paraId="32AF7612" w14:textId="57225D08">
            <w:pPr>
              <w:pStyle w:val="ParaNum"/>
              <w:numPr>
                <w:ilvl w:val="0"/>
                <w:numId w:val="0"/>
              </w:numPr>
              <w:jc w:val="center"/>
            </w:pPr>
            <w:r w:rsidRPr="00814838">
              <w:t>2015</w:t>
            </w:r>
          </w:p>
        </w:tc>
      </w:tr>
      <w:tr w14:paraId="675939BB" w14:textId="77777777" w:rsidTr="00814838">
        <w:tblPrEx>
          <w:tblW w:w="0" w:type="auto"/>
          <w:tblLook w:val="04A0"/>
        </w:tblPrEx>
        <w:tc>
          <w:tcPr>
            <w:tcW w:w="3685" w:type="dxa"/>
          </w:tcPr>
          <w:p w:rsidR="009841BD" w:rsidRPr="00814838" w:rsidP="009841BD" w14:paraId="743EE178" w14:textId="52A1D84E">
            <w:pPr>
              <w:pStyle w:val="ParaNum"/>
              <w:numPr>
                <w:ilvl w:val="0"/>
                <w:numId w:val="0"/>
              </w:numPr>
            </w:pPr>
            <w:r w:rsidRPr="00814838">
              <w:t>Kivalina Clinic</w:t>
            </w:r>
          </w:p>
        </w:tc>
        <w:tc>
          <w:tcPr>
            <w:tcW w:w="1170" w:type="dxa"/>
          </w:tcPr>
          <w:p w:rsidR="009841BD" w:rsidRPr="00814838" w:rsidP="009841BD" w14:paraId="2B5CAA1D" w14:textId="23350053">
            <w:pPr>
              <w:pStyle w:val="ParaNum"/>
              <w:numPr>
                <w:ilvl w:val="0"/>
                <w:numId w:val="0"/>
              </w:numPr>
              <w:jc w:val="center"/>
            </w:pPr>
            <w:r w:rsidRPr="00814838">
              <w:t>10814</w:t>
            </w:r>
          </w:p>
        </w:tc>
        <w:tc>
          <w:tcPr>
            <w:tcW w:w="2970" w:type="dxa"/>
          </w:tcPr>
          <w:p w:rsidR="009841BD" w:rsidRPr="00814838" w:rsidP="009841BD" w14:paraId="1CF6D535" w14:textId="5A88FD5E">
            <w:pPr>
              <w:pStyle w:val="ParaNum"/>
              <w:numPr>
                <w:ilvl w:val="0"/>
                <w:numId w:val="0"/>
              </w:numPr>
              <w:jc w:val="center"/>
            </w:pPr>
            <w:r w:rsidRPr="00814838">
              <w:t>1687</w:t>
            </w:r>
            <w:r w:rsidRPr="00814838" w:rsidR="00814838">
              <w:t>1451</w:t>
            </w:r>
          </w:p>
        </w:tc>
        <w:tc>
          <w:tcPr>
            <w:tcW w:w="1525" w:type="dxa"/>
          </w:tcPr>
          <w:p w:rsidR="009841BD" w:rsidRPr="00814838" w:rsidP="009841BD" w14:paraId="445E0E59" w14:textId="40F2C106">
            <w:pPr>
              <w:pStyle w:val="ParaNum"/>
              <w:numPr>
                <w:ilvl w:val="0"/>
                <w:numId w:val="0"/>
              </w:numPr>
              <w:jc w:val="center"/>
            </w:pPr>
            <w:r w:rsidRPr="00814838">
              <w:t>2016</w:t>
            </w:r>
          </w:p>
        </w:tc>
      </w:tr>
      <w:tr w14:paraId="56BD383E" w14:textId="77777777" w:rsidTr="00814838">
        <w:tblPrEx>
          <w:tblW w:w="0" w:type="auto"/>
          <w:tblLook w:val="04A0"/>
        </w:tblPrEx>
        <w:tc>
          <w:tcPr>
            <w:tcW w:w="3685" w:type="dxa"/>
          </w:tcPr>
          <w:p w:rsidR="009841BD" w:rsidRPr="00814838" w:rsidP="009841BD" w14:paraId="0622D946" w14:textId="511C2AB9">
            <w:pPr>
              <w:pStyle w:val="ParaNum"/>
              <w:numPr>
                <w:ilvl w:val="0"/>
                <w:numId w:val="0"/>
              </w:numPr>
            </w:pPr>
            <w:r w:rsidRPr="00814838">
              <w:t>Kobuk Clinic</w:t>
            </w:r>
          </w:p>
        </w:tc>
        <w:tc>
          <w:tcPr>
            <w:tcW w:w="1170" w:type="dxa"/>
          </w:tcPr>
          <w:p w:rsidR="009841BD" w:rsidRPr="00814838" w:rsidP="009841BD" w14:paraId="01F608E8" w14:textId="740772B6">
            <w:pPr>
              <w:pStyle w:val="ParaNum"/>
              <w:numPr>
                <w:ilvl w:val="0"/>
                <w:numId w:val="0"/>
              </w:numPr>
              <w:jc w:val="center"/>
            </w:pPr>
            <w:r w:rsidRPr="00814838">
              <w:t>10815</w:t>
            </w:r>
          </w:p>
        </w:tc>
        <w:tc>
          <w:tcPr>
            <w:tcW w:w="2970" w:type="dxa"/>
          </w:tcPr>
          <w:p w:rsidR="009841BD" w:rsidRPr="00814838" w:rsidP="009841BD" w14:paraId="56C061C7" w14:textId="1C2D8183">
            <w:pPr>
              <w:pStyle w:val="ParaNum"/>
              <w:numPr>
                <w:ilvl w:val="0"/>
                <w:numId w:val="0"/>
              </w:numPr>
              <w:jc w:val="center"/>
            </w:pPr>
            <w:r w:rsidRPr="00814838">
              <w:t>15788901</w:t>
            </w:r>
          </w:p>
        </w:tc>
        <w:tc>
          <w:tcPr>
            <w:tcW w:w="1525" w:type="dxa"/>
          </w:tcPr>
          <w:p w:rsidR="009841BD" w:rsidRPr="00814838" w:rsidP="009841BD" w14:paraId="2D7403A9" w14:textId="54B69A60">
            <w:pPr>
              <w:pStyle w:val="ParaNum"/>
              <w:numPr>
                <w:ilvl w:val="0"/>
                <w:numId w:val="0"/>
              </w:numPr>
              <w:jc w:val="center"/>
            </w:pPr>
            <w:r w:rsidRPr="00814838">
              <w:t>2015</w:t>
            </w:r>
          </w:p>
        </w:tc>
      </w:tr>
      <w:tr w14:paraId="774079E7" w14:textId="77777777" w:rsidTr="00814838">
        <w:tblPrEx>
          <w:tblW w:w="0" w:type="auto"/>
          <w:tblLook w:val="04A0"/>
        </w:tblPrEx>
        <w:tc>
          <w:tcPr>
            <w:tcW w:w="3685" w:type="dxa"/>
          </w:tcPr>
          <w:p w:rsidR="00814838" w:rsidRPr="00814838" w:rsidP="00814838" w14:paraId="058E5F86" w14:textId="356D1415">
            <w:pPr>
              <w:pStyle w:val="ParaNum"/>
              <w:numPr>
                <w:ilvl w:val="0"/>
                <w:numId w:val="0"/>
              </w:numPr>
            </w:pPr>
            <w:r w:rsidRPr="00814838">
              <w:t>Kobuk Clinic</w:t>
            </w:r>
          </w:p>
        </w:tc>
        <w:tc>
          <w:tcPr>
            <w:tcW w:w="1170" w:type="dxa"/>
          </w:tcPr>
          <w:p w:rsidR="00814838" w:rsidRPr="00814838" w:rsidP="00814838" w14:paraId="41F35964" w14:textId="34A8403F">
            <w:pPr>
              <w:pStyle w:val="ParaNum"/>
              <w:numPr>
                <w:ilvl w:val="0"/>
                <w:numId w:val="0"/>
              </w:numPr>
              <w:jc w:val="center"/>
            </w:pPr>
            <w:r w:rsidRPr="00814838">
              <w:t>10815</w:t>
            </w:r>
          </w:p>
        </w:tc>
        <w:tc>
          <w:tcPr>
            <w:tcW w:w="2970" w:type="dxa"/>
          </w:tcPr>
          <w:p w:rsidR="00814838" w:rsidRPr="00814838" w:rsidP="00814838" w14:paraId="2FB936A2" w14:textId="6454E407">
            <w:pPr>
              <w:pStyle w:val="ParaNum"/>
              <w:numPr>
                <w:ilvl w:val="0"/>
                <w:numId w:val="0"/>
              </w:numPr>
              <w:jc w:val="center"/>
            </w:pPr>
            <w:r w:rsidRPr="00814838">
              <w:t>16871581</w:t>
            </w:r>
          </w:p>
        </w:tc>
        <w:tc>
          <w:tcPr>
            <w:tcW w:w="1525" w:type="dxa"/>
          </w:tcPr>
          <w:p w:rsidR="00814838" w:rsidRPr="00814838" w:rsidP="00814838" w14:paraId="6F71AE81" w14:textId="27E6A624">
            <w:pPr>
              <w:pStyle w:val="ParaNum"/>
              <w:numPr>
                <w:ilvl w:val="0"/>
                <w:numId w:val="0"/>
              </w:numPr>
              <w:jc w:val="center"/>
            </w:pPr>
            <w:r w:rsidRPr="00814838">
              <w:t>2016</w:t>
            </w:r>
          </w:p>
        </w:tc>
      </w:tr>
      <w:tr w14:paraId="3E7DA2B9" w14:textId="77777777" w:rsidTr="00814838">
        <w:tblPrEx>
          <w:tblW w:w="0" w:type="auto"/>
          <w:tblLook w:val="04A0"/>
        </w:tblPrEx>
        <w:tc>
          <w:tcPr>
            <w:tcW w:w="3685" w:type="dxa"/>
          </w:tcPr>
          <w:p w:rsidR="00814838" w:rsidRPr="00814838" w:rsidP="00814838" w14:paraId="3C25BF26" w14:textId="7ACFBF40">
            <w:pPr>
              <w:pStyle w:val="ParaNum"/>
              <w:numPr>
                <w:ilvl w:val="0"/>
                <w:numId w:val="0"/>
              </w:numPr>
            </w:pPr>
            <w:r w:rsidRPr="00814838">
              <w:t>Noatak Clinic</w:t>
            </w:r>
          </w:p>
        </w:tc>
        <w:tc>
          <w:tcPr>
            <w:tcW w:w="1170" w:type="dxa"/>
          </w:tcPr>
          <w:p w:rsidR="00814838" w:rsidRPr="00814838" w:rsidP="00814838" w14:paraId="0F22F6BD" w14:textId="3EDFCC38">
            <w:pPr>
              <w:pStyle w:val="ParaNum"/>
              <w:numPr>
                <w:ilvl w:val="0"/>
                <w:numId w:val="0"/>
              </w:numPr>
              <w:jc w:val="center"/>
            </w:pPr>
            <w:r w:rsidRPr="00814838">
              <w:t>10816</w:t>
            </w:r>
          </w:p>
        </w:tc>
        <w:tc>
          <w:tcPr>
            <w:tcW w:w="2970" w:type="dxa"/>
          </w:tcPr>
          <w:p w:rsidR="00814838" w:rsidRPr="00814838" w:rsidP="00814838" w14:paraId="4B6073A5" w14:textId="0EE59CE2">
            <w:pPr>
              <w:pStyle w:val="ParaNum"/>
              <w:numPr>
                <w:ilvl w:val="0"/>
                <w:numId w:val="0"/>
              </w:numPr>
              <w:jc w:val="center"/>
            </w:pPr>
            <w:r w:rsidRPr="00814838">
              <w:t>15788921</w:t>
            </w:r>
          </w:p>
        </w:tc>
        <w:tc>
          <w:tcPr>
            <w:tcW w:w="1525" w:type="dxa"/>
          </w:tcPr>
          <w:p w:rsidR="00814838" w:rsidRPr="00814838" w:rsidP="00814838" w14:paraId="4E41699E" w14:textId="366F2E5A">
            <w:pPr>
              <w:pStyle w:val="ParaNum"/>
              <w:numPr>
                <w:ilvl w:val="0"/>
                <w:numId w:val="0"/>
              </w:numPr>
              <w:jc w:val="center"/>
            </w:pPr>
            <w:r w:rsidRPr="00814838">
              <w:t>2015</w:t>
            </w:r>
          </w:p>
        </w:tc>
      </w:tr>
      <w:tr w14:paraId="35F1DD6E" w14:textId="77777777" w:rsidTr="00814838">
        <w:tblPrEx>
          <w:tblW w:w="0" w:type="auto"/>
          <w:tblLook w:val="04A0"/>
        </w:tblPrEx>
        <w:tc>
          <w:tcPr>
            <w:tcW w:w="3685" w:type="dxa"/>
          </w:tcPr>
          <w:p w:rsidR="00814838" w:rsidRPr="00814838" w:rsidP="00814838" w14:paraId="0278D84B" w14:textId="6C96D82A">
            <w:pPr>
              <w:pStyle w:val="ParaNum"/>
              <w:numPr>
                <w:ilvl w:val="0"/>
                <w:numId w:val="0"/>
              </w:numPr>
            </w:pPr>
            <w:r w:rsidRPr="00814838">
              <w:t>Noatak Clinic</w:t>
            </w:r>
          </w:p>
        </w:tc>
        <w:tc>
          <w:tcPr>
            <w:tcW w:w="1170" w:type="dxa"/>
          </w:tcPr>
          <w:p w:rsidR="00814838" w:rsidRPr="00814838" w:rsidP="00814838" w14:paraId="710E76BB" w14:textId="71EFC242">
            <w:pPr>
              <w:pStyle w:val="ParaNum"/>
              <w:numPr>
                <w:ilvl w:val="0"/>
                <w:numId w:val="0"/>
              </w:numPr>
              <w:jc w:val="center"/>
            </w:pPr>
            <w:r w:rsidRPr="00814838">
              <w:t>10816</w:t>
            </w:r>
          </w:p>
        </w:tc>
        <w:tc>
          <w:tcPr>
            <w:tcW w:w="2970" w:type="dxa"/>
          </w:tcPr>
          <w:p w:rsidR="00814838" w:rsidRPr="00814838" w:rsidP="00814838" w14:paraId="52EDDAB2" w14:textId="637F6C04">
            <w:pPr>
              <w:pStyle w:val="ParaNum"/>
              <w:numPr>
                <w:ilvl w:val="0"/>
                <w:numId w:val="0"/>
              </w:numPr>
              <w:jc w:val="center"/>
            </w:pPr>
            <w:r w:rsidRPr="00814838">
              <w:t>16871591</w:t>
            </w:r>
          </w:p>
        </w:tc>
        <w:tc>
          <w:tcPr>
            <w:tcW w:w="1525" w:type="dxa"/>
          </w:tcPr>
          <w:p w:rsidR="00814838" w:rsidRPr="00814838" w:rsidP="00814838" w14:paraId="09EBCBB0" w14:textId="36E27EBE">
            <w:pPr>
              <w:pStyle w:val="ParaNum"/>
              <w:numPr>
                <w:ilvl w:val="0"/>
                <w:numId w:val="0"/>
              </w:numPr>
              <w:jc w:val="center"/>
            </w:pPr>
            <w:r w:rsidRPr="00814838">
              <w:t>2016</w:t>
            </w:r>
          </w:p>
        </w:tc>
      </w:tr>
      <w:tr w14:paraId="25656C52" w14:textId="77777777" w:rsidTr="00814838">
        <w:tblPrEx>
          <w:tblW w:w="0" w:type="auto"/>
          <w:tblLook w:val="04A0"/>
        </w:tblPrEx>
        <w:tc>
          <w:tcPr>
            <w:tcW w:w="3685" w:type="dxa"/>
          </w:tcPr>
          <w:p w:rsidR="00814838" w:rsidRPr="00814838" w:rsidP="00814838" w14:paraId="65860462" w14:textId="232B662D">
            <w:pPr>
              <w:pStyle w:val="ParaNum"/>
              <w:numPr>
                <w:ilvl w:val="0"/>
                <w:numId w:val="0"/>
              </w:numPr>
            </w:pPr>
            <w:r w:rsidRPr="00814838">
              <w:t>Noorvik</w:t>
            </w:r>
            <w:r w:rsidRPr="00814838">
              <w:t xml:space="preserve"> Clinic</w:t>
            </w:r>
          </w:p>
        </w:tc>
        <w:tc>
          <w:tcPr>
            <w:tcW w:w="1170" w:type="dxa"/>
          </w:tcPr>
          <w:p w:rsidR="00814838" w:rsidRPr="00814838" w:rsidP="00814838" w14:paraId="61630B4D" w14:textId="4ECD9CE6">
            <w:pPr>
              <w:pStyle w:val="ParaNum"/>
              <w:numPr>
                <w:ilvl w:val="0"/>
                <w:numId w:val="0"/>
              </w:numPr>
              <w:jc w:val="center"/>
            </w:pPr>
            <w:r w:rsidRPr="00814838">
              <w:t>10817</w:t>
            </w:r>
          </w:p>
        </w:tc>
        <w:tc>
          <w:tcPr>
            <w:tcW w:w="2970" w:type="dxa"/>
          </w:tcPr>
          <w:p w:rsidR="00814838" w:rsidRPr="00814838" w:rsidP="00814838" w14:paraId="2FB571CC" w14:textId="1AC2F7DB">
            <w:pPr>
              <w:pStyle w:val="ParaNum"/>
              <w:numPr>
                <w:ilvl w:val="0"/>
                <w:numId w:val="0"/>
              </w:numPr>
              <w:jc w:val="center"/>
            </w:pPr>
            <w:r w:rsidRPr="00814838">
              <w:t>15734311</w:t>
            </w:r>
          </w:p>
        </w:tc>
        <w:tc>
          <w:tcPr>
            <w:tcW w:w="1525" w:type="dxa"/>
          </w:tcPr>
          <w:p w:rsidR="00814838" w:rsidRPr="00814838" w:rsidP="00814838" w14:paraId="5EDB7D5E" w14:textId="5AD6203A">
            <w:pPr>
              <w:pStyle w:val="ParaNum"/>
              <w:numPr>
                <w:ilvl w:val="0"/>
                <w:numId w:val="0"/>
              </w:numPr>
              <w:jc w:val="center"/>
            </w:pPr>
            <w:r w:rsidRPr="00814838">
              <w:t>2015</w:t>
            </w:r>
          </w:p>
        </w:tc>
      </w:tr>
      <w:tr w14:paraId="3DF93916" w14:textId="77777777" w:rsidTr="00814838">
        <w:tblPrEx>
          <w:tblW w:w="0" w:type="auto"/>
          <w:tblLook w:val="04A0"/>
        </w:tblPrEx>
        <w:tc>
          <w:tcPr>
            <w:tcW w:w="3685" w:type="dxa"/>
          </w:tcPr>
          <w:p w:rsidR="00814838" w:rsidRPr="00814838" w:rsidP="00814838" w14:paraId="199450D5" w14:textId="27516BB3">
            <w:pPr>
              <w:pStyle w:val="ParaNum"/>
              <w:numPr>
                <w:ilvl w:val="0"/>
                <w:numId w:val="0"/>
              </w:numPr>
            </w:pPr>
            <w:r w:rsidRPr="00814838">
              <w:t>Noorvik</w:t>
            </w:r>
            <w:r w:rsidRPr="00814838">
              <w:t xml:space="preserve"> Clinic</w:t>
            </w:r>
          </w:p>
        </w:tc>
        <w:tc>
          <w:tcPr>
            <w:tcW w:w="1170" w:type="dxa"/>
          </w:tcPr>
          <w:p w:rsidR="00814838" w:rsidRPr="00814838" w:rsidP="00814838" w14:paraId="69EDC4BB" w14:textId="799D87F8">
            <w:pPr>
              <w:pStyle w:val="ParaNum"/>
              <w:numPr>
                <w:ilvl w:val="0"/>
                <w:numId w:val="0"/>
              </w:numPr>
              <w:jc w:val="center"/>
            </w:pPr>
            <w:r w:rsidRPr="00814838">
              <w:t>10817</w:t>
            </w:r>
          </w:p>
        </w:tc>
        <w:tc>
          <w:tcPr>
            <w:tcW w:w="2970" w:type="dxa"/>
          </w:tcPr>
          <w:p w:rsidR="00814838" w:rsidRPr="00814838" w:rsidP="00814838" w14:paraId="61A13377" w14:textId="2C1E440D">
            <w:pPr>
              <w:pStyle w:val="ParaNum"/>
              <w:numPr>
                <w:ilvl w:val="0"/>
                <w:numId w:val="0"/>
              </w:numPr>
              <w:jc w:val="center"/>
            </w:pPr>
            <w:r w:rsidRPr="00814838">
              <w:t>16871601</w:t>
            </w:r>
          </w:p>
        </w:tc>
        <w:tc>
          <w:tcPr>
            <w:tcW w:w="1525" w:type="dxa"/>
          </w:tcPr>
          <w:p w:rsidR="00814838" w:rsidRPr="00814838" w:rsidP="00814838" w14:paraId="00404DE7" w14:textId="55F371D3">
            <w:pPr>
              <w:pStyle w:val="ParaNum"/>
              <w:numPr>
                <w:ilvl w:val="0"/>
                <w:numId w:val="0"/>
              </w:numPr>
              <w:jc w:val="center"/>
            </w:pPr>
            <w:r w:rsidRPr="00814838">
              <w:t>2016</w:t>
            </w:r>
          </w:p>
        </w:tc>
      </w:tr>
      <w:tr w14:paraId="536915B0" w14:textId="77777777" w:rsidTr="00814838">
        <w:tblPrEx>
          <w:tblW w:w="0" w:type="auto"/>
          <w:tblLook w:val="04A0"/>
        </w:tblPrEx>
        <w:tc>
          <w:tcPr>
            <w:tcW w:w="3685" w:type="dxa"/>
          </w:tcPr>
          <w:p w:rsidR="00814838" w:rsidRPr="00814838" w:rsidP="00814838" w14:paraId="2A63DF0E" w14:textId="448D8BD6">
            <w:pPr>
              <w:pStyle w:val="ParaNum"/>
              <w:numPr>
                <w:ilvl w:val="0"/>
                <w:numId w:val="0"/>
              </w:numPr>
            </w:pPr>
            <w:r w:rsidRPr="00814838">
              <w:t>Noorvik</w:t>
            </w:r>
            <w:r w:rsidRPr="00814838">
              <w:t xml:space="preserve"> Clinic</w:t>
            </w:r>
          </w:p>
        </w:tc>
        <w:tc>
          <w:tcPr>
            <w:tcW w:w="1170" w:type="dxa"/>
          </w:tcPr>
          <w:p w:rsidR="00814838" w:rsidRPr="00814838" w:rsidP="00814838" w14:paraId="5470F793" w14:textId="053A7C7E">
            <w:pPr>
              <w:pStyle w:val="ParaNum"/>
              <w:numPr>
                <w:ilvl w:val="0"/>
                <w:numId w:val="0"/>
              </w:numPr>
              <w:jc w:val="center"/>
            </w:pPr>
            <w:r w:rsidRPr="00814838">
              <w:t>10817</w:t>
            </w:r>
          </w:p>
        </w:tc>
        <w:tc>
          <w:tcPr>
            <w:tcW w:w="2970" w:type="dxa"/>
          </w:tcPr>
          <w:p w:rsidR="00814838" w:rsidRPr="00814838" w:rsidP="00814838" w14:paraId="0CD693EE" w14:textId="17BEC940">
            <w:pPr>
              <w:pStyle w:val="ParaNum"/>
              <w:numPr>
                <w:ilvl w:val="0"/>
                <w:numId w:val="0"/>
              </w:numPr>
              <w:jc w:val="center"/>
            </w:pPr>
            <w:r w:rsidRPr="00814838">
              <w:t>16899001</w:t>
            </w:r>
          </w:p>
        </w:tc>
        <w:tc>
          <w:tcPr>
            <w:tcW w:w="1525" w:type="dxa"/>
          </w:tcPr>
          <w:p w:rsidR="00814838" w:rsidRPr="00814838" w:rsidP="00814838" w14:paraId="1EF5B68E" w14:textId="37856335">
            <w:pPr>
              <w:pStyle w:val="ParaNum"/>
              <w:numPr>
                <w:ilvl w:val="0"/>
                <w:numId w:val="0"/>
              </w:numPr>
              <w:jc w:val="center"/>
            </w:pPr>
            <w:r w:rsidRPr="00814838">
              <w:t>2016</w:t>
            </w:r>
          </w:p>
        </w:tc>
      </w:tr>
      <w:tr w14:paraId="15D2AEDB" w14:textId="77777777" w:rsidTr="00814838">
        <w:tblPrEx>
          <w:tblW w:w="0" w:type="auto"/>
          <w:tblLook w:val="04A0"/>
        </w:tblPrEx>
        <w:tc>
          <w:tcPr>
            <w:tcW w:w="3685" w:type="dxa"/>
          </w:tcPr>
          <w:p w:rsidR="00814838" w:rsidRPr="00814838" w:rsidP="00814838" w14:paraId="24AF6224" w14:textId="4C58438F">
            <w:pPr>
              <w:pStyle w:val="ParaNum"/>
              <w:numPr>
                <w:ilvl w:val="0"/>
                <w:numId w:val="0"/>
              </w:numPr>
            </w:pPr>
            <w:r w:rsidRPr="00814838">
              <w:t>Point Hope Clinic</w:t>
            </w:r>
          </w:p>
        </w:tc>
        <w:tc>
          <w:tcPr>
            <w:tcW w:w="1170" w:type="dxa"/>
          </w:tcPr>
          <w:p w:rsidR="00814838" w:rsidRPr="00814838" w:rsidP="00814838" w14:paraId="7754C223" w14:textId="5AFAFEAF">
            <w:pPr>
              <w:pStyle w:val="ParaNum"/>
              <w:numPr>
                <w:ilvl w:val="0"/>
                <w:numId w:val="0"/>
              </w:numPr>
              <w:jc w:val="center"/>
            </w:pPr>
            <w:r w:rsidRPr="00814838">
              <w:t>10818</w:t>
            </w:r>
          </w:p>
        </w:tc>
        <w:tc>
          <w:tcPr>
            <w:tcW w:w="2970" w:type="dxa"/>
          </w:tcPr>
          <w:p w:rsidR="00814838" w:rsidRPr="00814838" w:rsidP="00814838" w14:paraId="09A8BF5D" w14:textId="2EBFBC30">
            <w:pPr>
              <w:pStyle w:val="ParaNum"/>
              <w:numPr>
                <w:ilvl w:val="0"/>
                <w:numId w:val="0"/>
              </w:numPr>
              <w:jc w:val="center"/>
            </w:pPr>
            <w:r w:rsidRPr="00814838">
              <w:t>15788941</w:t>
            </w:r>
          </w:p>
        </w:tc>
        <w:tc>
          <w:tcPr>
            <w:tcW w:w="1525" w:type="dxa"/>
          </w:tcPr>
          <w:p w:rsidR="00814838" w:rsidRPr="00814838" w:rsidP="00814838" w14:paraId="29C215FF" w14:textId="393FC53E">
            <w:pPr>
              <w:pStyle w:val="ParaNum"/>
              <w:numPr>
                <w:ilvl w:val="0"/>
                <w:numId w:val="0"/>
              </w:numPr>
              <w:jc w:val="center"/>
            </w:pPr>
            <w:r w:rsidRPr="00814838">
              <w:t>2015</w:t>
            </w:r>
          </w:p>
        </w:tc>
      </w:tr>
      <w:tr w14:paraId="6FC9B4C1" w14:textId="77777777" w:rsidTr="00814838">
        <w:tblPrEx>
          <w:tblW w:w="0" w:type="auto"/>
          <w:tblLook w:val="04A0"/>
        </w:tblPrEx>
        <w:tc>
          <w:tcPr>
            <w:tcW w:w="3685" w:type="dxa"/>
          </w:tcPr>
          <w:p w:rsidR="00814838" w:rsidRPr="00814838" w:rsidP="00814838" w14:paraId="00B0B53B" w14:textId="58329563">
            <w:pPr>
              <w:pStyle w:val="ParaNum"/>
              <w:numPr>
                <w:ilvl w:val="0"/>
                <w:numId w:val="0"/>
              </w:numPr>
            </w:pPr>
            <w:r w:rsidRPr="00814838">
              <w:t>Point Hope Clinic</w:t>
            </w:r>
          </w:p>
        </w:tc>
        <w:tc>
          <w:tcPr>
            <w:tcW w:w="1170" w:type="dxa"/>
          </w:tcPr>
          <w:p w:rsidR="00814838" w:rsidRPr="00814838" w:rsidP="00814838" w14:paraId="162537C2" w14:textId="206A98EC">
            <w:pPr>
              <w:pStyle w:val="ParaNum"/>
              <w:numPr>
                <w:ilvl w:val="0"/>
                <w:numId w:val="0"/>
              </w:numPr>
              <w:jc w:val="center"/>
            </w:pPr>
            <w:r w:rsidRPr="00814838">
              <w:t>10818</w:t>
            </w:r>
          </w:p>
        </w:tc>
        <w:tc>
          <w:tcPr>
            <w:tcW w:w="2970" w:type="dxa"/>
          </w:tcPr>
          <w:p w:rsidR="00814838" w:rsidRPr="00814838" w:rsidP="00814838" w14:paraId="2CD8BE1C" w14:textId="4B3C8DB5">
            <w:pPr>
              <w:pStyle w:val="ParaNum"/>
              <w:numPr>
                <w:ilvl w:val="0"/>
                <w:numId w:val="0"/>
              </w:numPr>
              <w:jc w:val="center"/>
            </w:pPr>
            <w:r w:rsidRPr="00814838">
              <w:t>16871621</w:t>
            </w:r>
          </w:p>
        </w:tc>
        <w:tc>
          <w:tcPr>
            <w:tcW w:w="1525" w:type="dxa"/>
          </w:tcPr>
          <w:p w:rsidR="00814838" w:rsidRPr="00814838" w:rsidP="00814838" w14:paraId="1201F2BB" w14:textId="3A15FC5E">
            <w:pPr>
              <w:pStyle w:val="ParaNum"/>
              <w:numPr>
                <w:ilvl w:val="0"/>
                <w:numId w:val="0"/>
              </w:numPr>
              <w:jc w:val="center"/>
            </w:pPr>
            <w:r w:rsidRPr="00814838">
              <w:t>2016</w:t>
            </w:r>
          </w:p>
        </w:tc>
      </w:tr>
      <w:tr w14:paraId="4B845DB9" w14:textId="77777777" w:rsidTr="00814838">
        <w:tblPrEx>
          <w:tblW w:w="0" w:type="auto"/>
          <w:tblLook w:val="04A0"/>
        </w:tblPrEx>
        <w:tc>
          <w:tcPr>
            <w:tcW w:w="3685" w:type="dxa"/>
          </w:tcPr>
          <w:p w:rsidR="00814838" w:rsidRPr="00814838" w:rsidP="00814838" w14:paraId="02F7584E" w14:textId="00389EEE">
            <w:pPr>
              <w:pStyle w:val="ParaNum"/>
              <w:numPr>
                <w:ilvl w:val="0"/>
                <w:numId w:val="0"/>
              </w:numPr>
            </w:pPr>
            <w:r w:rsidRPr="00814838">
              <w:t>Selawik</w:t>
            </w:r>
            <w:r w:rsidRPr="00814838">
              <w:t xml:space="preserve"> Clinic</w:t>
            </w:r>
          </w:p>
        </w:tc>
        <w:tc>
          <w:tcPr>
            <w:tcW w:w="1170" w:type="dxa"/>
          </w:tcPr>
          <w:p w:rsidR="00814838" w:rsidRPr="00814838" w:rsidP="00814838" w14:paraId="66035571" w14:textId="51DB4250">
            <w:pPr>
              <w:pStyle w:val="ParaNum"/>
              <w:numPr>
                <w:ilvl w:val="0"/>
                <w:numId w:val="0"/>
              </w:numPr>
              <w:jc w:val="center"/>
            </w:pPr>
            <w:r w:rsidRPr="00814838">
              <w:t>10819</w:t>
            </w:r>
          </w:p>
        </w:tc>
        <w:tc>
          <w:tcPr>
            <w:tcW w:w="2970" w:type="dxa"/>
          </w:tcPr>
          <w:p w:rsidR="00814838" w:rsidRPr="00814838" w:rsidP="00814838" w14:paraId="28F1B73B" w14:textId="2B6F13D1">
            <w:pPr>
              <w:pStyle w:val="ParaNum"/>
              <w:numPr>
                <w:ilvl w:val="0"/>
                <w:numId w:val="0"/>
              </w:numPr>
              <w:jc w:val="center"/>
            </w:pPr>
            <w:r w:rsidRPr="00814838">
              <w:t>15788961</w:t>
            </w:r>
          </w:p>
        </w:tc>
        <w:tc>
          <w:tcPr>
            <w:tcW w:w="1525" w:type="dxa"/>
          </w:tcPr>
          <w:p w:rsidR="00814838" w:rsidRPr="00814838" w:rsidP="00814838" w14:paraId="5C0F217B" w14:textId="2418FA2B">
            <w:pPr>
              <w:pStyle w:val="ParaNum"/>
              <w:numPr>
                <w:ilvl w:val="0"/>
                <w:numId w:val="0"/>
              </w:numPr>
              <w:jc w:val="center"/>
            </w:pPr>
            <w:r w:rsidRPr="00814838">
              <w:t>2015</w:t>
            </w:r>
          </w:p>
        </w:tc>
      </w:tr>
      <w:tr w14:paraId="28BE622D" w14:textId="77777777" w:rsidTr="00814838">
        <w:tblPrEx>
          <w:tblW w:w="0" w:type="auto"/>
          <w:tblLook w:val="04A0"/>
        </w:tblPrEx>
        <w:tc>
          <w:tcPr>
            <w:tcW w:w="3685" w:type="dxa"/>
          </w:tcPr>
          <w:p w:rsidR="00545CF9" w:rsidRPr="00814838" w:rsidP="00545CF9" w14:paraId="3169E347" w14:textId="56A00B77">
            <w:pPr>
              <w:pStyle w:val="ParaNum"/>
              <w:numPr>
                <w:ilvl w:val="0"/>
                <w:numId w:val="0"/>
              </w:numPr>
              <w:jc w:val="center"/>
            </w:pPr>
            <w:r>
              <w:rPr>
                <w:b/>
                <w:bCs/>
              </w:rPr>
              <w:t>HCP Name</w:t>
            </w:r>
          </w:p>
        </w:tc>
        <w:tc>
          <w:tcPr>
            <w:tcW w:w="1170" w:type="dxa"/>
          </w:tcPr>
          <w:p w:rsidR="00545CF9" w:rsidRPr="00814838" w:rsidP="00545CF9" w14:paraId="4640FA54" w14:textId="54E4CAB1">
            <w:pPr>
              <w:pStyle w:val="ParaNum"/>
              <w:numPr>
                <w:ilvl w:val="0"/>
                <w:numId w:val="0"/>
              </w:numPr>
              <w:jc w:val="center"/>
            </w:pPr>
            <w:r>
              <w:rPr>
                <w:b/>
                <w:bCs/>
              </w:rPr>
              <w:t>HCP Number</w:t>
            </w:r>
          </w:p>
        </w:tc>
        <w:tc>
          <w:tcPr>
            <w:tcW w:w="2970" w:type="dxa"/>
          </w:tcPr>
          <w:p w:rsidR="00545CF9" w:rsidRPr="00814838" w:rsidP="00E64ECD" w14:paraId="45D032B2" w14:textId="57A99DE0">
            <w:pPr>
              <w:pStyle w:val="ParaNum"/>
              <w:numPr>
                <w:ilvl w:val="0"/>
                <w:numId w:val="0"/>
              </w:numPr>
              <w:spacing w:after="0"/>
              <w:jc w:val="center"/>
            </w:pPr>
            <w:r>
              <w:rPr>
                <w:b/>
                <w:bCs/>
              </w:rPr>
              <w:t>FRN</w:t>
            </w:r>
          </w:p>
        </w:tc>
        <w:tc>
          <w:tcPr>
            <w:tcW w:w="1525" w:type="dxa"/>
          </w:tcPr>
          <w:p w:rsidR="00545CF9" w:rsidRPr="00814838" w:rsidP="00545CF9" w14:paraId="5F35A9C2" w14:textId="1864853E">
            <w:pPr>
              <w:pStyle w:val="ParaNum"/>
              <w:numPr>
                <w:ilvl w:val="0"/>
                <w:numId w:val="0"/>
              </w:numPr>
              <w:jc w:val="center"/>
            </w:pPr>
            <w:r>
              <w:rPr>
                <w:b/>
                <w:bCs/>
              </w:rPr>
              <w:t>Funding Year</w:t>
            </w:r>
          </w:p>
        </w:tc>
      </w:tr>
      <w:tr w14:paraId="4C90D4AA" w14:textId="77777777" w:rsidTr="00814838">
        <w:tblPrEx>
          <w:tblW w:w="0" w:type="auto"/>
          <w:tblLook w:val="04A0"/>
        </w:tblPrEx>
        <w:tc>
          <w:tcPr>
            <w:tcW w:w="3685" w:type="dxa"/>
          </w:tcPr>
          <w:p w:rsidR="00545CF9" w:rsidRPr="00814838" w:rsidP="00545CF9" w14:paraId="09F924D8" w14:textId="770E57DA">
            <w:pPr>
              <w:pStyle w:val="ParaNum"/>
              <w:numPr>
                <w:ilvl w:val="0"/>
                <w:numId w:val="0"/>
              </w:numPr>
            </w:pPr>
            <w:r w:rsidRPr="00814838">
              <w:t>Selawik</w:t>
            </w:r>
            <w:r w:rsidRPr="00814838">
              <w:t xml:space="preserve"> Clinic</w:t>
            </w:r>
          </w:p>
        </w:tc>
        <w:tc>
          <w:tcPr>
            <w:tcW w:w="1170" w:type="dxa"/>
          </w:tcPr>
          <w:p w:rsidR="00545CF9" w:rsidRPr="00814838" w:rsidP="00545CF9" w14:paraId="36072439" w14:textId="7C4D4040">
            <w:pPr>
              <w:pStyle w:val="ParaNum"/>
              <w:numPr>
                <w:ilvl w:val="0"/>
                <w:numId w:val="0"/>
              </w:numPr>
              <w:jc w:val="center"/>
            </w:pPr>
            <w:r w:rsidRPr="00814838">
              <w:t>10819</w:t>
            </w:r>
          </w:p>
        </w:tc>
        <w:tc>
          <w:tcPr>
            <w:tcW w:w="2970" w:type="dxa"/>
          </w:tcPr>
          <w:p w:rsidR="00545CF9" w:rsidRPr="00814838" w:rsidP="00545CF9" w14:paraId="4B05698F" w14:textId="1C62345E">
            <w:pPr>
              <w:pStyle w:val="ParaNum"/>
              <w:numPr>
                <w:ilvl w:val="0"/>
                <w:numId w:val="0"/>
              </w:numPr>
              <w:jc w:val="center"/>
            </w:pPr>
            <w:r w:rsidRPr="00814838">
              <w:t>16871631</w:t>
            </w:r>
          </w:p>
        </w:tc>
        <w:tc>
          <w:tcPr>
            <w:tcW w:w="1525" w:type="dxa"/>
          </w:tcPr>
          <w:p w:rsidR="00545CF9" w:rsidRPr="00814838" w:rsidP="00545CF9" w14:paraId="29AF7E66" w14:textId="061A436F">
            <w:pPr>
              <w:pStyle w:val="ParaNum"/>
              <w:numPr>
                <w:ilvl w:val="0"/>
                <w:numId w:val="0"/>
              </w:numPr>
              <w:jc w:val="center"/>
            </w:pPr>
            <w:r w:rsidRPr="00814838">
              <w:t>2016</w:t>
            </w:r>
          </w:p>
        </w:tc>
      </w:tr>
      <w:tr w14:paraId="724E6C7C" w14:textId="77777777" w:rsidTr="00814838">
        <w:tblPrEx>
          <w:tblW w:w="0" w:type="auto"/>
          <w:tblLook w:val="04A0"/>
        </w:tblPrEx>
        <w:tc>
          <w:tcPr>
            <w:tcW w:w="3685" w:type="dxa"/>
          </w:tcPr>
          <w:p w:rsidR="00545CF9" w:rsidRPr="00814838" w:rsidP="00545CF9" w14:paraId="2D9D9629" w14:textId="026984AC">
            <w:pPr>
              <w:pStyle w:val="ParaNum"/>
              <w:numPr>
                <w:ilvl w:val="0"/>
                <w:numId w:val="0"/>
              </w:numPr>
            </w:pPr>
            <w:r w:rsidRPr="00814838">
              <w:t>Selawik</w:t>
            </w:r>
            <w:r w:rsidRPr="00814838">
              <w:t xml:space="preserve"> Clinic</w:t>
            </w:r>
          </w:p>
        </w:tc>
        <w:tc>
          <w:tcPr>
            <w:tcW w:w="1170" w:type="dxa"/>
          </w:tcPr>
          <w:p w:rsidR="00545CF9" w:rsidRPr="00814838" w:rsidP="00545CF9" w14:paraId="11967D30" w14:textId="25135B74">
            <w:pPr>
              <w:pStyle w:val="ParaNum"/>
              <w:numPr>
                <w:ilvl w:val="0"/>
                <w:numId w:val="0"/>
              </w:numPr>
              <w:jc w:val="center"/>
            </w:pPr>
            <w:r w:rsidRPr="00814838">
              <w:t>10819</w:t>
            </w:r>
          </w:p>
        </w:tc>
        <w:tc>
          <w:tcPr>
            <w:tcW w:w="2970" w:type="dxa"/>
          </w:tcPr>
          <w:p w:rsidR="00545CF9" w:rsidRPr="00814838" w:rsidP="00545CF9" w14:paraId="554D4931" w14:textId="7E2CAE84">
            <w:pPr>
              <w:pStyle w:val="ParaNum"/>
              <w:numPr>
                <w:ilvl w:val="0"/>
                <w:numId w:val="0"/>
              </w:numPr>
              <w:jc w:val="center"/>
            </w:pPr>
            <w:r w:rsidRPr="00814838">
              <w:t>16899031</w:t>
            </w:r>
          </w:p>
        </w:tc>
        <w:tc>
          <w:tcPr>
            <w:tcW w:w="1525" w:type="dxa"/>
          </w:tcPr>
          <w:p w:rsidR="00545CF9" w:rsidRPr="00814838" w:rsidP="00545CF9" w14:paraId="10FDC3D5" w14:textId="33B77062">
            <w:pPr>
              <w:pStyle w:val="ParaNum"/>
              <w:numPr>
                <w:ilvl w:val="0"/>
                <w:numId w:val="0"/>
              </w:numPr>
              <w:jc w:val="center"/>
            </w:pPr>
            <w:r w:rsidRPr="00814838">
              <w:t>2016</w:t>
            </w:r>
          </w:p>
        </w:tc>
      </w:tr>
      <w:tr w14:paraId="14CDBE1C" w14:textId="77777777" w:rsidTr="00814838">
        <w:tblPrEx>
          <w:tblW w:w="0" w:type="auto"/>
          <w:tblLook w:val="04A0"/>
        </w:tblPrEx>
        <w:tc>
          <w:tcPr>
            <w:tcW w:w="3685" w:type="dxa"/>
          </w:tcPr>
          <w:p w:rsidR="00545CF9" w:rsidRPr="00814838" w:rsidP="00545CF9" w14:paraId="2DC389A6" w14:textId="578BD455">
            <w:pPr>
              <w:pStyle w:val="ParaNum"/>
              <w:numPr>
                <w:ilvl w:val="0"/>
                <w:numId w:val="0"/>
              </w:numPr>
            </w:pPr>
            <w:r w:rsidRPr="00814838">
              <w:t>Shungnak</w:t>
            </w:r>
            <w:r w:rsidRPr="00814838">
              <w:t xml:space="preserve"> Clinic</w:t>
            </w:r>
          </w:p>
        </w:tc>
        <w:tc>
          <w:tcPr>
            <w:tcW w:w="1170" w:type="dxa"/>
          </w:tcPr>
          <w:p w:rsidR="00545CF9" w:rsidRPr="00814838" w:rsidP="00545CF9" w14:paraId="41847EB2" w14:textId="441EBF97">
            <w:pPr>
              <w:pStyle w:val="ParaNum"/>
              <w:numPr>
                <w:ilvl w:val="0"/>
                <w:numId w:val="0"/>
              </w:numPr>
              <w:jc w:val="center"/>
            </w:pPr>
            <w:r w:rsidRPr="00814838">
              <w:t>10820</w:t>
            </w:r>
          </w:p>
        </w:tc>
        <w:tc>
          <w:tcPr>
            <w:tcW w:w="2970" w:type="dxa"/>
          </w:tcPr>
          <w:p w:rsidR="00545CF9" w:rsidRPr="00814838" w:rsidP="00545CF9" w14:paraId="12FD40E4" w14:textId="74FA1261">
            <w:pPr>
              <w:pStyle w:val="ParaNum"/>
              <w:numPr>
                <w:ilvl w:val="0"/>
                <w:numId w:val="0"/>
              </w:numPr>
              <w:jc w:val="center"/>
            </w:pPr>
            <w:r w:rsidRPr="00814838">
              <w:t>15788981</w:t>
            </w:r>
          </w:p>
        </w:tc>
        <w:tc>
          <w:tcPr>
            <w:tcW w:w="1525" w:type="dxa"/>
          </w:tcPr>
          <w:p w:rsidR="00545CF9" w:rsidRPr="00814838" w:rsidP="00545CF9" w14:paraId="18AF3695" w14:textId="6C5EA802">
            <w:pPr>
              <w:pStyle w:val="ParaNum"/>
              <w:numPr>
                <w:ilvl w:val="0"/>
                <w:numId w:val="0"/>
              </w:numPr>
              <w:jc w:val="center"/>
            </w:pPr>
            <w:r w:rsidRPr="00814838">
              <w:t>2015</w:t>
            </w:r>
          </w:p>
        </w:tc>
      </w:tr>
      <w:tr w14:paraId="5BEDABB9" w14:textId="77777777" w:rsidTr="00814838">
        <w:tblPrEx>
          <w:tblW w:w="0" w:type="auto"/>
          <w:tblLook w:val="04A0"/>
        </w:tblPrEx>
        <w:tc>
          <w:tcPr>
            <w:tcW w:w="3685" w:type="dxa"/>
          </w:tcPr>
          <w:p w:rsidR="00545CF9" w:rsidRPr="00814838" w:rsidP="00545CF9" w14:paraId="0A586FC8" w14:textId="0E0A4897">
            <w:pPr>
              <w:pStyle w:val="ParaNum"/>
              <w:numPr>
                <w:ilvl w:val="0"/>
                <w:numId w:val="0"/>
              </w:numPr>
            </w:pPr>
            <w:r w:rsidRPr="00814838">
              <w:t>Shungnak</w:t>
            </w:r>
            <w:r w:rsidRPr="00814838">
              <w:t xml:space="preserve"> Clinic</w:t>
            </w:r>
          </w:p>
        </w:tc>
        <w:tc>
          <w:tcPr>
            <w:tcW w:w="1170" w:type="dxa"/>
          </w:tcPr>
          <w:p w:rsidR="00545CF9" w:rsidRPr="00814838" w:rsidP="00545CF9" w14:paraId="7DC500C7" w14:textId="3B8F8194">
            <w:pPr>
              <w:pStyle w:val="ParaNum"/>
              <w:numPr>
                <w:ilvl w:val="0"/>
                <w:numId w:val="0"/>
              </w:numPr>
              <w:jc w:val="center"/>
            </w:pPr>
            <w:r w:rsidRPr="00814838">
              <w:t>10820</w:t>
            </w:r>
          </w:p>
        </w:tc>
        <w:tc>
          <w:tcPr>
            <w:tcW w:w="2970" w:type="dxa"/>
          </w:tcPr>
          <w:p w:rsidR="00545CF9" w:rsidRPr="00814838" w:rsidP="00545CF9" w14:paraId="09BBCA2F" w14:textId="0207F096">
            <w:pPr>
              <w:pStyle w:val="ParaNum"/>
              <w:numPr>
                <w:ilvl w:val="0"/>
                <w:numId w:val="0"/>
              </w:numPr>
              <w:jc w:val="center"/>
            </w:pPr>
            <w:r w:rsidRPr="00814838">
              <w:t>16871641</w:t>
            </w:r>
          </w:p>
        </w:tc>
        <w:tc>
          <w:tcPr>
            <w:tcW w:w="1525" w:type="dxa"/>
          </w:tcPr>
          <w:p w:rsidR="00545CF9" w:rsidRPr="00814838" w:rsidP="00545CF9" w14:paraId="0448122B" w14:textId="353AD773">
            <w:pPr>
              <w:pStyle w:val="ParaNum"/>
              <w:numPr>
                <w:ilvl w:val="0"/>
                <w:numId w:val="0"/>
              </w:numPr>
              <w:jc w:val="center"/>
            </w:pPr>
            <w:r w:rsidRPr="00814838">
              <w:t>2016</w:t>
            </w:r>
          </w:p>
        </w:tc>
      </w:tr>
    </w:tbl>
    <w:p w:rsidR="00C3702C" w:rsidRPr="00814838" w:rsidP="005D70DF" w14:paraId="420A4B34" w14:textId="77777777">
      <w:pPr>
        <w:pStyle w:val="ParaNum"/>
        <w:numPr>
          <w:ilvl w:val="0"/>
          <w:numId w:val="0"/>
        </w:numPr>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8E7C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50AA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AEF19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1A0219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0E56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6614" w14:paraId="6BA3BC8B" w14:textId="77777777">
      <w:r>
        <w:separator/>
      </w:r>
    </w:p>
  </w:footnote>
  <w:footnote w:type="continuationSeparator" w:id="1">
    <w:p w:rsidR="00036614" w:rsidP="00C721AC" w14:paraId="21D78C4C" w14:textId="77777777">
      <w:pPr>
        <w:spacing w:before="120"/>
        <w:rPr>
          <w:sz w:val="20"/>
        </w:rPr>
      </w:pPr>
      <w:r>
        <w:rPr>
          <w:sz w:val="20"/>
        </w:rPr>
        <w:t xml:space="preserve">(Continued from previous page)  </w:t>
      </w:r>
      <w:r>
        <w:rPr>
          <w:sz w:val="20"/>
        </w:rPr>
        <w:separator/>
      </w:r>
    </w:p>
  </w:footnote>
  <w:footnote w:type="continuationNotice" w:id="2">
    <w:p w:rsidR="00036614" w:rsidP="00C721AC" w14:paraId="2F7CFD09" w14:textId="77777777">
      <w:pPr>
        <w:jc w:val="right"/>
        <w:rPr>
          <w:sz w:val="20"/>
        </w:rPr>
      </w:pPr>
    </w:p>
  </w:footnote>
  <w:footnote w:id="3">
    <w:p w:rsidR="006D6490" w14:paraId="677283C9" w14:textId="53D6E216">
      <w:pPr>
        <w:pStyle w:val="FootnoteText"/>
      </w:pPr>
      <w:r>
        <w:rPr>
          <w:rStyle w:val="FootnoteReference"/>
        </w:rPr>
        <w:footnoteRef/>
      </w:r>
      <w:r>
        <w:t xml:space="preserve"> Request for Review o</w:t>
      </w:r>
      <w:r w:rsidR="005D5F95">
        <w:t>r</w:t>
      </w:r>
      <w:r>
        <w:t xml:space="preserve"> Limited Waiver of Maniilaq Association, WC Docket No. 02-60 (filed July 2, 2019)</w:t>
      </w:r>
      <w:r w:rsidR="00430470">
        <w:t xml:space="preserve"> (</w:t>
      </w:r>
      <w:r w:rsidRPr="00F75034" w:rsidR="00430470">
        <w:rPr>
          <w:i/>
          <w:iCs/>
        </w:rPr>
        <w:t>Request</w:t>
      </w:r>
      <w:r w:rsidR="00430470">
        <w:t>)</w:t>
      </w:r>
      <w:r>
        <w:t xml:space="preserve">.  </w:t>
      </w:r>
      <w:r w:rsidR="004D31D7">
        <w:t xml:space="preserve">Maniilaq asks that its Request be </w:t>
      </w:r>
      <w:r w:rsidR="00E00908">
        <w:t xml:space="preserve">applied </w:t>
      </w:r>
      <w:r w:rsidR="004D31D7">
        <w:t>to “</w:t>
      </w:r>
      <w:r w:rsidR="005D5F95">
        <w:t>[</w:t>
      </w:r>
      <w:r w:rsidR="004D31D7">
        <w:t>funding year</w:t>
      </w:r>
      <w:r w:rsidR="005D5F95">
        <w:t>]</w:t>
      </w:r>
      <w:r w:rsidR="004D31D7">
        <w:t xml:space="preserve"> 2018 or other periods” to the extent USAC’s basis for denying support in funding year 2017 extends to such periods.  </w:t>
      </w:r>
      <w:r w:rsidR="00E00908">
        <w:rPr>
          <w:i/>
        </w:rPr>
        <w:t>Request</w:t>
      </w:r>
      <w:r w:rsidR="004D31D7">
        <w:rPr>
          <w:i/>
        </w:rPr>
        <w:t xml:space="preserve"> </w:t>
      </w:r>
      <w:r w:rsidR="004D31D7">
        <w:t>at 1, n</w:t>
      </w:r>
      <w:r w:rsidR="00E00908">
        <w:t>.</w:t>
      </w:r>
      <w:r w:rsidR="004D31D7">
        <w:t xml:space="preserve">1.  </w:t>
      </w:r>
      <w:r>
        <w:t xml:space="preserve">The funding request numbers (FRNs) affected </w:t>
      </w:r>
      <w:r w:rsidRPr="00E4633A">
        <w:t>by USAC’s decision are</w:t>
      </w:r>
      <w:r>
        <w:t xml:space="preserve"> listed in</w:t>
      </w:r>
      <w:r w:rsidR="00587C32">
        <w:t xml:space="preserve"> </w:t>
      </w:r>
      <w:r>
        <w:t>Appendi</w:t>
      </w:r>
      <w:r w:rsidR="00587C32">
        <w:t>x</w:t>
      </w:r>
      <w:r w:rsidR="005D70DF">
        <w:t xml:space="preserve"> A</w:t>
      </w:r>
      <w:r>
        <w:t>.</w:t>
      </w:r>
      <w:r w:rsidR="00990111">
        <w:t xml:space="preserve">  </w:t>
      </w:r>
      <w:r w:rsidRPr="00445544" w:rsidR="005D70DF">
        <w:t xml:space="preserve">USAC has separately commenced recovery actions against Maniilaq for the funding requests listed in Appendix B that are related to the </w:t>
      </w:r>
      <w:r w:rsidRPr="00445544" w:rsidR="00BF3998">
        <w:t xml:space="preserve">same </w:t>
      </w:r>
      <w:r w:rsidRPr="00445544" w:rsidR="005D70DF">
        <w:t>service provider agreement</w:t>
      </w:r>
      <w:r w:rsidRPr="00445544" w:rsidR="00445544">
        <w:t>s</w:t>
      </w:r>
      <w:r w:rsidRPr="00445544" w:rsidR="005D70DF">
        <w:t xml:space="preserve"> </w:t>
      </w:r>
      <w:r w:rsidRPr="00445544" w:rsidR="00BF3998">
        <w:t xml:space="preserve">with GCI </w:t>
      </w:r>
      <w:r w:rsidR="00C92FE9">
        <w:t xml:space="preserve">Communication Corp. (GCI) </w:t>
      </w:r>
      <w:r w:rsidRPr="00445544" w:rsidR="005D70DF">
        <w:t xml:space="preserve">that </w:t>
      </w:r>
      <w:r w:rsidRPr="00445544" w:rsidR="00445544">
        <w:t xml:space="preserve">are </w:t>
      </w:r>
      <w:r w:rsidRPr="00445544" w:rsidR="005D70DF">
        <w:t>the subject of this Order.</w:t>
      </w:r>
      <w:r w:rsidR="002E2BF1">
        <w:t xml:space="preserve">  </w:t>
      </w:r>
      <w:r w:rsidR="002E2BF1">
        <w:rPr>
          <w:i/>
          <w:iCs/>
        </w:rPr>
        <w:t>See</w:t>
      </w:r>
      <w:r w:rsidR="00C3702C">
        <w:rPr>
          <w:i/>
          <w:iCs/>
        </w:rPr>
        <w:t xml:space="preserve"> </w:t>
      </w:r>
      <w:r w:rsidR="00C3702C">
        <w:t xml:space="preserve">Commitment Adjustment Letters from Universal Service Administrative Company, Rural Health Care Division, to Christina Hensley, Maniilaq Association (Jan. </w:t>
      </w:r>
      <w:r w:rsidR="009841BD">
        <w:t>15</w:t>
      </w:r>
      <w:r w:rsidR="00C3702C">
        <w:t>, 2020)</w:t>
      </w:r>
      <w:r w:rsidR="002E2BF1">
        <w:t xml:space="preserve">. </w:t>
      </w:r>
      <w:r w:rsidR="005D70DF">
        <w:t xml:space="preserve"> </w:t>
      </w:r>
      <w:r w:rsidR="00990111">
        <w:t xml:space="preserve">Section 54.719(b) of the Commission’s rules provides that any party aggrieved by an action taken by USAC may seek review from the Commission after seeking review by USAC.  47 CFR § 54.719(b).  Maniilaq </w:t>
      </w:r>
      <w:r w:rsidR="00587C32">
        <w:t xml:space="preserve">previously </w:t>
      </w:r>
      <w:r w:rsidR="00990111">
        <w:t>sought review by USAC in this proceeding.</w:t>
      </w:r>
    </w:p>
  </w:footnote>
  <w:footnote w:id="4">
    <w:p w:rsidR="002800EA" w:rsidRPr="00D73D7B" w14:paraId="6149C0E9" w14:textId="3F6D6B9C">
      <w:pPr>
        <w:pStyle w:val="FootnoteText"/>
      </w:pPr>
      <w:r>
        <w:rPr>
          <w:rStyle w:val="FootnoteReference"/>
        </w:rPr>
        <w:footnoteRef/>
      </w:r>
      <w:r>
        <w:t xml:space="preserve"> The recovery actions </w:t>
      </w:r>
      <w:r w:rsidR="000B6C6A">
        <w:t xml:space="preserve">we order </w:t>
      </w:r>
      <w:r>
        <w:t xml:space="preserve">to be discontinued </w:t>
      </w:r>
      <w:r w:rsidR="000B6C6A">
        <w:t>are</w:t>
      </w:r>
      <w:r>
        <w:t xml:space="preserve"> </w:t>
      </w:r>
      <w:r w:rsidR="00481AA6">
        <w:t xml:space="preserve">those </w:t>
      </w:r>
      <w:r>
        <w:t xml:space="preserve">based upon the specific violations that are the subject of this Order and not </w:t>
      </w:r>
      <w:r w:rsidR="000B6C6A">
        <w:t>those</w:t>
      </w:r>
      <w:r>
        <w:t xml:space="preserve"> of any other violation that USAC may determine to be actionable.</w:t>
      </w:r>
      <w:r w:rsidR="00D73D7B">
        <w:t xml:space="preserve">  </w:t>
      </w:r>
      <w:r w:rsidR="000B6C6A">
        <w:t xml:space="preserve">With respect to </w:t>
      </w:r>
      <w:r w:rsidR="00D73D7B">
        <w:t>the discontinued recovery actions,</w:t>
      </w:r>
      <w:r w:rsidR="00532956">
        <w:t xml:space="preserve"> USAC shall not dismiss </w:t>
      </w:r>
      <w:r w:rsidR="00783A9A">
        <w:t xml:space="preserve">under the red light rule </w:t>
      </w:r>
      <w:r w:rsidR="00532956">
        <w:t xml:space="preserve">any applications </w:t>
      </w:r>
      <w:r w:rsidR="00783A9A">
        <w:t xml:space="preserve">from Maniilaq </w:t>
      </w:r>
      <w:r w:rsidR="00532956">
        <w:t xml:space="preserve">that are pending with it while it works to discontinue the recovery actions.  </w:t>
      </w:r>
      <w:r w:rsidR="00532956">
        <w:rPr>
          <w:i/>
          <w:iCs/>
        </w:rPr>
        <w:t xml:space="preserve">See generally </w:t>
      </w:r>
      <w:r w:rsidR="00532956">
        <w:t>47 CFR § 1.1910.  T</w:t>
      </w:r>
      <w:r w:rsidR="00D73D7B">
        <w:t xml:space="preserve">he release of this Order constitutes “other satisfactory arrangements” under 47 CFR § 1.1910(b)(3) </w:t>
      </w:r>
      <w:r w:rsidR="00783A9A">
        <w:t>that preclude USAC from dismissing pending applications</w:t>
      </w:r>
      <w:r w:rsidR="00D73D7B">
        <w:t xml:space="preserve">.  </w:t>
      </w:r>
    </w:p>
  </w:footnote>
  <w:footnote w:id="5">
    <w:p w:rsidR="00990111" w:rsidRPr="006E067C" w:rsidP="00990111" w14:paraId="2F36A0A5" w14:textId="1E8406D6">
      <w:pPr>
        <w:pStyle w:val="FootnoteText"/>
      </w:pPr>
      <w:r w:rsidRPr="006E067C">
        <w:rPr>
          <w:rStyle w:val="FootnoteReference"/>
        </w:rPr>
        <w:footnoteRef/>
      </w:r>
      <w:r w:rsidRPr="006E067C">
        <w:t xml:space="preserve"> </w:t>
      </w:r>
      <w:r w:rsidR="00E00908">
        <w:rPr>
          <w:i/>
          <w:iCs/>
        </w:rPr>
        <w:t xml:space="preserve">See </w:t>
      </w:r>
      <w:r w:rsidRPr="006E067C">
        <w:t xml:space="preserve">47 </w:t>
      </w:r>
      <w:r>
        <w:t>CFR</w:t>
      </w:r>
      <w:r w:rsidRPr="006E067C">
        <w:t xml:space="preserve"> §§ 54.</w:t>
      </w:r>
      <w:r>
        <w:t>6</w:t>
      </w:r>
      <w:r w:rsidRPr="006E067C">
        <w:t>0</w:t>
      </w:r>
      <w:r w:rsidR="00E00908">
        <w:t>0</w:t>
      </w:r>
      <w:r w:rsidRPr="006E067C">
        <w:t>-54.</w:t>
      </w:r>
      <w:r>
        <w:t>6</w:t>
      </w:r>
      <w:r w:rsidR="005D5F95">
        <w:t>2</w:t>
      </w:r>
      <w:r>
        <w:t>5</w:t>
      </w:r>
      <w:r w:rsidR="00176435">
        <w:t xml:space="preserve"> (2</w:t>
      </w:r>
      <w:r w:rsidR="004C2170">
        <w:t>018</w:t>
      </w:r>
      <w:r w:rsidR="00176435">
        <w:t>).</w:t>
      </w:r>
      <w:r w:rsidRPr="006E067C">
        <w:t xml:space="preserve"> </w:t>
      </w:r>
      <w:r w:rsidR="00013BC8">
        <w:t xml:space="preserve"> The </w:t>
      </w:r>
      <w:r w:rsidR="0042219E">
        <w:t xml:space="preserve">prior </w:t>
      </w:r>
      <w:r w:rsidR="00013BC8">
        <w:t>Telecom Program rules cited herein reflect the rules in effect at all times relevant to this proceeding.</w:t>
      </w:r>
    </w:p>
  </w:footnote>
  <w:footnote w:id="6">
    <w:p w:rsidR="00990111" w:rsidRPr="006E067C" w:rsidP="00990111" w14:paraId="5DBD9FA0" w14:textId="3BD7DE4F">
      <w:pPr>
        <w:pStyle w:val="FootnoteText"/>
      </w:pPr>
      <w:r w:rsidRPr="006E067C">
        <w:rPr>
          <w:rStyle w:val="FootnoteReference"/>
        </w:rPr>
        <w:footnoteRef/>
      </w:r>
      <w:r w:rsidRPr="006E067C">
        <w:t xml:space="preserve"> </w:t>
      </w:r>
      <w:r w:rsidR="00176435">
        <w:rPr>
          <w:i/>
        </w:rPr>
        <w:t>Id</w:t>
      </w:r>
      <w:r w:rsidR="00176435">
        <w:t>.</w:t>
      </w:r>
      <w:r w:rsidRPr="006E067C">
        <w:t xml:space="preserve"> § 54.</w:t>
      </w:r>
      <w:r>
        <w:t>6</w:t>
      </w:r>
      <w:r w:rsidRPr="006E067C">
        <w:t>03</w:t>
      </w:r>
      <w:r w:rsidR="00176435">
        <w:t xml:space="preserve"> (2</w:t>
      </w:r>
      <w:r w:rsidR="004C2170">
        <w:t>018</w:t>
      </w:r>
      <w:r w:rsidR="00176435">
        <w:t>)</w:t>
      </w:r>
      <w:r w:rsidRPr="006E067C">
        <w:t xml:space="preserve">.  </w:t>
      </w:r>
    </w:p>
  </w:footnote>
  <w:footnote w:id="7">
    <w:p w:rsidR="00990111" w:rsidRPr="006E067C" w:rsidP="00990111" w14:paraId="4EA1941E" w14:textId="685B4AF7">
      <w:pPr>
        <w:pStyle w:val="FootnoteText"/>
        <w:rPr>
          <w:iCs/>
        </w:rPr>
      </w:pPr>
      <w:r w:rsidRPr="006E067C">
        <w:rPr>
          <w:rStyle w:val="FootnoteReference"/>
        </w:rPr>
        <w:footnoteRef/>
      </w:r>
      <w:r w:rsidRPr="006E067C">
        <w:rPr>
          <w:rStyle w:val="documentbody1"/>
        </w:rPr>
        <w:t xml:space="preserve"> </w:t>
      </w:r>
      <w:r w:rsidRPr="00176435" w:rsidR="00176435">
        <w:rPr>
          <w:rStyle w:val="documentbody1"/>
          <w:rFonts w:ascii="Times New Roman" w:hAnsi="Times New Roman"/>
          <w:i/>
          <w:sz w:val="20"/>
          <w:szCs w:val="20"/>
        </w:rPr>
        <w:t>Id</w:t>
      </w:r>
      <w:r w:rsidRPr="00176435" w:rsidR="00176435">
        <w:rPr>
          <w:rStyle w:val="documentbody1"/>
          <w:rFonts w:ascii="Times New Roman" w:hAnsi="Times New Roman"/>
          <w:sz w:val="20"/>
          <w:szCs w:val="20"/>
        </w:rPr>
        <w:t xml:space="preserve">. </w:t>
      </w:r>
      <w:r w:rsidRPr="00176435">
        <w:t>§ 54.603(b)</w:t>
      </w:r>
      <w:r w:rsidR="00176435">
        <w:t xml:space="preserve"> (2</w:t>
      </w:r>
      <w:r w:rsidR="004C2170">
        <w:t>018</w:t>
      </w:r>
      <w:r w:rsidR="00176435">
        <w:t>)</w:t>
      </w:r>
      <w:r w:rsidRPr="00176435">
        <w:t>.</w:t>
      </w:r>
      <w:r w:rsidRPr="00176435">
        <w:rPr>
          <w:rStyle w:val="documentbody1"/>
          <w:sz w:val="20"/>
          <w:szCs w:val="20"/>
        </w:rPr>
        <w:t xml:space="preserve">  </w:t>
      </w:r>
    </w:p>
  </w:footnote>
  <w:footnote w:id="8">
    <w:p w:rsidR="00B4445F" w14:paraId="27BC1852" w14:textId="5EC1F184">
      <w:pPr>
        <w:pStyle w:val="FootnoteText"/>
      </w:pPr>
      <w:r>
        <w:rPr>
          <w:rStyle w:val="FootnoteReference"/>
        </w:rPr>
        <w:footnoteRef/>
      </w:r>
      <w:r>
        <w:t xml:space="preserve"> </w:t>
      </w:r>
      <w:r w:rsidR="00013BC8">
        <w:rPr>
          <w:i/>
        </w:rPr>
        <w:t xml:space="preserve">Id. </w:t>
      </w:r>
      <w:r w:rsidR="00013BC8">
        <w:t>§ 54.603(b)(3), (4) (2</w:t>
      </w:r>
      <w:r w:rsidR="004C2170">
        <w:t>018</w:t>
      </w:r>
      <w:r w:rsidR="00013BC8">
        <w:t>).</w:t>
      </w:r>
      <w:r>
        <w:t xml:space="preserve"> </w:t>
      </w:r>
    </w:p>
  </w:footnote>
  <w:footnote w:id="9">
    <w:p w:rsidR="00B4445F" w14:paraId="75FDB7F6" w14:textId="1B85DFD2">
      <w:pPr>
        <w:pStyle w:val="FootnoteText"/>
      </w:pPr>
      <w:r>
        <w:rPr>
          <w:rStyle w:val="FootnoteReference"/>
        </w:rPr>
        <w:footnoteRef/>
      </w:r>
      <w:r>
        <w:t xml:space="preserve"> </w:t>
      </w:r>
      <w:r w:rsidR="00692196">
        <w:rPr>
          <w:i/>
        </w:rPr>
        <w:t>Id.</w:t>
      </w:r>
      <w:r w:rsidR="009E7C16">
        <w:t xml:space="preserve"> § 54.603(b)(4)</w:t>
      </w:r>
      <w:r w:rsidR="00692196">
        <w:t xml:space="preserve"> (2</w:t>
      </w:r>
      <w:r w:rsidR="004C2170">
        <w:t>018</w:t>
      </w:r>
      <w:r w:rsidR="00692196">
        <w:t>)</w:t>
      </w:r>
      <w:r w:rsidR="00DA7B33">
        <w:t>.</w:t>
      </w:r>
    </w:p>
  </w:footnote>
  <w:footnote w:id="10">
    <w:p w:rsidR="00021008" w14:paraId="21873EB9" w14:textId="556CDC1A">
      <w:pPr>
        <w:pStyle w:val="FootnoteText"/>
      </w:pPr>
      <w:r>
        <w:rPr>
          <w:rStyle w:val="FootnoteReference"/>
        </w:rPr>
        <w:footnoteRef/>
      </w:r>
      <w:r>
        <w:t xml:space="preserve"> </w:t>
      </w:r>
      <w:r w:rsidRPr="00F75034">
        <w:rPr>
          <w:i/>
          <w:iCs/>
        </w:rPr>
        <w:t>Request</w:t>
      </w:r>
      <w:r>
        <w:t xml:space="preserve"> at 3, note 3.</w:t>
      </w:r>
      <w:r w:rsidR="009B53AA">
        <w:t xml:space="preserve">  Maniilaq provides health care services to approximately 8,500 people spread across an area approximately 38,000 square miles in </w:t>
      </w:r>
      <w:r w:rsidR="00CD413C">
        <w:t>size</w:t>
      </w:r>
      <w:r w:rsidR="009B53AA">
        <w:t>.</w:t>
      </w:r>
      <w:r w:rsidR="00CD413C">
        <w:t xml:space="preserve">  </w:t>
      </w:r>
      <w:r w:rsidR="00CD413C">
        <w:rPr>
          <w:i/>
        </w:rPr>
        <w:t>Id</w:t>
      </w:r>
      <w:r w:rsidR="00CD413C">
        <w:t>. at 3</w:t>
      </w:r>
      <w:r w:rsidR="00B1143F">
        <w:t>, 4</w:t>
      </w:r>
      <w:r w:rsidR="00CD413C">
        <w:t>.</w:t>
      </w:r>
      <w:r w:rsidR="009B53AA">
        <w:t xml:space="preserve">  </w:t>
      </w:r>
    </w:p>
  </w:footnote>
  <w:footnote w:id="11">
    <w:p w:rsidR="001C7B94" w:rsidRPr="001C7B94" w14:paraId="5C7DF77A" w14:textId="5804DD0E">
      <w:pPr>
        <w:pStyle w:val="FootnoteText"/>
      </w:pPr>
      <w:r>
        <w:rPr>
          <w:rStyle w:val="FootnoteReference"/>
        </w:rPr>
        <w:footnoteRef/>
      </w:r>
      <w:r>
        <w:t xml:space="preserve"> </w:t>
      </w:r>
      <w:r>
        <w:rPr>
          <w:i/>
        </w:rPr>
        <w:t>Id</w:t>
      </w:r>
      <w:r>
        <w:t xml:space="preserve">. at </w:t>
      </w:r>
      <w:r w:rsidR="00A503ED">
        <w:t>6, 8</w:t>
      </w:r>
      <w:r>
        <w:t>.</w:t>
      </w:r>
      <w:r w:rsidR="00221631">
        <w:t xml:space="preserve">  </w:t>
      </w:r>
    </w:p>
  </w:footnote>
  <w:footnote w:id="12">
    <w:p w:rsidR="001C7B94" w14:paraId="678BECF8" w14:textId="5BFC8398">
      <w:pPr>
        <w:pStyle w:val="FootnoteText"/>
      </w:pPr>
      <w:r>
        <w:rPr>
          <w:rStyle w:val="FootnoteReference"/>
        </w:rPr>
        <w:footnoteRef/>
      </w:r>
      <w:r w:rsidR="00013BC8">
        <w:t xml:space="preserve"> </w:t>
      </w:r>
      <w:r w:rsidR="00013BC8">
        <w:rPr>
          <w:i/>
        </w:rPr>
        <w:t xml:space="preserve">Id. </w:t>
      </w:r>
      <w:r w:rsidR="00013BC8">
        <w:t>at 6.</w:t>
      </w:r>
    </w:p>
  </w:footnote>
  <w:footnote w:id="13">
    <w:p w:rsidR="001C7B94" w:rsidRPr="006C446F" w14:paraId="7E0EC446" w14:textId="42834469">
      <w:pPr>
        <w:pStyle w:val="FootnoteText"/>
        <w:rPr>
          <w:i/>
        </w:rPr>
      </w:pPr>
      <w:r>
        <w:rPr>
          <w:rStyle w:val="FootnoteReference"/>
        </w:rPr>
        <w:footnoteRef/>
      </w:r>
      <w:r>
        <w:t xml:space="preserve"> </w:t>
      </w:r>
      <w:r w:rsidR="006C446F">
        <w:rPr>
          <w:i/>
        </w:rPr>
        <w:t>Id.</w:t>
      </w:r>
    </w:p>
  </w:footnote>
  <w:footnote w:id="14">
    <w:p w:rsidR="00E43E0D" w:rsidP="00E43E0D" w14:paraId="178CBDFF" w14:textId="3948CEE4">
      <w:pPr>
        <w:pStyle w:val="FootnoteText"/>
      </w:pPr>
      <w:r>
        <w:rPr>
          <w:rStyle w:val="FootnoteReference"/>
        </w:rPr>
        <w:footnoteRef/>
      </w:r>
      <w:r>
        <w:t xml:space="preserve"> </w:t>
      </w:r>
      <w:r w:rsidRPr="006C446F" w:rsidR="006C446F">
        <w:rPr>
          <w:i/>
        </w:rPr>
        <w:t>Id</w:t>
      </w:r>
      <w:r w:rsidR="006C446F">
        <w:t xml:space="preserve">. at 8.  </w:t>
      </w:r>
      <w:r w:rsidRPr="006C446F">
        <w:t>Earthlink</w:t>
      </w:r>
      <w:r>
        <w:t xml:space="preserve"> did not respond to </w:t>
      </w:r>
      <w:r w:rsidR="003336C8">
        <w:t xml:space="preserve">Maniilaq’s </w:t>
      </w:r>
      <w:r w:rsidR="00B1143F">
        <w:t>FCC Form 465 submitted in 2015.</w:t>
      </w:r>
    </w:p>
  </w:footnote>
  <w:footnote w:id="15">
    <w:p w:rsidR="006C446F" w:rsidRPr="006C446F" w14:paraId="62A53D32" w14:textId="4E66E381">
      <w:pPr>
        <w:pStyle w:val="FootnoteText"/>
      </w:pPr>
      <w:r>
        <w:rPr>
          <w:rStyle w:val="FootnoteReference"/>
        </w:rPr>
        <w:footnoteRef/>
      </w:r>
      <w:r>
        <w:t xml:space="preserve"> </w:t>
      </w:r>
      <w:r>
        <w:rPr>
          <w:i/>
        </w:rPr>
        <w:t>Id</w:t>
      </w:r>
      <w:r>
        <w:t>. at 7, 8.</w:t>
      </w:r>
    </w:p>
  </w:footnote>
  <w:footnote w:id="16">
    <w:p w:rsidR="00B1143F" w14:paraId="0D61B030" w14:textId="624A2E54">
      <w:pPr>
        <w:pStyle w:val="FootnoteText"/>
      </w:pPr>
      <w:r>
        <w:rPr>
          <w:rStyle w:val="FootnoteReference"/>
        </w:rPr>
        <w:footnoteRef/>
      </w:r>
      <w:r w:rsidR="006C446F">
        <w:t xml:space="preserve"> </w:t>
      </w:r>
      <w:r w:rsidR="006C446F">
        <w:rPr>
          <w:i/>
        </w:rPr>
        <w:t>Id</w:t>
      </w:r>
      <w:r>
        <w:t>.</w:t>
      </w:r>
    </w:p>
  </w:footnote>
  <w:footnote w:id="17">
    <w:p w:rsidR="00B1143F" w:rsidRPr="00B1143F" w14:paraId="77B0DF07" w14:textId="73700C9D">
      <w:pPr>
        <w:pStyle w:val="FootnoteText"/>
      </w:pPr>
      <w:r>
        <w:rPr>
          <w:rStyle w:val="FootnoteReference"/>
        </w:rPr>
        <w:footnoteRef/>
      </w:r>
      <w:r>
        <w:t xml:space="preserve"> </w:t>
      </w:r>
      <w:r>
        <w:rPr>
          <w:i/>
        </w:rPr>
        <w:t>Id</w:t>
      </w:r>
      <w:r>
        <w:t>.</w:t>
      </w:r>
      <w:r w:rsidR="001B0A4C">
        <w:t xml:space="preserve">  </w:t>
      </w:r>
    </w:p>
  </w:footnote>
  <w:footnote w:id="18">
    <w:p w:rsidR="003336C8" w:rsidRPr="00AC0472" w14:paraId="5768F538" w14:textId="0B0225A5">
      <w:pPr>
        <w:pStyle w:val="FootnoteText"/>
      </w:pPr>
      <w:r>
        <w:rPr>
          <w:rStyle w:val="FootnoteReference"/>
        </w:rPr>
        <w:footnoteRef/>
      </w:r>
      <w:r>
        <w:t xml:space="preserve"> </w:t>
      </w:r>
      <w:r w:rsidRPr="00B1143F" w:rsidR="00B1143F">
        <w:rPr>
          <w:i/>
        </w:rPr>
        <w:t>Id</w:t>
      </w:r>
      <w:r w:rsidR="00B1143F">
        <w:t xml:space="preserve">.  </w:t>
      </w:r>
      <w:r w:rsidR="00147154">
        <w:t xml:space="preserve">USAC reviews every multi-year contract submitted with an FCC Form 466 to determine whether it is eligible for evergreen designation.  </w:t>
      </w:r>
      <w:r w:rsidRPr="00B1143F">
        <w:t>A</w:t>
      </w:r>
      <w:r w:rsidRPr="00AC0472">
        <w:t xml:space="preserve"> </w:t>
      </w:r>
      <w:r w:rsidRPr="00AC0472" w:rsidR="00AC0472">
        <w:t xml:space="preserve">multi-year </w:t>
      </w:r>
      <w:r w:rsidRPr="00AC0472">
        <w:t xml:space="preserve">contract granted evergreen status </w:t>
      </w:r>
      <w:r w:rsidRPr="00AC0472" w:rsidR="00AC0472">
        <w:t xml:space="preserve">is exempt from competitive bidding requirements for the remainder of the contract term.  </w:t>
      </w:r>
      <w:r w:rsidRPr="00AC0472" w:rsidR="00AC0472">
        <w:rPr>
          <w:i/>
        </w:rPr>
        <w:t xml:space="preserve">See </w:t>
      </w:r>
      <w:r w:rsidRPr="00AC0472" w:rsidR="00AC0472">
        <w:t xml:space="preserve">USAC, Rural Health Care, </w:t>
      </w:r>
      <w:r w:rsidRPr="00AC0472" w:rsidR="00AC0472">
        <w:rPr>
          <w:i/>
        </w:rPr>
        <w:t>Evergreen Contracts</w:t>
      </w:r>
      <w:r w:rsidRPr="00AC0472" w:rsidR="00AC0472">
        <w:t xml:space="preserve">, </w:t>
      </w:r>
      <w:hyperlink r:id="rId1" w:history="1">
        <w:r w:rsidRPr="002A38EB" w:rsidR="002A38EB">
          <w:rPr>
            <w:rStyle w:val="Hyperlink"/>
            <w:snapToGrid w:val="0"/>
            <w:color w:val="auto"/>
            <w:kern w:val="28"/>
          </w:rPr>
          <w:t>https://www.usac.org/rhc/telecommunications/health-care-providers/evergreen-contracts.aspx</w:t>
        </w:r>
      </w:hyperlink>
      <w:r w:rsidRPr="002A38EB" w:rsidR="00AC0472">
        <w:rPr>
          <w:snapToGrid w:val="0"/>
          <w:kern w:val="28"/>
        </w:rPr>
        <w:t xml:space="preserve"> </w:t>
      </w:r>
      <w:r w:rsidRPr="00AC0472" w:rsidR="00AC0472">
        <w:rPr>
          <w:snapToGrid w:val="0"/>
          <w:kern w:val="28"/>
        </w:rPr>
        <w:t xml:space="preserve">(last visited </w:t>
      </w:r>
      <w:r w:rsidR="005D5808">
        <w:rPr>
          <w:snapToGrid w:val="0"/>
          <w:kern w:val="28"/>
        </w:rPr>
        <w:t>Feb</w:t>
      </w:r>
      <w:r w:rsidRPr="00AC0472" w:rsidR="00AC0472">
        <w:rPr>
          <w:snapToGrid w:val="0"/>
          <w:kern w:val="28"/>
        </w:rPr>
        <w:t xml:space="preserve">. </w:t>
      </w:r>
      <w:r w:rsidR="009579DB">
        <w:rPr>
          <w:snapToGrid w:val="0"/>
          <w:kern w:val="28"/>
        </w:rPr>
        <w:t>19</w:t>
      </w:r>
      <w:r w:rsidRPr="00AC0472" w:rsidR="00AC0472">
        <w:rPr>
          <w:snapToGrid w:val="0"/>
          <w:kern w:val="28"/>
        </w:rPr>
        <w:t>, 20</w:t>
      </w:r>
      <w:r w:rsidR="005D5808">
        <w:rPr>
          <w:snapToGrid w:val="0"/>
          <w:kern w:val="28"/>
        </w:rPr>
        <w:t>20</w:t>
      </w:r>
      <w:r w:rsidRPr="00AC0472" w:rsidR="00AC0472">
        <w:rPr>
          <w:snapToGrid w:val="0"/>
          <w:kern w:val="28"/>
        </w:rPr>
        <w:t>).</w:t>
      </w:r>
      <w:r w:rsidR="00147154">
        <w:rPr>
          <w:snapToGrid w:val="0"/>
          <w:kern w:val="28"/>
        </w:rPr>
        <w:t xml:space="preserve">  A contract entered into as a result of competitive bidding may be designated as evergreen if it meets the following requirements: (1) is signed by the individual health care provider or consortium lead entity; (2) specifies the service type, bandwidth, and quantity; (3) specifies the term of the contract; (4) specifies the cost of services to be provided; and (5) includes the physical location or other identifying information of the health care provider sites purchasing from the contract.  47 CFR § 54.622(</w:t>
      </w:r>
      <w:r w:rsidR="00147154">
        <w:rPr>
          <w:snapToGrid w:val="0"/>
          <w:kern w:val="28"/>
        </w:rPr>
        <w:t>i</w:t>
      </w:r>
      <w:r w:rsidR="00147154">
        <w:rPr>
          <w:snapToGrid w:val="0"/>
          <w:kern w:val="28"/>
        </w:rPr>
        <w:t>)(3)</w:t>
      </w:r>
      <w:r w:rsidR="00CE0733">
        <w:rPr>
          <w:snapToGrid w:val="0"/>
          <w:kern w:val="28"/>
        </w:rPr>
        <w:t>(ii).</w:t>
      </w:r>
      <w:r w:rsidR="00147154">
        <w:rPr>
          <w:snapToGrid w:val="0"/>
          <w:kern w:val="28"/>
        </w:rPr>
        <w:t xml:space="preserve">  </w:t>
      </w:r>
    </w:p>
  </w:footnote>
  <w:footnote w:id="19">
    <w:p w:rsidR="007574CC" w14:paraId="2B473C10" w14:textId="169AEC6C">
      <w:pPr>
        <w:pStyle w:val="FootnoteText"/>
      </w:pPr>
      <w:r>
        <w:rPr>
          <w:rStyle w:val="FootnoteReference"/>
        </w:rPr>
        <w:footnoteRef/>
      </w:r>
      <w:r>
        <w:t xml:space="preserve"> </w:t>
      </w:r>
      <w:r w:rsidRPr="00F75034">
        <w:rPr>
          <w:i/>
          <w:iCs/>
        </w:rPr>
        <w:t>Request</w:t>
      </w:r>
      <w:r>
        <w:t xml:space="preserve"> at 9.</w:t>
      </w:r>
    </w:p>
  </w:footnote>
  <w:footnote w:id="20">
    <w:p w:rsidR="003B1E60" w:rsidRPr="00283DFA" w14:paraId="709451EA" w14:textId="6CCA02EA">
      <w:pPr>
        <w:pStyle w:val="FootnoteText"/>
      </w:pPr>
      <w:r>
        <w:rPr>
          <w:rStyle w:val="FootnoteReference"/>
        </w:rPr>
        <w:footnoteRef/>
      </w:r>
      <w:r>
        <w:t xml:space="preserve"> </w:t>
      </w:r>
      <w:r>
        <w:rPr>
          <w:i/>
        </w:rPr>
        <w:t>See</w:t>
      </w:r>
      <w:r w:rsidR="00A012AC">
        <w:rPr>
          <w:i/>
        </w:rPr>
        <w:t xml:space="preserve">, e.g., </w:t>
      </w:r>
      <w:r>
        <w:t xml:space="preserve">Rural Health Care Telecommunications Program Questions </w:t>
      </w:r>
      <w:r w:rsidR="00A012AC">
        <w:t xml:space="preserve">regarding FRN 1720870 </w:t>
      </w:r>
      <w:r>
        <w:t xml:space="preserve">(Nov. 3, 2017). </w:t>
      </w:r>
      <w:r w:rsidR="001860EA">
        <w:t xml:space="preserve">USAC specifically requested that Maniilaq provide, among other items, copies of all bids received in response to the FCC Forms 465.  </w:t>
      </w:r>
      <w:r w:rsidR="001860EA">
        <w:rPr>
          <w:i/>
        </w:rPr>
        <w:t>Id</w:t>
      </w:r>
      <w:r w:rsidR="001860EA">
        <w:t>.</w:t>
      </w:r>
      <w:r w:rsidR="00A503ED">
        <w:t xml:space="preserve"> at 1.</w:t>
      </w:r>
      <w:r w:rsidR="00283DFA">
        <w:t xml:space="preserve">  USAC issued an identical information request for each FRN at issue</w:t>
      </w:r>
      <w:r w:rsidRPr="00F75034" w:rsidR="00283DFA">
        <w:rPr>
          <w:i/>
          <w:iCs/>
        </w:rPr>
        <w:t>.  Request</w:t>
      </w:r>
      <w:r w:rsidR="00283DFA">
        <w:t xml:space="preserve"> at 9, n.11.</w:t>
      </w:r>
    </w:p>
  </w:footnote>
  <w:footnote w:id="21">
    <w:p w:rsidR="004D74A8" w:rsidRPr="004D74A8" w14:paraId="05175F6B" w14:textId="1B826B04">
      <w:pPr>
        <w:pStyle w:val="FootnoteText"/>
      </w:pPr>
      <w:r>
        <w:rPr>
          <w:rStyle w:val="FootnoteReference"/>
        </w:rPr>
        <w:footnoteRef/>
      </w:r>
      <w:r>
        <w:t xml:space="preserve"> </w:t>
      </w:r>
      <w:r w:rsidRPr="00F75034" w:rsidR="006C446F">
        <w:rPr>
          <w:i/>
          <w:iCs/>
        </w:rPr>
        <w:t>Request</w:t>
      </w:r>
      <w:r w:rsidR="006C446F">
        <w:t xml:space="preserve"> at 9.  </w:t>
      </w:r>
      <w:r w:rsidR="00936D76">
        <w:t>Maniilaq states that t</w:t>
      </w:r>
      <w:r>
        <w:t>he missing GCI bid</w:t>
      </w:r>
      <w:r w:rsidR="00216508">
        <w:t xml:space="preserve"> </w:t>
      </w:r>
      <w:r>
        <w:t xml:space="preserve">from 2014 was </w:t>
      </w:r>
      <w:r w:rsidR="00216508">
        <w:t xml:space="preserve">“inadvertently omitted” by Maniilaq but </w:t>
      </w:r>
      <w:r w:rsidR="002D5CF2">
        <w:t xml:space="preserve">eventually </w:t>
      </w:r>
      <w:r w:rsidR="00A503ED">
        <w:t xml:space="preserve">produced </w:t>
      </w:r>
      <w:r w:rsidR="002D5CF2">
        <w:t xml:space="preserve">as part of </w:t>
      </w:r>
      <w:r w:rsidR="00216508">
        <w:t xml:space="preserve">its </w:t>
      </w:r>
      <w:r w:rsidR="002D5CF2">
        <w:t xml:space="preserve">appeal of USAC’s funding denial notice.  </w:t>
      </w:r>
      <w:r>
        <w:rPr>
          <w:i/>
        </w:rPr>
        <w:t xml:space="preserve">See </w:t>
      </w:r>
      <w:r w:rsidRPr="00F75034">
        <w:rPr>
          <w:i/>
          <w:iCs/>
        </w:rPr>
        <w:t>Request</w:t>
      </w:r>
      <w:r w:rsidR="002D5CF2">
        <w:t xml:space="preserve"> at 9, n.12</w:t>
      </w:r>
      <w:r w:rsidR="0096588A">
        <w:t>; Letter from Universal Service Administrative Company, Rural Health Care Division, to Christina Hensley, Maniilaq Association at 6, n.42 (May 6, 2019) (</w:t>
      </w:r>
      <w:r w:rsidRPr="00F75034" w:rsidR="0096588A">
        <w:rPr>
          <w:i/>
          <w:iCs/>
        </w:rPr>
        <w:t xml:space="preserve">USAC </w:t>
      </w:r>
      <w:r w:rsidRPr="00F75034" w:rsidR="006A0237">
        <w:rPr>
          <w:i/>
          <w:iCs/>
        </w:rPr>
        <w:t xml:space="preserve">Appeal </w:t>
      </w:r>
      <w:r w:rsidRPr="00F75034" w:rsidR="0096588A">
        <w:rPr>
          <w:i/>
          <w:iCs/>
        </w:rPr>
        <w:t>Denial Letter</w:t>
      </w:r>
      <w:r w:rsidR="0096588A">
        <w:t>).</w:t>
      </w:r>
    </w:p>
  </w:footnote>
  <w:footnote w:id="22">
    <w:p w:rsidR="0096588A" w:rsidRPr="00EE1C0A" w14:paraId="6CB44471" w14:textId="3B45963C">
      <w:pPr>
        <w:pStyle w:val="FootnoteText"/>
      </w:pPr>
      <w:r>
        <w:rPr>
          <w:rStyle w:val="FootnoteReference"/>
        </w:rPr>
        <w:footnoteRef/>
      </w:r>
      <w:r>
        <w:t xml:space="preserve"> </w:t>
      </w:r>
      <w:r w:rsidR="00B11306">
        <w:rPr>
          <w:i/>
        </w:rPr>
        <w:t xml:space="preserve">See </w:t>
      </w:r>
      <w:r w:rsidR="00B11306">
        <w:t>Emails from USAC, Rural Health Care Division to Christina Hensley et al., Maniilaq Association (Nov. 30, 2018</w:t>
      </w:r>
      <w:r w:rsidR="0079362E">
        <w:t>)</w:t>
      </w:r>
      <w:r w:rsidR="00EE1C0A">
        <w:t xml:space="preserve"> (</w:t>
      </w:r>
      <w:r w:rsidRPr="00F75034" w:rsidR="00EE1C0A">
        <w:rPr>
          <w:i/>
          <w:iCs/>
        </w:rPr>
        <w:t>USAC Funding Denial</w:t>
      </w:r>
      <w:r w:rsidRPr="00F75034" w:rsidR="000C7B64">
        <w:rPr>
          <w:i/>
          <w:iCs/>
        </w:rPr>
        <w:t xml:space="preserve"> Messages</w:t>
      </w:r>
      <w:r w:rsidR="00EE1C0A">
        <w:t xml:space="preserve">).  The specific bases for the denials provided in the </w:t>
      </w:r>
      <w:r w:rsidRPr="00F75034" w:rsidR="00EE1C0A">
        <w:rPr>
          <w:i/>
          <w:iCs/>
        </w:rPr>
        <w:t xml:space="preserve">USAC Funding Denial </w:t>
      </w:r>
      <w:r w:rsidRPr="00F75034" w:rsidR="000C7B64">
        <w:rPr>
          <w:i/>
          <w:iCs/>
        </w:rPr>
        <w:t>Messages</w:t>
      </w:r>
      <w:r w:rsidR="000C7B64">
        <w:t xml:space="preserve"> </w:t>
      </w:r>
      <w:r w:rsidR="00EE1C0A">
        <w:t xml:space="preserve">confused Maniilaq, which prompted a clarifying conference call between representatives of Maniilaq and USAC on December 13, 2018.  </w:t>
      </w:r>
      <w:r w:rsidRPr="00F75034" w:rsidR="00EE1C0A">
        <w:rPr>
          <w:i/>
          <w:iCs/>
        </w:rPr>
        <w:t>Request</w:t>
      </w:r>
      <w:r w:rsidR="00EE1C0A">
        <w:t xml:space="preserve"> at 11.</w:t>
      </w:r>
    </w:p>
  </w:footnote>
  <w:footnote w:id="23">
    <w:p w:rsidR="00DE6500" w:rsidRPr="00DE6500" w14:paraId="5AB28235" w14:textId="6F7CD000">
      <w:pPr>
        <w:pStyle w:val="FootnoteText"/>
      </w:pPr>
      <w:r>
        <w:rPr>
          <w:rStyle w:val="FootnoteReference"/>
        </w:rPr>
        <w:footnoteRef/>
      </w:r>
      <w:r>
        <w:t xml:space="preserve"> Letter </w:t>
      </w:r>
      <w:r w:rsidR="0079362E">
        <w:t xml:space="preserve">from </w:t>
      </w:r>
      <w:r>
        <w:t xml:space="preserve">Geoffrey D. </w:t>
      </w:r>
      <w:r>
        <w:t>Strommer</w:t>
      </w:r>
      <w:r>
        <w:t>, Hobbs, Straus, Dean &amp; Walker, LLP, on behalf of Maniilaq Association, to Universal Service Administrative Co., Rural Health Care (Jan. 29, 2019).  Mani</w:t>
      </w:r>
      <w:r w:rsidR="009B0FF1">
        <w:t>i</w:t>
      </w:r>
      <w:r>
        <w:t>laq supplemented its appeal by letter on March 12, 2019, but USAC did not address the arguments raised in the letter because it was submitted after the 60-day</w:t>
      </w:r>
      <w:r w:rsidR="00DC455B">
        <w:t xml:space="preserve"> </w:t>
      </w:r>
      <w:r>
        <w:t>deadline</w:t>
      </w:r>
      <w:r w:rsidR="00DC455B">
        <w:t xml:space="preserve"> to file appeals</w:t>
      </w:r>
      <w:r>
        <w:t xml:space="preserve">.  </w:t>
      </w:r>
      <w:r>
        <w:rPr>
          <w:i/>
        </w:rPr>
        <w:t xml:space="preserve">See </w:t>
      </w:r>
      <w:r w:rsidRPr="00F75034">
        <w:rPr>
          <w:i/>
          <w:iCs/>
        </w:rPr>
        <w:t xml:space="preserve">USAC </w:t>
      </w:r>
      <w:r w:rsidRPr="00F75034" w:rsidR="000C7B64">
        <w:rPr>
          <w:i/>
          <w:iCs/>
        </w:rPr>
        <w:t xml:space="preserve">Appeal </w:t>
      </w:r>
      <w:r w:rsidRPr="00F75034">
        <w:rPr>
          <w:i/>
          <w:iCs/>
        </w:rPr>
        <w:t>Denial Letter</w:t>
      </w:r>
      <w:r>
        <w:t xml:space="preserve"> at 1, n</w:t>
      </w:r>
      <w:r w:rsidR="00283DFA">
        <w:t>.</w:t>
      </w:r>
      <w:r>
        <w:t>1.</w:t>
      </w:r>
    </w:p>
  </w:footnote>
  <w:footnote w:id="24">
    <w:p w:rsidR="0096588A" w:rsidRPr="00FA25FD" w14:paraId="0D3A1F79" w14:textId="47E363D8">
      <w:pPr>
        <w:pStyle w:val="FootnoteText"/>
      </w:pPr>
      <w:r>
        <w:rPr>
          <w:rStyle w:val="FootnoteReference"/>
        </w:rPr>
        <w:footnoteRef/>
      </w:r>
      <w:r>
        <w:t xml:space="preserve"> </w:t>
      </w:r>
      <w:r w:rsidRPr="00F75034">
        <w:rPr>
          <w:i/>
          <w:iCs/>
        </w:rPr>
        <w:t xml:space="preserve">USAC </w:t>
      </w:r>
      <w:r w:rsidRPr="00F75034" w:rsidR="000C7B64">
        <w:rPr>
          <w:i/>
          <w:iCs/>
        </w:rPr>
        <w:t xml:space="preserve">Appeal </w:t>
      </w:r>
      <w:r w:rsidRPr="00F75034">
        <w:rPr>
          <w:i/>
          <w:iCs/>
        </w:rPr>
        <w:t>Denial Letter</w:t>
      </w:r>
      <w:r>
        <w:t xml:space="preserve"> at 1.</w:t>
      </w:r>
      <w:r w:rsidR="00FA25FD">
        <w:t xml:space="preserve">  USAC also rejected Maniilaq’s argument that </w:t>
      </w:r>
      <w:r w:rsidR="00FA1E24">
        <w:t xml:space="preserve">its failure </w:t>
      </w:r>
      <w:r w:rsidR="00FA25FD">
        <w:t xml:space="preserve">to disclose the correct number of bids received and </w:t>
      </w:r>
      <w:r w:rsidR="001A07C3">
        <w:t xml:space="preserve">to </w:t>
      </w:r>
      <w:r w:rsidR="00FA1E24">
        <w:t xml:space="preserve">provide </w:t>
      </w:r>
      <w:r w:rsidR="00FA25FD">
        <w:t xml:space="preserve">copies of those bids were clerical errors.  </w:t>
      </w:r>
      <w:r w:rsidR="00FA25FD">
        <w:rPr>
          <w:i/>
        </w:rPr>
        <w:t>Id</w:t>
      </w:r>
      <w:r w:rsidR="00FA25FD">
        <w:t>. at 7.</w:t>
      </w:r>
    </w:p>
  </w:footnote>
  <w:footnote w:id="25">
    <w:p w:rsidR="00AF68A7" w14:paraId="09D60DDF" w14:textId="751B0E10">
      <w:pPr>
        <w:pStyle w:val="FootnoteText"/>
      </w:pPr>
      <w:r>
        <w:rPr>
          <w:rStyle w:val="FootnoteReference"/>
        </w:rPr>
        <w:footnoteRef/>
      </w:r>
      <w:r>
        <w:t xml:space="preserve"> </w:t>
      </w:r>
      <w:r w:rsidRPr="00F75034" w:rsidR="001F60EE">
        <w:rPr>
          <w:i/>
          <w:iCs/>
        </w:rPr>
        <w:t xml:space="preserve">Request </w:t>
      </w:r>
      <w:r w:rsidR="001F60EE">
        <w:t>at 13-16.</w:t>
      </w:r>
    </w:p>
  </w:footnote>
  <w:footnote w:id="26">
    <w:p w:rsidR="00E4633A" w:rsidRPr="00430470" w14:paraId="73DEDE3A" w14:textId="3034457C">
      <w:pPr>
        <w:pStyle w:val="FootnoteText"/>
        <w:rPr>
          <w:i/>
        </w:rPr>
      </w:pPr>
      <w:r>
        <w:rPr>
          <w:rStyle w:val="FootnoteReference"/>
        </w:rPr>
        <w:footnoteRef/>
      </w:r>
      <w:r>
        <w:t xml:space="preserve"> </w:t>
      </w:r>
      <w:r w:rsidR="0079362E">
        <w:rPr>
          <w:i/>
        </w:rPr>
        <w:t xml:space="preserve">Id. </w:t>
      </w:r>
      <w:r>
        <w:t xml:space="preserve">at 17-18.  Maniilaq </w:t>
      </w:r>
      <w:r w:rsidR="00C7438F">
        <w:t xml:space="preserve">specifically relies on language </w:t>
      </w:r>
      <w:r w:rsidR="00AF6AAE">
        <w:t xml:space="preserve">in the background section of </w:t>
      </w:r>
      <w:r w:rsidR="00C7438F">
        <w:t xml:space="preserve">a 2015 </w:t>
      </w:r>
      <w:r w:rsidR="00430470">
        <w:t xml:space="preserve">Wireline Competition Bureau Order </w:t>
      </w:r>
      <w:r w:rsidR="00C7438F">
        <w:t xml:space="preserve">describing FCC Form 466 supporting documentation as including “copies of bids (if more than one bid is received).” </w:t>
      </w:r>
      <w:r w:rsidRPr="00430470" w:rsidR="00C7438F">
        <w:rPr>
          <w:i/>
        </w:rPr>
        <w:t xml:space="preserve"> </w:t>
      </w:r>
      <w:r w:rsidR="00430470">
        <w:rPr>
          <w:i/>
        </w:rPr>
        <w:t xml:space="preserve">See </w:t>
      </w:r>
      <w:r w:rsidR="00C7438F">
        <w:rPr>
          <w:i/>
        </w:rPr>
        <w:t>Rural Health Care Support Mechanism</w:t>
      </w:r>
      <w:r w:rsidR="00C7438F">
        <w:t xml:space="preserve">, WC Docket No. 02-60, Order, 30 FCC Rcd 230, 230, para. 2 (WCB 2015).  </w:t>
      </w:r>
      <w:r w:rsidR="00AF6AAE">
        <w:t xml:space="preserve">That statement in the 2015 order and Maniilaq’s request </w:t>
      </w:r>
      <w:r w:rsidR="00C7438F">
        <w:t xml:space="preserve">cite </w:t>
      </w:r>
      <w:r w:rsidR="00430470">
        <w:t xml:space="preserve">guidance </w:t>
      </w:r>
      <w:r w:rsidR="00C7438F">
        <w:t xml:space="preserve">posted </w:t>
      </w:r>
      <w:r w:rsidR="00A5474A">
        <w:t xml:space="preserve">on the </w:t>
      </w:r>
      <w:r w:rsidR="00C7438F">
        <w:t>USAC</w:t>
      </w:r>
      <w:r w:rsidR="00DC455B">
        <w:t xml:space="preserve"> </w:t>
      </w:r>
      <w:r w:rsidR="0079362E">
        <w:t xml:space="preserve">website </w:t>
      </w:r>
      <w:r w:rsidR="00DC455B">
        <w:t>stating that “[</w:t>
      </w:r>
      <w:r w:rsidR="00DC455B">
        <w:t>i</w:t>
      </w:r>
      <w:r w:rsidR="00DC455B">
        <w:t>]f the [health care provider] received bids from multiple service providers in response to the posted FCC Form 465, those bids must be submitted to USAC for review</w:t>
      </w:r>
      <w:r w:rsidR="00430470">
        <w:t>.</w:t>
      </w:r>
      <w:r w:rsidR="00DC455B">
        <w:t xml:space="preserve">”  </w:t>
      </w:r>
      <w:r w:rsidR="00DC455B">
        <w:rPr>
          <w:i/>
        </w:rPr>
        <w:t xml:space="preserve">See </w:t>
      </w:r>
      <w:r w:rsidR="00DC455B">
        <w:t xml:space="preserve">USAC, Rural Health Care, </w:t>
      </w:r>
      <w:r w:rsidRPr="00DC455B" w:rsidR="00DC455B">
        <w:rPr>
          <w:i/>
        </w:rPr>
        <w:t>Documentation</w:t>
      </w:r>
      <w:r w:rsidRPr="00DC455B" w:rsidR="00DC455B">
        <w:t xml:space="preserve">, </w:t>
      </w:r>
      <w:hyperlink r:id="rId2" w:history="1">
        <w:r w:rsidRPr="00DC455B" w:rsidR="00DC455B">
          <w:rPr>
            <w:rStyle w:val="Hyperlink"/>
            <w:color w:val="auto"/>
          </w:rPr>
          <w:t>https://www.usac.org/rhc/telecommunications/health-care-providers/documentation.aspx</w:t>
        </w:r>
      </w:hyperlink>
      <w:r w:rsidRPr="00DC455B" w:rsidR="00DC455B">
        <w:t xml:space="preserve"> (last visited </w:t>
      </w:r>
      <w:r w:rsidRPr="000A774E" w:rsidR="00DC455B">
        <w:t>July 19, 2019</w:t>
      </w:r>
      <w:r w:rsidRPr="00DC455B" w:rsidR="00DC455B">
        <w:t>).</w:t>
      </w:r>
      <w:r w:rsidR="00275CC5">
        <w:t xml:space="preserve">  </w:t>
      </w:r>
      <w:r w:rsidR="004F7291">
        <w:t xml:space="preserve">The USAC guidance cited by Maniilaq is no longer available on the USAC website.  Current guidance on the website (in response to the question “What happens if I only receive one bid?”) directs applicants to “[p]lease be mindful that you must submit ALL bids received including winning, losing and disqualified.”  USAC, Rural Health Care, </w:t>
      </w:r>
      <w:r w:rsidR="004F7291">
        <w:rPr>
          <w:i/>
          <w:iCs/>
        </w:rPr>
        <w:t>RHC Program: Competitive Bidding FAQ</w:t>
      </w:r>
      <w:r w:rsidRPr="00732F76" w:rsidR="004F7291">
        <w:t xml:space="preserve">, </w:t>
      </w:r>
      <w:hyperlink r:id="rId3" w:history="1">
        <w:r w:rsidRPr="00732F76" w:rsidR="004F7291">
          <w:rPr>
            <w:rStyle w:val="Hyperlink"/>
            <w:color w:val="auto"/>
          </w:rPr>
          <w:t>https://www.usac.org/wp-content/uploads/rural-health-care/documents/handouts/Competitive-Bidding-FAQ.pdf</w:t>
        </w:r>
      </w:hyperlink>
      <w:r w:rsidRPr="00DC455B" w:rsidR="004F7291">
        <w:t xml:space="preserve"> (last visited</w:t>
      </w:r>
      <w:r w:rsidR="004F7291">
        <w:t xml:space="preserve"> Feb. </w:t>
      </w:r>
      <w:r w:rsidR="009579DB">
        <w:t>19</w:t>
      </w:r>
      <w:r w:rsidR="004F7291">
        <w:t>, 2020</w:t>
      </w:r>
      <w:r w:rsidRPr="00DC455B" w:rsidR="004F7291">
        <w:t>)</w:t>
      </w:r>
      <w:r w:rsidR="004F7291">
        <w:t xml:space="preserve"> </w:t>
      </w:r>
      <w:r w:rsidR="00E575B2">
        <w:t>(emphasis in original)</w:t>
      </w:r>
      <w:r w:rsidR="002520DF">
        <w:t xml:space="preserve"> (</w:t>
      </w:r>
      <w:r w:rsidRPr="00F75034" w:rsidR="002520DF">
        <w:rPr>
          <w:i/>
          <w:iCs/>
        </w:rPr>
        <w:t>USAC Competitive Bidding FAQ</w:t>
      </w:r>
      <w:r w:rsidR="002520DF">
        <w:t>).</w:t>
      </w:r>
    </w:p>
  </w:footnote>
  <w:footnote w:id="27">
    <w:p w:rsidR="005E225D" w:rsidRPr="00E4633A" w14:paraId="48005C71" w14:textId="3912348A">
      <w:pPr>
        <w:pStyle w:val="FootnoteText"/>
      </w:pPr>
      <w:r>
        <w:rPr>
          <w:rStyle w:val="FootnoteReference"/>
        </w:rPr>
        <w:footnoteRef/>
      </w:r>
      <w:r>
        <w:t xml:space="preserve"> </w:t>
      </w:r>
      <w:r w:rsidRPr="00F75034">
        <w:rPr>
          <w:i/>
          <w:iCs/>
        </w:rPr>
        <w:t>Request</w:t>
      </w:r>
      <w:r>
        <w:t xml:space="preserve"> at </w:t>
      </w:r>
      <w:r w:rsidR="002077C0">
        <w:t xml:space="preserve">7, 8, </w:t>
      </w:r>
      <w:r>
        <w:t>1</w:t>
      </w:r>
      <w:r w:rsidR="0079362E">
        <w:t>8</w:t>
      </w:r>
      <w:r>
        <w:t xml:space="preserve">-21, citing </w:t>
      </w:r>
      <w:r>
        <w:rPr>
          <w:i/>
        </w:rPr>
        <w:t>Request for Review of the Decision of the Universal Service Administrator by Bishop Perry Middle School New Orleans, LA, et al</w:t>
      </w:r>
      <w:r>
        <w:t>.,</w:t>
      </w:r>
      <w:r w:rsidR="001F60EE">
        <w:t xml:space="preserve"> </w:t>
      </w:r>
      <w:r w:rsidR="001F60EE">
        <w:rPr>
          <w:i/>
        </w:rPr>
        <w:t xml:space="preserve">Schools and Libraries Universal Service Support Mechanism, </w:t>
      </w:r>
      <w:r w:rsidR="001F60EE">
        <w:t>CC Docket No. 02-6</w:t>
      </w:r>
      <w:r w:rsidR="00E4633A">
        <w:t xml:space="preserve">, </w:t>
      </w:r>
      <w:r>
        <w:t>Order, 21 FCC Rcd 5316</w:t>
      </w:r>
      <w:r w:rsidR="00D63579">
        <w:t xml:space="preserve"> (2006) (</w:t>
      </w:r>
      <w:r w:rsidR="00D63579">
        <w:rPr>
          <w:i/>
        </w:rPr>
        <w:t>Bishop Perry</w:t>
      </w:r>
      <w:r w:rsidR="00CF74C9">
        <w:rPr>
          <w:i/>
        </w:rPr>
        <w:t xml:space="preserve"> Order</w:t>
      </w:r>
      <w:r w:rsidR="00D63579">
        <w:t>)</w:t>
      </w:r>
      <w:r w:rsidR="00E4633A">
        <w:t xml:space="preserve"> and </w:t>
      </w:r>
      <w:r w:rsidR="00E4633A">
        <w:rPr>
          <w:i/>
        </w:rPr>
        <w:t>Request for Review Bradford Regional Medical Center</w:t>
      </w:r>
      <w:r w:rsidR="00E4633A">
        <w:t xml:space="preserve">, </w:t>
      </w:r>
      <w:r w:rsidR="001F60EE">
        <w:rPr>
          <w:i/>
        </w:rPr>
        <w:t xml:space="preserve">Rural Health Care Universal Service Support Mechanism, </w:t>
      </w:r>
      <w:r w:rsidR="00E4633A">
        <w:t>WC Docket No</w:t>
      </w:r>
      <w:r w:rsidR="001F60EE">
        <w:t>. 02-60</w:t>
      </w:r>
      <w:r w:rsidR="00E4633A">
        <w:t>, Order, 25 FCC Rcd 7221</w:t>
      </w:r>
      <w:r w:rsidR="0079362E">
        <w:t xml:space="preserve"> </w:t>
      </w:r>
      <w:r w:rsidR="00E4633A">
        <w:t xml:space="preserve">(WCB 2010).  </w:t>
      </w:r>
    </w:p>
  </w:footnote>
  <w:footnote w:id="28">
    <w:p w:rsidR="00981AAF" w:rsidRPr="00787C2E" w14:paraId="50E7412D" w14:textId="5F17563C">
      <w:pPr>
        <w:pStyle w:val="FootnoteText"/>
      </w:pPr>
      <w:r>
        <w:rPr>
          <w:rStyle w:val="FootnoteReference"/>
        </w:rPr>
        <w:footnoteRef/>
      </w:r>
      <w:r>
        <w:t xml:space="preserve"> </w:t>
      </w:r>
      <w:r w:rsidRPr="00F75034">
        <w:rPr>
          <w:i/>
          <w:iCs/>
        </w:rPr>
        <w:t>Request</w:t>
      </w:r>
      <w:r>
        <w:t xml:space="preserve"> at 2</w:t>
      </w:r>
      <w:r w:rsidR="0079362E">
        <w:t>1</w:t>
      </w:r>
      <w:r>
        <w:t>-23</w:t>
      </w:r>
      <w:r w:rsidR="0095645B">
        <w:t>.</w:t>
      </w:r>
      <w:r w:rsidR="00787C2E">
        <w:t xml:space="preserve">  Maniilaq also explains that grant of its requested waiver will serve the public interest because denial of the more than $16 million in funding will have a “significant impact on the services Maniilaq is able to provide on behalf of the federal government to Native and other persons in one of the most remote areas of Alaska.” </w:t>
      </w:r>
      <w:r w:rsidR="00787C2E">
        <w:rPr>
          <w:i/>
          <w:iCs/>
        </w:rPr>
        <w:t>Id</w:t>
      </w:r>
      <w:r w:rsidR="00787C2E">
        <w:t>. at 23.</w:t>
      </w:r>
    </w:p>
  </w:footnote>
  <w:footnote w:id="29">
    <w:p w:rsidR="009F19D8" w14:paraId="082E3083" w14:textId="157E744F">
      <w:pPr>
        <w:pStyle w:val="FootnoteText"/>
      </w:pPr>
      <w:r>
        <w:rPr>
          <w:rStyle w:val="FootnoteReference"/>
        </w:rPr>
        <w:footnoteRef/>
      </w:r>
      <w:r>
        <w:t xml:space="preserve"> 47 CFR § 1.3.</w:t>
      </w:r>
    </w:p>
  </w:footnote>
  <w:footnote w:id="30">
    <w:p w:rsidR="009F19D8" w:rsidRPr="009F19D8" w14:paraId="368E2897" w14:textId="624BA752">
      <w:pPr>
        <w:pStyle w:val="FootnoteText"/>
      </w:pPr>
      <w:r>
        <w:rPr>
          <w:rStyle w:val="FootnoteReference"/>
        </w:rPr>
        <w:footnoteRef/>
      </w:r>
      <w:r>
        <w:t xml:space="preserve"> </w:t>
      </w:r>
      <w:r>
        <w:rPr>
          <w:i/>
          <w:iCs/>
        </w:rPr>
        <w:t>Northeast Cellular Telephone Co.</w:t>
      </w:r>
      <w:r>
        <w:t xml:space="preserve"> </w:t>
      </w:r>
      <w:r>
        <w:rPr>
          <w:i/>
          <w:iCs/>
        </w:rPr>
        <w:t>v. FCC</w:t>
      </w:r>
      <w:r>
        <w:t>, 897 F.2d 1164, 1166 (D.C. Cir. 1990)</w:t>
      </w:r>
      <w:r w:rsidR="00C92FE9">
        <w:t xml:space="preserve"> (</w:t>
      </w:r>
      <w:r w:rsidR="00C92FE9">
        <w:rPr>
          <w:i/>
          <w:iCs/>
        </w:rPr>
        <w:t>Northeast Cellular</w:t>
      </w:r>
      <w:r w:rsidR="00C92FE9">
        <w:t>)</w:t>
      </w:r>
      <w:r>
        <w:t>.</w:t>
      </w:r>
    </w:p>
  </w:footnote>
  <w:footnote w:id="31">
    <w:p w:rsidR="009F19D8" w:rsidRPr="009F19D8" w14:paraId="671A45EC" w14:textId="74AB686B">
      <w:pPr>
        <w:pStyle w:val="FootnoteText"/>
      </w:pPr>
      <w:r>
        <w:rPr>
          <w:rStyle w:val="FootnoteReference"/>
        </w:rPr>
        <w:footnoteRef/>
      </w:r>
      <w:r>
        <w:t xml:space="preserve"> </w:t>
      </w:r>
      <w:r>
        <w:rPr>
          <w:i/>
          <w:iCs/>
        </w:rPr>
        <w:t>WAIT Radio v. FCC</w:t>
      </w:r>
      <w:r>
        <w:t>, 418 F.2d 1153, 1159 (D.C. Cir. 1969)</w:t>
      </w:r>
      <w:r w:rsidR="00C92FE9">
        <w:t xml:space="preserve"> (</w:t>
      </w:r>
      <w:r w:rsidR="00C92FE9">
        <w:rPr>
          <w:i/>
          <w:iCs/>
        </w:rPr>
        <w:t>WAIT Radio</w:t>
      </w:r>
      <w:r w:rsidR="00C92FE9">
        <w:t>)</w:t>
      </w:r>
      <w:r>
        <w:t xml:space="preserve">; </w:t>
      </w:r>
      <w:r>
        <w:rPr>
          <w:i/>
          <w:iCs/>
        </w:rPr>
        <w:t>Northeast Cellular</w:t>
      </w:r>
      <w:r>
        <w:t>, 897 F.2d at 1166.</w:t>
      </w:r>
    </w:p>
  </w:footnote>
  <w:footnote w:id="32">
    <w:p w:rsidR="00B139B7" w:rsidP="00B139B7" w14:paraId="2A0B2D9D" w14:textId="77777777">
      <w:pPr>
        <w:pStyle w:val="FootnoteText"/>
      </w:pPr>
      <w:r>
        <w:rPr>
          <w:rStyle w:val="FootnoteReference"/>
        </w:rPr>
        <w:footnoteRef/>
      </w:r>
      <w:r>
        <w:t xml:space="preserve"> 47 CFR § 54.622(b).</w:t>
      </w:r>
    </w:p>
  </w:footnote>
  <w:footnote w:id="33">
    <w:p w:rsidR="006B08B4" w:rsidRPr="00031705" w:rsidP="006B08B4" w14:paraId="31870ED9" w14:textId="77777777">
      <w:pPr>
        <w:pStyle w:val="FootnoteText"/>
      </w:pPr>
      <w:r>
        <w:rPr>
          <w:rStyle w:val="FootnoteReference"/>
        </w:rPr>
        <w:footnoteRef/>
      </w:r>
      <w:r>
        <w:t xml:space="preserve"> </w:t>
      </w:r>
      <w:r>
        <w:rPr>
          <w:i/>
          <w:iCs/>
        </w:rPr>
        <w:t>Federal-State Joint Board on Universal Service</w:t>
      </w:r>
      <w:r>
        <w:t xml:space="preserve">, CC Docket No. 96-45, Report and Order, 12 FCC Rcd 8776, 9134, para. 688 (1997).  </w:t>
      </w:r>
    </w:p>
  </w:footnote>
  <w:footnote w:id="34">
    <w:p w:rsidR="005954F5" w:rsidRPr="006E4783" w14:paraId="20ED4C04" w14:textId="35A951A3">
      <w:pPr>
        <w:pStyle w:val="FootnoteText"/>
      </w:pPr>
      <w:r>
        <w:rPr>
          <w:rStyle w:val="FootnoteReference"/>
        </w:rPr>
        <w:footnoteRef/>
      </w:r>
      <w:r>
        <w:t xml:space="preserve"> 47 CFR § 54.603(b)(4) (2018).</w:t>
      </w:r>
      <w:r w:rsidR="006E4783">
        <w:t xml:space="preserve">  </w:t>
      </w:r>
      <w:r w:rsidR="006E4783">
        <w:rPr>
          <w:i/>
          <w:iCs/>
        </w:rPr>
        <w:t xml:space="preserve">See also </w:t>
      </w:r>
      <w:r w:rsidR="006E4783">
        <w:t>47 CFR § 54.622(c).</w:t>
      </w:r>
    </w:p>
  </w:footnote>
  <w:footnote w:id="35">
    <w:p w:rsidR="00B139B7" w:rsidP="00B139B7" w14:paraId="292F3337" w14:textId="77777777">
      <w:pPr>
        <w:pStyle w:val="FootnoteText"/>
      </w:pPr>
      <w:r>
        <w:rPr>
          <w:rStyle w:val="FootnoteReference"/>
        </w:rPr>
        <w:footnoteRef/>
      </w:r>
      <w:r>
        <w:t xml:space="preserve"> 47 CFR § 54.603(b)(4) (2018).</w:t>
      </w:r>
    </w:p>
  </w:footnote>
  <w:footnote w:id="36">
    <w:p w:rsidR="0001638F" w:rsidP="0001638F" w14:paraId="079BBA53" w14:textId="2F0510BE">
      <w:pPr>
        <w:pStyle w:val="FootnoteText"/>
      </w:pPr>
      <w:r>
        <w:rPr>
          <w:rStyle w:val="FootnoteReference"/>
        </w:rPr>
        <w:footnoteRef/>
      </w:r>
      <w:r>
        <w:t xml:space="preserve">  Maniilaq maintains that supporting documentation need only be provided with an FCC Form 466 when the documentation is “relevant” to the bid evaluation process. </w:t>
      </w:r>
      <w:r w:rsidR="00A67D1B">
        <w:t xml:space="preserve"> </w:t>
      </w:r>
      <w:r w:rsidRPr="00F75034">
        <w:rPr>
          <w:i/>
          <w:iCs/>
        </w:rPr>
        <w:t>Request</w:t>
      </w:r>
      <w:r>
        <w:t xml:space="preserve"> at</w:t>
      </w:r>
      <w:r w:rsidR="00A67D1B">
        <w:t xml:space="preserve"> 13-14</w:t>
      </w:r>
      <w:r>
        <w:t xml:space="preserve">.  While we agree with Maniilaq’s conclusion that the EarthLink response fell short of what is required of a bid, we disagree with </w:t>
      </w:r>
      <w:r w:rsidR="00A67D1B">
        <w:t xml:space="preserve">the presumption inherent in </w:t>
      </w:r>
      <w:r>
        <w:t xml:space="preserve">Maniilaq’s </w:t>
      </w:r>
      <w:r w:rsidR="0042219E">
        <w:t xml:space="preserve">position </w:t>
      </w:r>
      <w:r>
        <w:t xml:space="preserve">that applicants alone are in a position to determine relevance in all cases.  Rather than permit applicants to make such judgment calls, section 54.603(b)(4) instead requires the submission of copies of </w:t>
      </w:r>
      <w:r w:rsidRPr="00A33644">
        <w:rPr>
          <w:i/>
          <w:iCs/>
        </w:rPr>
        <w:t>all</w:t>
      </w:r>
      <w:r>
        <w:t xml:space="preserve"> responsive documents</w:t>
      </w:r>
      <w:r w:rsidR="0042219E">
        <w:t xml:space="preserve"> </w:t>
      </w:r>
      <w:r>
        <w:t xml:space="preserve">to USAC for its considered review.  </w:t>
      </w:r>
      <w:r w:rsidR="0042219E">
        <w:t>47 CFR § 54.603(b)(4)</w:t>
      </w:r>
      <w:r w:rsidR="00483A80">
        <w:t xml:space="preserve"> (2018)</w:t>
      </w:r>
      <w:r w:rsidR="0042219E">
        <w:t xml:space="preserve">.  </w:t>
      </w:r>
      <w:r w:rsidR="00A67D1B">
        <w:rPr>
          <w:i/>
        </w:rPr>
        <w:t xml:space="preserve">See </w:t>
      </w:r>
      <w:r w:rsidR="0042219E">
        <w:rPr>
          <w:i/>
        </w:rPr>
        <w:t xml:space="preserve">also </w:t>
      </w:r>
      <w:r w:rsidR="00A67D1B">
        <w:t xml:space="preserve">47 CFR § 54.623(a)(3) (“Applicants must submit documentation to support their certifications that they have selected the most cost-effective option, including a copy of each bid received (winning, losing, and </w:t>
      </w:r>
      <w:r w:rsidRPr="00A67D1B" w:rsidR="00A67D1B">
        <w:rPr>
          <w:iCs/>
        </w:rPr>
        <w:t>disqualified</w:t>
      </w:r>
      <w:r w:rsidR="00A67D1B">
        <w:t xml:space="preserve">) . . . .”); </w:t>
      </w:r>
      <w:r w:rsidRPr="00F75034" w:rsidR="00A67D1B">
        <w:rPr>
          <w:i/>
          <w:iCs/>
        </w:rPr>
        <w:t xml:space="preserve">USAC Competitive Bidding FAQ </w:t>
      </w:r>
      <w:r w:rsidR="00A67D1B">
        <w:t xml:space="preserve">(applicants “must submit ALL bids received including winning, losing and disqualified”) (emphasis in original).  </w:t>
      </w:r>
      <w:r>
        <w:t xml:space="preserve">We also disagree with Maniilaq’s position that supporting documentation need only be submitted when more than one bid is received.  </w:t>
      </w:r>
      <w:r w:rsidRPr="00F75034">
        <w:rPr>
          <w:i/>
          <w:iCs/>
        </w:rPr>
        <w:t>Request</w:t>
      </w:r>
      <w:r>
        <w:t xml:space="preserve"> at 17-18.  The </w:t>
      </w:r>
      <w:r w:rsidR="00765C14">
        <w:t xml:space="preserve">sources </w:t>
      </w:r>
      <w:r>
        <w:t>cited by Maniilaq for support do not address, let alone provide an exception for, the situation where only one bid is received.</w:t>
      </w:r>
      <w:r w:rsidR="00A67D1B">
        <w:t xml:space="preserve">  </w:t>
      </w:r>
      <w:r>
        <w:t xml:space="preserve">Maniilaq also describes its failure to indicate on its FCC Forms 466 that it received any bids in 2014 and 2015 as “inadvertent.”  </w:t>
      </w:r>
      <w:r w:rsidRPr="00F75034">
        <w:rPr>
          <w:i/>
          <w:iCs/>
        </w:rPr>
        <w:t>Request</w:t>
      </w:r>
      <w:r>
        <w:rPr>
          <w:i/>
          <w:iCs/>
        </w:rPr>
        <w:t xml:space="preserve"> </w:t>
      </w:r>
      <w:r>
        <w:t xml:space="preserve">at 7, 8.  While we have no basis to question this characterization, we disagree with Maniilaq’s position that these oversights were </w:t>
      </w:r>
      <w:r w:rsidR="00765C14">
        <w:t xml:space="preserve">a </w:t>
      </w:r>
      <w:r>
        <w:t xml:space="preserve">“minor clerical error” and emphasize that an applicant has a responsibility to accurately complete its funding request form and to certify as to the accuracy of that form.  </w:t>
      </w:r>
      <w:r>
        <w:rPr>
          <w:i/>
          <w:iCs/>
        </w:rPr>
        <w:t xml:space="preserve">See </w:t>
      </w:r>
      <w:r>
        <w:t>47 CFR § 54.623(a)(ii) (requiring an applicant to examine its FCC Form 466 and attachments and to certify that “to the best of his or her knowledge, information, and belief, all statements of fact contained therein are true.”)</w:t>
      </w:r>
    </w:p>
  </w:footnote>
  <w:footnote w:id="37">
    <w:p w:rsidR="00644433" w:rsidRPr="0038179E" w:rsidP="00644433" w14:paraId="258E156D" w14:textId="77777777">
      <w:pPr>
        <w:pStyle w:val="FootnoteText"/>
      </w:pPr>
      <w:r>
        <w:rPr>
          <w:rStyle w:val="FootnoteReference"/>
        </w:rPr>
        <w:footnoteRef/>
      </w:r>
      <w:r>
        <w:t xml:space="preserve"> </w:t>
      </w:r>
      <w:r>
        <w:rPr>
          <w:i/>
          <w:iCs/>
        </w:rPr>
        <w:t>See Bishop Perry Order</w:t>
      </w:r>
      <w:r>
        <w:t xml:space="preserve">, 21 FCC Rcd at 5321 (waiving the minimum processing established by USAC in part because applicants’ errors could not have resulted in an advantage for them in the processing of their applications).  </w:t>
      </w:r>
    </w:p>
  </w:footnote>
  <w:footnote w:id="38">
    <w:p w:rsidR="0042219E" w:rsidP="0042219E" w14:paraId="1D9BE604" w14:textId="5DCB3C94">
      <w:pPr>
        <w:pStyle w:val="FootnoteText"/>
      </w:pPr>
      <w:r>
        <w:rPr>
          <w:rStyle w:val="FootnoteReference"/>
        </w:rPr>
        <w:footnoteRef/>
      </w:r>
      <w:r>
        <w:t xml:space="preserve"> </w:t>
      </w:r>
      <w:r w:rsidR="0084679E">
        <w:rPr>
          <w:i/>
          <w:iCs/>
        </w:rPr>
        <w:t>See W</w:t>
      </w:r>
      <w:r>
        <w:rPr>
          <w:i/>
          <w:iCs/>
        </w:rPr>
        <w:t>AIT Radio</w:t>
      </w:r>
      <w:r>
        <w:t xml:space="preserve">, 418 F.2d at 1159; </w:t>
      </w:r>
      <w:r>
        <w:rPr>
          <w:i/>
          <w:iCs/>
        </w:rPr>
        <w:t>Northeast Cellular</w:t>
      </w:r>
      <w:r>
        <w:t>, 897 F.2d at 1166.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457187" w14:textId="5F3E6052">
    <w:pPr>
      <w:pStyle w:val="Header"/>
      <w:rPr>
        <w:b w:val="0"/>
      </w:rPr>
    </w:pPr>
    <w:r>
      <w:tab/>
      <w:t>Federal Communications Commission</w:t>
    </w:r>
    <w:r>
      <w:tab/>
    </w:r>
    <w:r w:rsidR="00354246">
      <w:t>DA 20-</w:t>
    </w:r>
    <w:r w:rsidR="002A3D83">
      <w:t>173</w:t>
    </w:r>
  </w:p>
  <w:p w:rsidR="00D25FB5" w14:paraId="7021367C" w14:textId="542E3BA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534293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701AEE" w14:textId="1DEB8FF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54246">
      <w:rPr>
        <w:spacing w:val="-2"/>
      </w:rPr>
      <w:t>DA 20-</w:t>
    </w:r>
    <w:r w:rsidR="002A3D83">
      <w:rPr>
        <w:spacing w:val="-2"/>
      </w:rPr>
      <w:t>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C1C89B36"/>
    <w:lvl w:ilvl="0">
      <w:start w:val="1"/>
      <w:numFmt w:val="upperRoman"/>
      <w:suff w:val="nothing"/>
      <w:lvlText w:val="%1."/>
      <w:lvlJc w:val="left"/>
      <w:pPr>
        <w:ind w:left="0" w:firstLine="0"/>
      </w:pPr>
      <w:rPr>
        <w:rFonts w:ascii="Times New Roman" w:eastAsia="Times New Roman" w:hAnsi="Times New Roman" w:cs="Times New Roman"/>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cs="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DD"/>
    <w:rsid w:val="00000457"/>
    <w:rsid w:val="00007227"/>
    <w:rsid w:val="000113C5"/>
    <w:rsid w:val="00011534"/>
    <w:rsid w:val="00013BC8"/>
    <w:rsid w:val="000140EE"/>
    <w:rsid w:val="0001638F"/>
    <w:rsid w:val="00021008"/>
    <w:rsid w:val="00031705"/>
    <w:rsid w:val="00035A86"/>
    <w:rsid w:val="00036039"/>
    <w:rsid w:val="00036614"/>
    <w:rsid w:val="00037F90"/>
    <w:rsid w:val="000516B0"/>
    <w:rsid w:val="00054127"/>
    <w:rsid w:val="000667BC"/>
    <w:rsid w:val="00067703"/>
    <w:rsid w:val="00067E6F"/>
    <w:rsid w:val="00073736"/>
    <w:rsid w:val="00080BF2"/>
    <w:rsid w:val="000875BF"/>
    <w:rsid w:val="00096D8C"/>
    <w:rsid w:val="000974B6"/>
    <w:rsid w:val="000A2821"/>
    <w:rsid w:val="000A2B10"/>
    <w:rsid w:val="000A774E"/>
    <w:rsid w:val="000B6634"/>
    <w:rsid w:val="000B6C6A"/>
    <w:rsid w:val="000C0B65"/>
    <w:rsid w:val="000C7B64"/>
    <w:rsid w:val="000E05FE"/>
    <w:rsid w:val="000E3D42"/>
    <w:rsid w:val="000E665E"/>
    <w:rsid w:val="000F46C9"/>
    <w:rsid w:val="0011242C"/>
    <w:rsid w:val="00115DEF"/>
    <w:rsid w:val="00122BD5"/>
    <w:rsid w:val="00123E60"/>
    <w:rsid w:val="00133F79"/>
    <w:rsid w:val="00135F3A"/>
    <w:rsid w:val="001361AE"/>
    <w:rsid w:val="00136F73"/>
    <w:rsid w:val="00147154"/>
    <w:rsid w:val="00153404"/>
    <w:rsid w:val="00154431"/>
    <w:rsid w:val="00164650"/>
    <w:rsid w:val="00164864"/>
    <w:rsid w:val="001664D5"/>
    <w:rsid w:val="00176435"/>
    <w:rsid w:val="00176D94"/>
    <w:rsid w:val="00177812"/>
    <w:rsid w:val="00180E7C"/>
    <w:rsid w:val="001860EA"/>
    <w:rsid w:val="00194A66"/>
    <w:rsid w:val="001A07C3"/>
    <w:rsid w:val="001A1B40"/>
    <w:rsid w:val="001B0A4C"/>
    <w:rsid w:val="001C3CED"/>
    <w:rsid w:val="001C6A67"/>
    <w:rsid w:val="001C7B94"/>
    <w:rsid w:val="001D03F4"/>
    <w:rsid w:val="001D3718"/>
    <w:rsid w:val="001D4273"/>
    <w:rsid w:val="001D6BCF"/>
    <w:rsid w:val="001E01CA"/>
    <w:rsid w:val="001E0D59"/>
    <w:rsid w:val="001E2900"/>
    <w:rsid w:val="001F0CD2"/>
    <w:rsid w:val="001F3FA4"/>
    <w:rsid w:val="001F4506"/>
    <w:rsid w:val="001F60EE"/>
    <w:rsid w:val="002006BF"/>
    <w:rsid w:val="0020342E"/>
    <w:rsid w:val="0020745A"/>
    <w:rsid w:val="002077C0"/>
    <w:rsid w:val="00216508"/>
    <w:rsid w:val="00220907"/>
    <w:rsid w:val="00221631"/>
    <w:rsid w:val="00224019"/>
    <w:rsid w:val="00225C61"/>
    <w:rsid w:val="002261D7"/>
    <w:rsid w:val="00236D6D"/>
    <w:rsid w:val="002520DF"/>
    <w:rsid w:val="00252880"/>
    <w:rsid w:val="00257C23"/>
    <w:rsid w:val="00275CC5"/>
    <w:rsid w:val="00275CF5"/>
    <w:rsid w:val="0027656D"/>
    <w:rsid w:val="002800EA"/>
    <w:rsid w:val="00280911"/>
    <w:rsid w:val="00280E1E"/>
    <w:rsid w:val="0028301F"/>
    <w:rsid w:val="00283279"/>
    <w:rsid w:val="00283DFA"/>
    <w:rsid w:val="00284585"/>
    <w:rsid w:val="00285017"/>
    <w:rsid w:val="00291F44"/>
    <w:rsid w:val="0029200E"/>
    <w:rsid w:val="002964A1"/>
    <w:rsid w:val="00297066"/>
    <w:rsid w:val="002A2D2E"/>
    <w:rsid w:val="002A2FBE"/>
    <w:rsid w:val="002A373B"/>
    <w:rsid w:val="002A38EB"/>
    <w:rsid w:val="002A3D83"/>
    <w:rsid w:val="002B64B9"/>
    <w:rsid w:val="002B6DF6"/>
    <w:rsid w:val="002C00E8"/>
    <w:rsid w:val="002C5626"/>
    <w:rsid w:val="002C6F67"/>
    <w:rsid w:val="002D595D"/>
    <w:rsid w:val="002D5CF2"/>
    <w:rsid w:val="002E2BF1"/>
    <w:rsid w:val="002E4557"/>
    <w:rsid w:val="002F62AF"/>
    <w:rsid w:val="00315518"/>
    <w:rsid w:val="0031680F"/>
    <w:rsid w:val="00320F5B"/>
    <w:rsid w:val="00323724"/>
    <w:rsid w:val="003336C8"/>
    <w:rsid w:val="00335B46"/>
    <w:rsid w:val="00343749"/>
    <w:rsid w:val="0035004E"/>
    <w:rsid w:val="00354246"/>
    <w:rsid w:val="003660ED"/>
    <w:rsid w:val="0037008F"/>
    <w:rsid w:val="00371B03"/>
    <w:rsid w:val="00371D85"/>
    <w:rsid w:val="00376074"/>
    <w:rsid w:val="0038179E"/>
    <w:rsid w:val="003956C6"/>
    <w:rsid w:val="003960E0"/>
    <w:rsid w:val="00396889"/>
    <w:rsid w:val="003A56B7"/>
    <w:rsid w:val="003B0550"/>
    <w:rsid w:val="003B1E60"/>
    <w:rsid w:val="003B48E8"/>
    <w:rsid w:val="003B4F8D"/>
    <w:rsid w:val="003B694F"/>
    <w:rsid w:val="003C1471"/>
    <w:rsid w:val="003C23FF"/>
    <w:rsid w:val="003C4365"/>
    <w:rsid w:val="003C517A"/>
    <w:rsid w:val="003C52B0"/>
    <w:rsid w:val="003C560D"/>
    <w:rsid w:val="003E47ED"/>
    <w:rsid w:val="003F1375"/>
    <w:rsid w:val="003F171C"/>
    <w:rsid w:val="00400942"/>
    <w:rsid w:val="00401969"/>
    <w:rsid w:val="004078BC"/>
    <w:rsid w:val="00411376"/>
    <w:rsid w:val="004127F8"/>
    <w:rsid w:val="00412FC5"/>
    <w:rsid w:val="00415256"/>
    <w:rsid w:val="00421873"/>
    <w:rsid w:val="0042219E"/>
    <w:rsid w:val="00422276"/>
    <w:rsid w:val="004242F1"/>
    <w:rsid w:val="0042569A"/>
    <w:rsid w:val="00430470"/>
    <w:rsid w:val="00434F11"/>
    <w:rsid w:val="00435F10"/>
    <w:rsid w:val="004362DF"/>
    <w:rsid w:val="00445544"/>
    <w:rsid w:val="00445A00"/>
    <w:rsid w:val="00447AA3"/>
    <w:rsid w:val="00451B0F"/>
    <w:rsid w:val="00462122"/>
    <w:rsid w:val="004646B5"/>
    <w:rsid w:val="0046736B"/>
    <w:rsid w:val="00481AA6"/>
    <w:rsid w:val="00483874"/>
    <w:rsid w:val="00483A80"/>
    <w:rsid w:val="004856F8"/>
    <w:rsid w:val="00493AE5"/>
    <w:rsid w:val="00495863"/>
    <w:rsid w:val="004A23C5"/>
    <w:rsid w:val="004A4E3D"/>
    <w:rsid w:val="004A745A"/>
    <w:rsid w:val="004B630F"/>
    <w:rsid w:val="004C2170"/>
    <w:rsid w:val="004C2743"/>
    <w:rsid w:val="004C2EE3"/>
    <w:rsid w:val="004C3095"/>
    <w:rsid w:val="004C6359"/>
    <w:rsid w:val="004C7508"/>
    <w:rsid w:val="004C7F21"/>
    <w:rsid w:val="004D02FD"/>
    <w:rsid w:val="004D31D7"/>
    <w:rsid w:val="004D74A8"/>
    <w:rsid w:val="004E2500"/>
    <w:rsid w:val="004E4A22"/>
    <w:rsid w:val="004F1CE0"/>
    <w:rsid w:val="004F1DD8"/>
    <w:rsid w:val="004F5B3F"/>
    <w:rsid w:val="004F7291"/>
    <w:rsid w:val="005016A0"/>
    <w:rsid w:val="0050673C"/>
    <w:rsid w:val="00506B7A"/>
    <w:rsid w:val="00511968"/>
    <w:rsid w:val="00532956"/>
    <w:rsid w:val="00534026"/>
    <w:rsid w:val="00535ED8"/>
    <w:rsid w:val="005405FD"/>
    <w:rsid w:val="00541647"/>
    <w:rsid w:val="00545CF9"/>
    <w:rsid w:val="005473C9"/>
    <w:rsid w:val="0055614C"/>
    <w:rsid w:val="005612A6"/>
    <w:rsid w:val="00566D06"/>
    <w:rsid w:val="00577BF8"/>
    <w:rsid w:val="00581B75"/>
    <w:rsid w:val="0058650E"/>
    <w:rsid w:val="00587C32"/>
    <w:rsid w:val="005915C8"/>
    <w:rsid w:val="005954F5"/>
    <w:rsid w:val="00596E76"/>
    <w:rsid w:val="0059765D"/>
    <w:rsid w:val="005A0E83"/>
    <w:rsid w:val="005B1685"/>
    <w:rsid w:val="005B41AF"/>
    <w:rsid w:val="005B7048"/>
    <w:rsid w:val="005C0837"/>
    <w:rsid w:val="005C32D0"/>
    <w:rsid w:val="005C41DB"/>
    <w:rsid w:val="005C689F"/>
    <w:rsid w:val="005D4C90"/>
    <w:rsid w:val="005D5808"/>
    <w:rsid w:val="005D5F95"/>
    <w:rsid w:val="005D70DF"/>
    <w:rsid w:val="005D7B2E"/>
    <w:rsid w:val="005E14C2"/>
    <w:rsid w:val="005E225D"/>
    <w:rsid w:val="005E2CC4"/>
    <w:rsid w:val="005F3003"/>
    <w:rsid w:val="00602724"/>
    <w:rsid w:val="00607BA5"/>
    <w:rsid w:val="0061180A"/>
    <w:rsid w:val="0062358E"/>
    <w:rsid w:val="006254A6"/>
    <w:rsid w:val="00626EB6"/>
    <w:rsid w:val="00631C23"/>
    <w:rsid w:val="0063340B"/>
    <w:rsid w:val="00635565"/>
    <w:rsid w:val="00640F1D"/>
    <w:rsid w:val="00644433"/>
    <w:rsid w:val="00655D03"/>
    <w:rsid w:val="00657379"/>
    <w:rsid w:val="00662423"/>
    <w:rsid w:val="00662D28"/>
    <w:rsid w:val="00673BDD"/>
    <w:rsid w:val="00676AD4"/>
    <w:rsid w:val="00683388"/>
    <w:rsid w:val="00683F84"/>
    <w:rsid w:val="00692196"/>
    <w:rsid w:val="006A0237"/>
    <w:rsid w:val="006A07BB"/>
    <w:rsid w:val="006A6A81"/>
    <w:rsid w:val="006B08B4"/>
    <w:rsid w:val="006C446F"/>
    <w:rsid w:val="006D0021"/>
    <w:rsid w:val="006D1069"/>
    <w:rsid w:val="006D1D4A"/>
    <w:rsid w:val="006D6490"/>
    <w:rsid w:val="006E067C"/>
    <w:rsid w:val="006E4783"/>
    <w:rsid w:val="006F7393"/>
    <w:rsid w:val="0070224F"/>
    <w:rsid w:val="0070795F"/>
    <w:rsid w:val="007115F7"/>
    <w:rsid w:val="00726C1B"/>
    <w:rsid w:val="00732F76"/>
    <w:rsid w:val="00734694"/>
    <w:rsid w:val="00744A88"/>
    <w:rsid w:val="007574CC"/>
    <w:rsid w:val="00765C14"/>
    <w:rsid w:val="00770925"/>
    <w:rsid w:val="00782DE1"/>
    <w:rsid w:val="00783A9A"/>
    <w:rsid w:val="00784B4B"/>
    <w:rsid w:val="00785689"/>
    <w:rsid w:val="007863C9"/>
    <w:rsid w:val="00787491"/>
    <w:rsid w:val="00787C2E"/>
    <w:rsid w:val="0079362E"/>
    <w:rsid w:val="00795E5E"/>
    <w:rsid w:val="00796C30"/>
    <w:rsid w:val="0079754B"/>
    <w:rsid w:val="007A1ADA"/>
    <w:rsid w:val="007A1E6D"/>
    <w:rsid w:val="007A4136"/>
    <w:rsid w:val="007B0EB2"/>
    <w:rsid w:val="007B56D3"/>
    <w:rsid w:val="007C62A6"/>
    <w:rsid w:val="007D4EC7"/>
    <w:rsid w:val="007D5B21"/>
    <w:rsid w:val="007D7842"/>
    <w:rsid w:val="007E1460"/>
    <w:rsid w:val="007E1C81"/>
    <w:rsid w:val="007F3182"/>
    <w:rsid w:val="007F437D"/>
    <w:rsid w:val="007F5A4E"/>
    <w:rsid w:val="007F61DA"/>
    <w:rsid w:val="007F6AC1"/>
    <w:rsid w:val="00802465"/>
    <w:rsid w:val="00807532"/>
    <w:rsid w:val="00810B6F"/>
    <w:rsid w:val="00814838"/>
    <w:rsid w:val="0081504A"/>
    <w:rsid w:val="00816A55"/>
    <w:rsid w:val="00822CE0"/>
    <w:rsid w:val="00835F49"/>
    <w:rsid w:val="00841AB1"/>
    <w:rsid w:val="0084679E"/>
    <w:rsid w:val="00847137"/>
    <w:rsid w:val="00847230"/>
    <w:rsid w:val="00850128"/>
    <w:rsid w:val="00851F7E"/>
    <w:rsid w:val="008638DC"/>
    <w:rsid w:val="00883D24"/>
    <w:rsid w:val="008848DF"/>
    <w:rsid w:val="008A083D"/>
    <w:rsid w:val="008A2FBB"/>
    <w:rsid w:val="008B0817"/>
    <w:rsid w:val="008C68F1"/>
    <w:rsid w:val="008D183B"/>
    <w:rsid w:val="008D7445"/>
    <w:rsid w:val="008E37A9"/>
    <w:rsid w:val="008F68B4"/>
    <w:rsid w:val="00905FA3"/>
    <w:rsid w:val="00913113"/>
    <w:rsid w:val="009135C8"/>
    <w:rsid w:val="009138BD"/>
    <w:rsid w:val="00921803"/>
    <w:rsid w:val="00926503"/>
    <w:rsid w:val="00936D76"/>
    <w:rsid w:val="009408EE"/>
    <w:rsid w:val="00942277"/>
    <w:rsid w:val="00945A22"/>
    <w:rsid w:val="0095165E"/>
    <w:rsid w:val="00954D5A"/>
    <w:rsid w:val="0095645B"/>
    <w:rsid w:val="0095646E"/>
    <w:rsid w:val="009579DB"/>
    <w:rsid w:val="00961B36"/>
    <w:rsid w:val="009623BC"/>
    <w:rsid w:val="0096588A"/>
    <w:rsid w:val="009726D8"/>
    <w:rsid w:val="00981AAF"/>
    <w:rsid w:val="009841BD"/>
    <w:rsid w:val="00984C04"/>
    <w:rsid w:val="00990111"/>
    <w:rsid w:val="009936F0"/>
    <w:rsid w:val="00997963"/>
    <w:rsid w:val="009A15CF"/>
    <w:rsid w:val="009B0FF1"/>
    <w:rsid w:val="009B16C0"/>
    <w:rsid w:val="009B53AA"/>
    <w:rsid w:val="009D1398"/>
    <w:rsid w:val="009D5452"/>
    <w:rsid w:val="009D68DD"/>
    <w:rsid w:val="009D7308"/>
    <w:rsid w:val="009D79AE"/>
    <w:rsid w:val="009E2C61"/>
    <w:rsid w:val="009E7C16"/>
    <w:rsid w:val="009F19D8"/>
    <w:rsid w:val="009F1F6E"/>
    <w:rsid w:val="009F3679"/>
    <w:rsid w:val="009F76DB"/>
    <w:rsid w:val="00A012AC"/>
    <w:rsid w:val="00A01A5B"/>
    <w:rsid w:val="00A14C4A"/>
    <w:rsid w:val="00A150D3"/>
    <w:rsid w:val="00A23CC4"/>
    <w:rsid w:val="00A311DF"/>
    <w:rsid w:val="00A32C3B"/>
    <w:rsid w:val="00A33644"/>
    <w:rsid w:val="00A45F4F"/>
    <w:rsid w:val="00A503ED"/>
    <w:rsid w:val="00A540EA"/>
    <w:rsid w:val="00A5474A"/>
    <w:rsid w:val="00A600A9"/>
    <w:rsid w:val="00A65E01"/>
    <w:rsid w:val="00A67D1B"/>
    <w:rsid w:val="00A713EF"/>
    <w:rsid w:val="00A81878"/>
    <w:rsid w:val="00A81888"/>
    <w:rsid w:val="00A92592"/>
    <w:rsid w:val="00AA55B7"/>
    <w:rsid w:val="00AA5B9E"/>
    <w:rsid w:val="00AB2407"/>
    <w:rsid w:val="00AB53DF"/>
    <w:rsid w:val="00AC0472"/>
    <w:rsid w:val="00AC0D53"/>
    <w:rsid w:val="00AC2A9B"/>
    <w:rsid w:val="00AD1001"/>
    <w:rsid w:val="00AE1C32"/>
    <w:rsid w:val="00AE22BF"/>
    <w:rsid w:val="00AE309C"/>
    <w:rsid w:val="00AE6EC1"/>
    <w:rsid w:val="00AF68A7"/>
    <w:rsid w:val="00AF6AAE"/>
    <w:rsid w:val="00B01067"/>
    <w:rsid w:val="00B03768"/>
    <w:rsid w:val="00B07E5C"/>
    <w:rsid w:val="00B1050C"/>
    <w:rsid w:val="00B106AE"/>
    <w:rsid w:val="00B11306"/>
    <w:rsid w:val="00B1143F"/>
    <w:rsid w:val="00B139B7"/>
    <w:rsid w:val="00B15C65"/>
    <w:rsid w:val="00B21ED6"/>
    <w:rsid w:val="00B2781C"/>
    <w:rsid w:val="00B27A99"/>
    <w:rsid w:val="00B40968"/>
    <w:rsid w:val="00B40AE6"/>
    <w:rsid w:val="00B4445F"/>
    <w:rsid w:val="00B47079"/>
    <w:rsid w:val="00B47236"/>
    <w:rsid w:val="00B53959"/>
    <w:rsid w:val="00B5567C"/>
    <w:rsid w:val="00B55D55"/>
    <w:rsid w:val="00B61069"/>
    <w:rsid w:val="00B811F7"/>
    <w:rsid w:val="00B82A0D"/>
    <w:rsid w:val="00B866C9"/>
    <w:rsid w:val="00B921DE"/>
    <w:rsid w:val="00B92879"/>
    <w:rsid w:val="00BA22DD"/>
    <w:rsid w:val="00BA4C1D"/>
    <w:rsid w:val="00BA5DC6"/>
    <w:rsid w:val="00BA6196"/>
    <w:rsid w:val="00BB1BF9"/>
    <w:rsid w:val="00BB22C8"/>
    <w:rsid w:val="00BB4B49"/>
    <w:rsid w:val="00BC6D8C"/>
    <w:rsid w:val="00BD0315"/>
    <w:rsid w:val="00BD085F"/>
    <w:rsid w:val="00BE5BEC"/>
    <w:rsid w:val="00BF06BB"/>
    <w:rsid w:val="00BF0703"/>
    <w:rsid w:val="00BF1BE5"/>
    <w:rsid w:val="00BF37A5"/>
    <w:rsid w:val="00BF3998"/>
    <w:rsid w:val="00BF3E46"/>
    <w:rsid w:val="00C01A88"/>
    <w:rsid w:val="00C10AA4"/>
    <w:rsid w:val="00C24F02"/>
    <w:rsid w:val="00C26131"/>
    <w:rsid w:val="00C30D83"/>
    <w:rsid w:val="00C34006"/>
    <w:rsid w:val="00C36B4C"/>
    <w:rsid w:val="00C3702C"/>
    <w:rsid w:val="00C426B1"/>
    <w:rsid w:val="00C45A2B"/>
    <w:rsid w:val="00C46A02"/>
    <w:rsid w:val="00C51760"/>
    <w:rsid w:val="00C66160"/>
    <w:rsid w:val="00C721AC"/>
    <w:rsid w:val="00C7438F"/>
    <w:rsid w:val="00C813FC"/>
    <w:rsid w:val="00C90C31"/>
    <w:rsid w:val="00C90D6A"/>
    <w:rsid w:val="00C92FE9"/>
    <w:rsid w:val="00CA00E0"/>
    <w:rsid w:val="00CA1872"/>
    <w:rsid w:val="00CA247E"/>
    <w:rsid w:val="00CA5620"/>
    <w:rsid w:val="00CA6D21"/>
    <w:rsid w:val="00CC72B6"/>
    <w:rsid w:val="00CD413C"/>
    <w:rsid w:val="00CD4AE0"/>
    <w:rsid w:val="00CD6C3C"/>
    <w:rsid w:val="00CE0733"/>
    <w:rsid w:val="00CF212C"/>
    <w:rsid w:val="00CF595D"/>
    <w:rsid w:val="00CF74C9"/>
    <w:rsid w:val="00D014CE"/>
    <w:rsid w:val="00D0218D"/>
    <w:rsid w:val="00D101CF"/>
    <w:rsid w:val="00D11890"/>
    <w:rsid w:val="00D16A84"/>
    <w:rsid w:val="00D206AE"/>
    <w:rsid w:val="00D247A1"/>
    <w:rsid w:val="00D25FB5"/>
    <w:rsid w:val="00D33572"/>
    <w:rsid w:val="00D3526F"/>
    <w:rsid w:val="00D35B06"/>
    <w:rsid w:val="00D3703C"/>
    <w:rsid w:val="00D40049"/>
    <w:rsid w:val="00D4034C"/>
    <w:rsid w:val="00D44223"/>
    <w:rsid w:val="00D44A99"/>
    <w:rsid w:val="00D46DA7"/>
    <w:rsid w:val="00D63579"/>
    <w:rsid w:val="00D66C2C"/>
    <w:rsid w:val="00D6747B"/>
    <w:rsid w:val="00D73D7B"/>
    <w:rsid w:val="00D76B23"/>
    <w:rsid w:val="00D77F11"/>
    <w:rsid w:val="00D8619A"/>
    <w:rsid w:val="00DA2529"/>
    <w:rsid w:val="00DA7B33"/>
    <w:rsid w:val="00DB130A"/>
    <w:rsid w:val="00DB2EBB"/>
    <w:rsid w:val="00DC10A1"/>
    <w:rsid w:val="00DC12F9"/>
    <w:rsid w:val="00DC393B"/>
    <w:rsid w:val="00DC455B"/>
    <w:rsid w:val="00DC49A3"/>
    <w:rsid w:val="00DC655F"/>
    <w:rsid w:val="00DC7EE1"/>
    <w:rsid w:val="00DD0B59"/>
    <w:rsid w:val="00DD465D"/>
    <w:rsid w:val="00DD7EBD"/>
    <w:rsid w:val="00DE0900"/>
    <w:rsid w:val="00DE38A5"/>
    <w:rsid w:val="00DE5934"/>
    <w:rsid w:val="00DE6500"/>
    <w:rsid w:val="00DF5017"/>
    <w:rsid w:val="00DF50B0"/>
    <w:rsid w:val="00DF62B6"/>
    <w:rsid w:val="00E00908"/>
    <w:rsid w:val="00E07225"/>
    <w:rsid w:val="00E22827"/>
    <w:rsid w:val="00E2325C"/>
    <w:rsid w:val="00E33917"/>
    <w:rsid w:val="00E33F60"/>
    <w:rsid w:val="00E37739"/>
    <w:rsid w:val="00E37B46"/>
    <w:rsid w:val="00E43E0D"/>
    <w:rsid w:val="00E4633A"/>
    <w:rsid w:val="00E46CC3"/>
    <w:rsid w:val="00E5409F"/>
    <w:rsid w:val="00E575B2"/>
    <w:rsid w:val="00E64ECD"/>
    <w:rsid w:val="00E707B6"/>
    <w:rsid w:val="00E744F2"/>
    <w:rsid w:val="00E835DA"/>
    <w:rsid w:val="00E90C93"/>
    <w:rsid w:val="00E930E4"/>
    <w:rsid w:val="00E952BA"/>
    <w:rsid w:val="00EA1AC6"/>
    <w:rsid w:val="00EA3A75"/>
    <w:rsid w:val="00EB024E"/>
    <w:rsid w:val="00EB4374"/>
    <w:rsid w:val="00EB5B6E"/>
    <w:rsid w:val="00EC0A5A"/>
    <w:rsid w:val="00EC3FA3"/>
    <w:rsid w:val="00EE1C0A"/>
    <w:rsid w:val="00EE6488"/>
    <w:rsid w:val="00EF3610"/>
    <w:rsid w:val="00F021FA"/>
    <w:rsid w:val="00F16E78"/>
    <w:rsid w:val="00F16EE9"/>
    <w:rsid w:val="00F31D0A"/>
    <w:rsid w:val="00F35A14"/>
    <w:rsid w:val="00F451D0"/>
    <w:rsid w:val="00F52A5E"/>
    <w:rsid w:val="00F5446B"/>
    <w:rsid w:val="00F57405"/>
    <w:rsid w:val="00F62E97"/>
    <w:rsid w:val="00F63237"/>
    <w:rsid w:val="00F64209"/>
    <w:rsid w:val="00F70675"/>
    <w:rsid w:val="00F70D79"/>
    <w:rsid w:val="00F716BF"/>
    <w:rsid w:val="00F75034"/>
    <w:rsid w:val="00F81DA7"/>
    <w:rsid w:val="00F85EFC"/>
    <w:rsid w:val="00F917D3"/>
    <w:rsid w:val="00F93394"/>
    <w:rsid w:val="00F93BF5"/>
    <w:rsid w:val="00F94B96"/>
    <w:rsid w:val="00F97395"/>
    <w:rsid w:val="00FA1E24"/>
    <w:rsid w:val="00FA25FD"/>
    <w:rsid w:val="00FC6ED1"/>
    <w:rsid w:val="00FD29AE"/>
    <w:rsid w:val="00FD2ADB"/>
    <w:rsid w:val="00FE589B"/>
    <w:rsid w:val="00FE7112"/>
    <w:rsid w:val="00FF51E7"/>
    <w:rsid w:val="00FF61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375F38-7F1E-43EB-B882-9D22F82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246"/>
    <w:pPr>
      <w:widowControl w:val="0"/>
    </w:pPr>
    <w:rPr>
      <w:snapToGrid w:val="0"/>
      <w:kern w:val="28"/>
      <w:sz w:val="22"/>
    </w:rPr>
  </w:style>
  <w:style w:type="paragraph" w:styleId="Heading1">
    <w:name w:val="heading 1"/>
    <w:basedOn w:val="Normal"/>
    <w:next w:val="ParaNum"/>
    <w:link w:val="Heading1Char"/>
    <w:qFormat/>
    <w:rsid w:val="0035424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54246"/>
    <w:pPr>
      <w:keepNext/>
      <w:numPr>
        <w:ilvl w:val="1"/>
        <w:numId w:val="3"/>
      </w:numPr>
      <w:spacing w:after="120"/>
      <w:outlineLvl w:val="1"/>
    </w:pPr>
    <w:rPr>
      <w:b/>
    </w:rPr>
  </w:style>
  <w:style w:type="paragraph" w:styleId="Heading3">
    <w:name w:val="heading 3"/>
    <w:basedOn w:val="Normal"/>
    <w:next w:val="ParaNum"/>
    <w:qFormat/>
    <w:rsid w:val="00354246"/>
    <w:pPr>
      <w:keepNext/>
      <w:numPr>
        <w:ilvl w:val="2"/>
        <w:numId w:val="3"/>
      </w:numPr>
      <w:tabs>
        <w:tab w:val="left" w:pos="2160"/>
      </w:tabs>
      <w:spacing w:after="120"/>
      <w:outlineLvl w:val="2"/>
    </w:pPr>
    <w:rPr>
      <w:b/>
    </w:rPr>
  </w:style>
  <w:style w:type="paragraph" w:styleId="Heading4">
    <w:name w:val="heading 4"/>
    <w:basedOn w:val="Normal"/>
    <w:next w:val="ParaNum"/>
    <w:qFormat/>
    <w:rsid w:val="00354246"/>
    <w:pPr>
      <w:keepNext/>
      <w:numPr>
        <w:ilvl w:val="3"/>
        <w:numId w:val="3"/>
      </w:numPr>
      <w:tabs>
        <w:tab w:val="left" w:pos="2880"/>
      </w:tabs>
      <w:spacing w:after="120"/>
      <w:outlineLvl w:val="3"/>
    </w:pPr>
    <w:rPr>
      <w:b/>
    </w:rPr>
  </w:style>
  <w:style w:type="paragraph" w:styleId="Heading5">
    <w:name w:val="heading 5"/>
    <w:basedOn w:val="Normal"/>
    <w:next w:val="ParaNum"/>
    <w:qFormat/>
    <w:rsid w:val="0035424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54246"/>
    <w:pPr>
      <w:numPr>
        <w:ilvl w:val="5"/>
        <w:numId w:val="3"/>
      </w:numPr>
      <w:tabs>
        <w:tab w:val="left" w:pos="4320"/>
      </w:tabs>
      <w:spacing w:after="120"/>
      <w:outlineLvl w:val="5"/>
    </w:pPr>
    <w:rPr>
      <w:b/>
    </w:rPr>
  </w:style>
  <w:style w:type="paragraph" w:styleId="Heading7">
    <w:name w:val="heading 7"/>
    <w:basedOn w:val="Normal"/>
    <w:next w:val="ParaNum"/>
    <w:qFormat/>
    <w:rsid w:val="0035424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5424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5424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42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4246"/>
  </w:style>
  <w:style w:type="paragraph" w:customStyle="1" w:styleId="ParaNum">
    <w:name w:val="ParaNum"/>
    <w:basedOn w:val="Normal"/>
    <w:rsid w:val="00354246"/>
    <w:pPr>
      <w:numPr>
        <w:numId w:val="2"/>
      </w:numPr>
      <w:tabs>
        <w:tab w:val="clear" w:pos="1080"/>
        <w:tab w:val="num" w:pos="1440"/>
      </w:tabs>
      <w:spacing w:after="120"/>
    </w:pPr>
  </w:style>
  <w:style w:type="paragraph" w:styleId="EndnoteText">
    <w:name w:val="endnote text"/>
    <w:basedOn w:val="Normal"/>
    <w:semiHidden/>
    <w:rsid w:val="00354246"/>
    <w:rPr>
      <w:sz w:val="20"/>
    </w:rPr>
  </w:style>
  <w:style w:type="character" w:styleId="EndnoteReference">
    <w:name w:val="endnote reference"/>
    <w:semiHidden/>
    <w:rsid w:val="00354246"/>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354246"/>
    <w:pPr>
      <w:spacing w:after="120"/>
    </w:pPr>
  </w:style>
  <w:style w:type="character" w:styleId="FootnoteReference">
    <w:name w:val="footnote reference"/>
    <w:aliases w:val="(NECG) Footnote Reference,Appel note de bas de p,FR,Footnote Reference/,Footnote Reference1,Style 12,Style 124,Style 13,Style 17,Style 3,Style 6,fr,o"/>
    <w:rsid w:val="00354246"/>
    <w:rPr>
      <w:rFonts w:ascii="Times New Roman" w:hAnsi="Times New Roman"/>
      <w:dstrike w:val="0"/>
      <w:color w:val="auto"/>
      <w:sz w:val="20"/>
      <w:vertAlign w:val="superscript"/>
    </w:rPr>
  </w:style>
  <w:style w:type="paragraph" w:styleId="TOC1">
    <w:name w:val="toc 1"/>
    <w:basedOn w:val="Normal"/>
    <w:next w:val="Normal"/>
    <w:semiHidden/>
    <w:rsid w:val="003542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4246"/>
    <w:pPr>
      <w:tabs>
        <w:tab w:val="left" w:pos="720"/>
        <w:tab w:val="right" w:leader="dot" w:pos="9360"/>
      </w:tabs>
      <w:suppressAutoHyphens/>
      <w:ind w:left="720" w:right="720" w:hanging="360"/>
    </w:pPr>
    <w:rPr>
      <w:noProof/>
    </w:rPr>
  </w:style>
  <w:style w:type="paragraph" w:styleId="TOC3">
    <w:name w:val="toc 3"/>
    <w:basedOn w:val="Normal"/>
    <w:next w:val="Normal"/>
    <w:semiHidden/>
    <w:rsid w:val="003542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42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42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42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42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42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42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4246"/>
    <w:pPr>
      <w:tabs>
        <w:tab w:val="right" w:pos="9360"/>
      </w:tabs>
      <w:suppressAutoHyphens/>
    </w:pPr>
  </w:style>
  <w:style w:type="character" w:customStyle="1" w:styleId="EquationCaption">
    <w:name w:val="_Equation Caption"/>
    <w:rsid w:val="00354246"/>
  </w:style>
  <w:style w:type="paragraph" w:styleId="Header">
    <w:name w:val="header"/>
    <w:basedOn w:val="Normal"/>
    <w:autoRedefine/>
    <w:rsid w:val="00354246"/>
    <w:pPr>
      <w:tabs>
        <w:tab w:val="center" w:pos="4680"/>
        <w:tab w:val="right" w:pos="9360"/>
      </w:tabs>
    </w:pPr>
    <w:rPr>
      <w:b/>
    </w:rPr>
  </w:style>
  <w:style w:type="paragraph" w:styleId="Footer">
    <w:name w:val="footer"/>
    <w:basedOn w:val="Normal"/>
    <w:link w:val="FooterChar"/>
    <w:uiPriority w:val="99"/>
    <w:rsid w:val="00354246"/>
    <w:pPr>
      <w:tabs>
        <w:tab w:val="center" w:pos="4320"/>
        <w:tab w:val="right" w:pos="8640"/>
      </w:tabs>
    </w:pPr>
  </w:style>
  <w:style w:type="character" w:styleId="PageNumber">
    <w:name w:val="page number"/>
    <w:basedOn w:val="DefaultParagraphFont"/>
    <w:rsid w:val="00354246"/>
  </w:style>
  <w:style w:type="paragraph" w:styleId="BlockText">
    <w:name w:val="Block Text"/>
    <w:basedOn w:val="Normal"/>
    <w:rsid w:val="00354246"/>
    <w:pPr>
      <w:spacing w:after="240"/>
      <w:ind w:left="1440" w:right="1440"/>
    </w:pPr>
  </w:style>
  <w:style w:type="paragraph" w:customStyle="1" w:styleId="Paratitle">
    <w:name w:val="Para title"/>
    <w:basedOn w:val="Normal"/>
    <w:rsid w:val="00354246"/>
    <w:pPr>
      <w:tabs>
        <w:tab w:val="center" w:pos="9270"/>
      </w:tabs>
      <w:spacing w:after="240"/>
    </w:pPr>
    <w:rPr>
      <w:spacing w:val="-2"/>
    </w:rPr>
  </w:style>
  <w:style w:type="paragraph" w:customStyle="1" w:styleId="Bullet">
    <w:name w:val="Bullet"/>
    <w:basedOn w:val="Normal"/>
    <w:rsid w:val="00354246"/>
    <w:pPr>
      <w:tabs>
        <w:tab w:val="left" w:pos="2160"/>
      </w:tabs>
      <w:spacing w:after="220"/>
      <w:ind w:left="2160" w:hanging="720"/>
    </w:pPr>
  </w:style>
  <w:style w:type="paragraph" w:customStyle="1" w:styleId="TableFormat">
    <w:name w:val="TableFormat"/>
    <w:basedOn w:val="Bullet"/>
    <w:rsid w:val="00354246"/>
    <w:pPr>
      <w:tabs>
        <w:tab w:val="clear" w:pos="2160"/>
        <w:tab w:val="left" w:pos="5040"/>
      </w:tabs>
      <w:ind w:left="5040" w:hanging="3600"/>
    </w:pPr>
  </w:style>
  <w:style w:type="paragraph" w:customStyle="1" w:styleId="TOCTitle">
    <w:name w:val="TOC Title"/>
    <w:basedOn w:val="Normal"/>
    <w:rsid w:val="003542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4246"/>
    <w:pPr>
      <w:jc w:val="center"/>
    </w:pPr>
    <w:rPr>
      <w:rFonts w:ascii="Times New Roman Bold" w:hAnsi="Times New Roman Bold"/>
      <w:b/>
      <w:bCs/>
      <w:caps/>
      <w:szCs w:val="22"/>
    </w:rPr>
  </w:style>
  <w:style w:type="character" w:styleId="Hyperlink">
    <w:name w:val="Hyperlink"/>
    <w:rsid w:val="00354246"/>
    <w:rPr>
      <w:color w:val="0000FF"/>
      <w:u w:val="single"/>
    </w:rPr>
  </w:style>
  <w:style w:type="character" w:customStyle="1" w:styleId="FooterChar">
    <w:name w:val="Footer Char"/>
    <w:link w:val="Footer"/>
    <w:uiPriority w:val="99"/>
    <w:rsid w:val="00354246"/>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990111"/>
  </w:style>
  <w:style w:type="character" w:customStyle="1" w:styleId="documentbody1">
    <w:name w:val="documentbody1"/>
    <w:rsid w:val="00990111"/>
    <w:rPr>
      <w:rFonts w:ascii="Verdana" w:hAnsi="Verdana" w:hint="default"/>
      <w:sz w:val="19"/>
      <w:szCs w:val="19"/>
    </w:rPr>
  </w:style>
  <w:style w:type="character" w:customStyle="1" w:styleId="Heading1Char">
    <w:name w:val="Heading 1 Char"/>
    <w:link w:val="Heading1"/>
    <w:rsid w:val="00913113"/>
    <w:rPr>
      <w:rFonts w:ascii="Times New Roman Bold" w:hAnsi="Times New Roman Bold"/>
      <w:b/>
      <w:caps/>
      <w:snapToGrid w:val="0"/>
      <w:kern w:val="28"/>
      <w:sz w:val="22"/>
    </w:rPr>
  </w:style>
  <w:style w:type="character" w:customStyle="1" w:styleId="StyleNumberedparagraphs11ptChar">
    <w:name w:val="Style Numbered paragraphs + 11 pt Char"/>
    <w:rsid w:val="00913113"/>
    <w:rPr>
      <w:noProof w:val="0"/>
      <w:sz w:val="22"/>
      <w:lang w:val="en-US" w:eastAsia="en-US" w:bidi="ar-SA"/>
    </w:rPr>
  </w:style>
  <w:style w:type="paragraph" w:customStyle="1" w:styleId="Numberedparagraphs">
    <w:name w:val="Numbered paragraphs"/>
    <w:basedOn w:val="Normal"/>
    <w:rsid w:val="00B40968"/>
    <w:pPr>
      <w:numPr>
        <w:ilvl w:val="2"/>
        <w:numId w:val="7"/>
      </w:numPr>
      <w:tabs>
        <w:tab w:val="left" w:pos="1440"/>
      </w:tabs>
      <w:snapToGrid w:val="0"/>
      <w:spacing w:after="220"/>
    </w:pPr>
    <w:rPr>
      <w:snapToGrid/>
      <w:sz w:val="24"/>
    </w:rPr>
  </w:style>
  <w:style w:type="table" w:styleId="TableGrid">
    <w:name w:val="Table Grid"/>
    <w:basedOn w:val="TableNormal"/>
    <w:rsid w:val="00B4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707B6"/>
    <w:rPr>
      <w:sz w:val="16"/>
      <w:szCs w:val="16"/>
    </w:rPr>
  </w:style>
  <w:style w:type="paragraph" w:styleId="CommentText">
    <w:name w:val="annotation text"/>
    <w:basedOn w:val="Normal"/>
    <w:link w:val="CommentTextChar"/>
    <w:rsid w:val="00E707B6"/>
    <w:rPr>
      <w:sz w:val="20"/>
    </w:rPr>
  </w:style>
  <w:style w:type="character" w:customStyle="1" w:styleId="CommentTextChar">
    <w:name w:val="Comment Text Char"/>
    <w:basedOn w:val="DefaultParagraphFont"/>
    <w:link w:val="CommentText"/>
    <w:rsid w:val="00E707B6"/>
    <w:rPr>
      <w:snapToGrid w:val="0"/>
      <w:kern w:val="28"/>
    </w:rPr>
  </w:style>
  <w:style w:type="paragraph" w:styleId="CommentSubject">
    <w:name w:val="annotation subject"/>
    <w:basedOn w:val="CommentText"/>
    <w:next w:val="CommentText"/>
    <w:link w:val="CommentSubjectChar"/>
    <w:rsid w:val="00E707B6"/>
    <w:rPr>
      <w:b/>
      <w:bCs/>
    </w:rPr>
  </w:style>
  <w:style w:type="character" w:customStyle="1" w:styleId="CommentSubjectChar">
    <w:name w:val="Comment Subject Char"/>
    <w:basedOn w:val="CommentTextChar"/>
    <w:link w:val="CommentSubject"/>
    <w:rsid w:val="00E707B6"/>
    <w:rPr>
      <w:b/>
      <w:bCs/>
      <w:snapToGrid w:val="0"/>
      <w:kern w:val="28"/>
    </w:rPr>
  </w:style>
  <w:style w:type="paragraph" w:styleId="BalloonText">
    <w:name w:val="Balloon Text"/>
    <w:basedOn w:val="Normal"/>
    <w:link w:val="BalloonTextChar"/>
    <w:rsid w:val="00E707B6"/>
    <w:rPr>
      <w:rFonts w:ascii="Segoe UI" w:hAnsi="Segoe UI" w:cs="Segoe UI"/>
      <w:sz w:val="18"/>
      <w:szCs w:val="18"/>
    </w:rPr>
  </w:style>
  <w:style w:type="character" w:customStyle="1" w:styleId="BalloonTextChar">
    <w:name w:val="Balloon Text Char"/>
    <w:basedOn w:val="DefaultParagraphFont"/>
    <w:link w:val="BalloonText"/>
    <w:rsid w:val="00E707B6"/>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DC455B"/>
    <w:rPr>
      <w:color w:val="605E5C"/>
      <w:shd w:val="clear" w:color="auto" w:fill="E1DFDD"/>
    </w:rPr>
  </w:style>
  <w:style w:type="character" w:styleId="FollowedHyperlink">
    <w:name w:val="FollowedHyperlink"/>
    <w:basedOn w:val="DefaultParagraphFont"/>
    <w:rsid w:val="005C6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rhc/telecommunications/health-care-providers/evergreen-contracts.aspxc" TargetMode="External" /><Relationship Id="rId2" Type="http://schemas.openxmlformats.org/officeDocument/2006/relationships/hyperlink" Target="https://www.usac.org/rhc/telecommunications/health-care-providers/documentation.aspx" TargetMode="External" /><Relationship Id="rId3" Type="http://schemas.openxmlformats.org/officeDocument/2006/relationships/hyperlink" Target="https://www.usac.org/wp-content/uploads/rural-health-care/documents/handouts/Competitive-Bidding-FAQ.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