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816AE" w:rsidRPr="00B20363" w:rsidP="000816AE" w14:paraId="078ECF7A" w14:textId="6E525050">
      <w:pPr>
        <w:ind w:left="7920"/>
        <w:rPr>
          <w:b/>
          <w:sz w:val="24"/>
        </w:rPr>
      </w:pPr>
      <w:bookmarkStart w:id="0" w:name="TOChere"/>
      <w:r>
        <w:rPr>
          <w:sz w:val="24"/>
        </w:rPr>
        <w:t xml:space="preserve">     </w:t>
      </w:r>
      <w:r>
        <w:rPr>
          <w:b/>
          <w:sz w:val="24"/>
        </w:rPr>
        <w:t>DA 20-</w:t>
      </w:r>
      <w:r w:rsidR="00FA79CF">
        <w:rPr>
          <w:b/>
          <w:sz w:val="24"/>
        </w:rPr>
        <w:t>178</w:t>
      </w:r>
    </w:p>
    <w:p w:rsidR="000816AE" w:rsidRPr="00B20363" w:rsidP="000816AE" w14:paraId="0CBA2D4D" w14:textId="5F1158A0">
      <w:pPr>
        <w:spacing w:before="60"/>
        <w:jc w:val="right"/>
        <w:rPr>
          <w:b/>
          <w:sz w:val="24"/>
        </w:rPr>
      </w:pPr>
      <w:r>
        <w:rPr>
          <w:b/>
          <w:sz w:val="24"/>
        </w:rPr>
        <w:t xml:space="preserve">Released:  </w:t>
      </w:r>
      <w:r>
        <w:rPr>
          <w:b/>
          <w:sz w:val="24"/>
        </w:rPr>
        <w:t>February 20, 2020</w:t>
      </w:r>
    </w:p>
    <w:p w:rsidR="000816AE" w:rsidP="000816AE" w14:paraId="5D689C5E" w14:textId="77777777">
      <w:pPr>
        <w:jc w:val="right"/>
        <w:rPr>
          <w:sz w:val="24"/>
        </w:rPr>
      </w:pPr>
    </w:p>
    <w:p w:rsidR="000816AE" w:rsidRPr="00B20363" w:rsidP="000816AE" w14:paraId="1143A13C" w14:textId="77777777">
      <w:pPr>
        <w:spacing w:after="240"/>
        <w:jc w:val="center"/>
        <w:rPr>
          <w:rFonts w:ascii="Times New Roman Bold" w:hAnsi="Times New Roman Bold"/>
          <w:b/>
          <w:caps/>
          <w:sz w:val="24"/>
        </w:rPr>
      </w:pPr>
      <w:r>
        <w:rPr>
          <w:rFonts w:ascii="Times New Roman Bold" w:hAnsi="Times New Roman Bold"/>
          <w:b/>
          <w:caps/>
          <w:sz w:val="24"/>
        </w:rPr>
        <w:t>Wireline competition Bureau seeks Comment on A Petition for Preemption and Declaratory Ruling Filed By MISSOURI NETWORK ALLIANCE, LLC D/B/A BLUEBIRD NETWORK AND UNITI LEASING MW LLC</w:t>
      </w:r>
    </w:p>
    <w:p w:rsidR="000816AE" w:rsidP="000816AE" w14:paraId="6A8D4187" w14:textId="77777777">
      <w:pPr>
        <w:jc w:val="center"/>
        <w:rPr>
          <w:b/>
          <w:sz w:val="24"/>
        </w:rPr>
      </w:pPr>
      <w:r>
        <w:rPr>
          <w:b/>
          <w:sz w:val="24"/>
        </w:rPr>
        <w:t>WC Docket No. 20-46</w:t>
      </w:r>
    </w:p>
    <w:p w:rsidR="000816AE" w:rsidRPr="00930ECF" w:rsidP="000816AE" w14:paraId="4817C3DD" w14:textId="77777777">
      <w:pPr>
        <w:rPr>
          <w:sz w:val="24"/>
        </w:rPr>
      </w:pPr>
    </w:p>
    <w:p w:rsidR="000816AE" w:rsidP="000816AE" w14:paraId="52C1DDBC" w14:textId="3781D974">
      <w:pPr>
        <w:rPr>
          <w:b/>
          <w:bCs/>
          <w:sz w:val="24"/>
        </w:rPr>
      </w:pPr>
      <w:r w:rsidRPr="00CE39B7">
        <w:rPr>
          <w:b/>
          <w:bCs/>
          <w:sz w:val="24"/>
        </w:rPr>
        <w:t>Comments Due:</w:t>
      </w:r>
      <w:r>
        <w:rPr>
          <w:b/>
          <w:bCs/>
          <w:sz w:val="24"/>
        </w:rPr>
        <w:t xml:space="preserve"> March 23</w:t>
      </w:r>
      <w:r>
        <w:rPr>
          <w:b/>
          <w:bCs/>
          <w:sz w:val="24"/>
        </w:rPr>
        <w:t>,</w:t>
      </w:r>
      <w:r>
        <w:rPr>
          <w:b/>
          <w:bCs/>
          <w:sz w:val="24"/>
        </w:rPr>
        <w:t xml:space="preserve"> 2020</w:t>
      </w:r>
    </w:p>
    <w:p w:rsidR="000816AE" w:rsidRPr="00CE39B7" w:rsidP="000816AE" w14:paraId="72645713" w14:textId="77777777">
      <w:pPr>
        <w:rPr>
          <w:b/>
          <w:bCs/>
          <w:sz w:val="24"/>
        </w:rPr>
      </w:pPr>
      <w:r>
        <w:rPr>
          <w:b/>
          <w:bCs/>
          <w:sz w:val="24"/>
        </w:rPr>
        <w:t>Reply Comments Due: April 7, 2020</w:t>
      </w:r>
    </w:p>
    <w:p w:rsidR="000816AE" w:rsidP="000816AE" w14:paraId="0E6D75AE" w14:textId="77777777">
      <w:pPr>
        <w:rPr>
          <w:sz w:val="24"/>
        </w:rPr>
      </w:pPr>
    </w:p>
    <w:p w:rsidR="000816AE" w:rsidP="000816AE" w14:paraId="18485EC4" w14:textId="77777777">
      <w:pPr>
        <w:autoSpaceDE w:val="0"/>
        <w:autoSpaceDN w:val="0"/>
        <w:adjustRightInd w:val="0"/>
        <w:spacing w:after="200"/>
        <w:ind w:firstLine="720"/>
      </w:pPr>
      <w:r>
        <w:rPr>
          <w:szCs w:val="22"/>
        </w:rPr>
        <w:t xml:space="preserve">The Wireline Competition Bureau seeks comment on a petition for preemption and declaratory ruling filed on February 13, 2020 by </w:t>
      </w:r>
      <w:r w:rsidRPr="00BB028A">
        <w:t>Missouri</w:t>
      </w:r>
      <w:r>
        <w:rPr>
          <w:szCs w:val="22"/>
        </w:rPr>
        <w:t xml:space="preserve"> </w:t>
      </w:r>
      <w:r w:rsidRPr="00BB028A">
        <w:t xml:space="preserve">Network Alliance, LLC </w:t>
      </w:r>
      <w:bookmarkStart w:id="1" w:name="_GoBack"/>
      <w:bookmarkEnd w:id="1"/>
      <w:r w:rsidRPr="00BB028A">
        <w:t xml:space="preserve">d/b/a Bluebird Network (Bluebird) and </w:t>
      </w:r>
      <w:r w:rsidRPr="00BB028A">
        <w:t>Uniti</w:t>
      </w:r>
      <w:r w:rsidRPr="00BB028A">
        <w:t xml:space="preserve"> Leasing MW LLC</w:t>
      </w:r>
      <w:r>
        <w:t xml:space="preserve"> (</w:t>
      </w:r>
      <w:r>
        <w:t>Uniti</w:t>
      </w:r>
      <w:r>
        <w:t xml:space="preserve"> Leasing) (collectively, Petitioners)</w:t>
      </w:r>
      <w:r>
        <w:rPr>
          <w:szCs w:val="22"/>
        </w:rPr>
        <w:t>.</w:t>
      </w:r>
      <w:r>
        <w:rPr>
          <w:rStyle w:val="FootnoteReference"/>
          <w:szCs w:val="22"/>
        </w:rPr>
        <w:footnoteReference w:id="3"/>
      </w:r>
      <w:r>
        <w:rPr>
          <w:szCs w:val="22"/>
        </w:rPr>
        <w:t xml:space="preserve">  Bluebird is a provider of Internet access, fiber transport, and tandem services and has entered into right-of-way use agreements with the cities of </w:t>
      </w:r>
      <w:r>
        <w:t>Joplin, Cameron, St. Joseph, and Maryville in the State of Missouri (the Cities).</w:t>
      </w:r>
      <w:r>
        <w:rPr>
          <w:rStyle w:val="FootnoteReference"/>
        </w:rPr>
        <w:footnoteReference w:id="4"/>
      </w:r>
      <w:r>
        <w:t xml:space="preserve">  </w:t>
      </w:r>
      <w:r>
        <w:t>Uniti</w:t>
      </w:r>
      <w:r>
        <w:t xml:space="preserve"> Leasing is the owner of the fiber optic network that Bluebird uses to provide services to customers in the Cities (Network).</w:t>
      </w:r>
      <w:r>
        <w:rPr>
          <w:rStyle w:val="FootnoteReference"/>
        </w:rPr>
        <w:footnoteReference w:id="5"/>
      </w:r>
      <w:r>
        <w:t xml:space="preserve">  </w:t>
      </w:r>
    </w:p>
    <w:p w:rsidR="000816AE" w:rsidP="000816AE" w14:paraId="2B6854C7" w14:textId="77777777">
      <w:pPr>
        <w:autoSpaceDE w:val="0"/>
        <w:autoSpaceDN w:val="0"/>
        <w:adjustRightInd w:val="0"/>
        <w:spacing w:after="200"/>
        <w:ind w:firstLine="720"/>
        <w:rPr>
          <w:szCs w:val="22"/>
        </w:rPr>
      </w:pPr>
      <w:r>
        <w:t xml:space="preserve">Petitioners ask the Commission to declare that it is unlawful for the Cities to require </w:t>
      </w:r>
      <w:r>
        <w:t>Uniti</w:t>
      </w:r>
      <w:r>
        <w:t xml:space="preserve"> Leasing to enter into separate right-of-way use agreements for the Network and pay use fees that they assert are duplicative of those required by Bluebird’s right-of-way use agreements with the Cities.</w:t>
      </w:r>
      <w:r>
        <w:rPr>
          <w:rStyle w:val="FootnoteReference"/>
        </w:rPr>
        <w:footnoteReference w:id="6"/>
      </w:r>
      <w:r>
        <w:t xml:space="preserve">  </w:t>
      </w:r>
      <w:r>
        <w:rPr>
          <w:szCs w:val="22"/>
        </w:rPr>
        <w:t xml:space="preserve">Petitioners argue that requiring both Bluebird (as the operator of the Network and provider of telecommunications services) and </w:t>
      </w:r>
      <w:r>
        <w:rPr>
          <w:szCs w:val="22"/>
        </w:rPr>
        <w:t>Uniti</w:t>
      </w:r>
      <w:r>
        <w:rPr>
          <w:szCs w:val="22"/>
        </w:rPr>
        <w:t xml:space="preserve"> Leasing (as the owner of the Network) to pay right-of-way fees conflicts with section 253(a) of the Communications Act.</w:t>
      </w:r>
      <w:r>
        <w:rPr>
          <w:rStyle w:val="FootnoteReference"/>
        </w:rPr>
        <w:footnoteReference w:id="7"/>
      </w:r>
      <w:r>
        <w:t xml:space="preserve">  </w:t>
      </w:r>
      <w:r>
        <w:rPr>
          <w:szCs w:val="22"/>
        </w:rPr>
        <w:t xml:space="preserve">Petitioners therefore request that the </w:t>
      </w:r>
      <w:r>
        <w:rPr>
          <w:szCs w:val="22"/>
        </w:rPr>
        <w:t>Commission preempt, pursuant to section 253(d) of the Act,</w:t>
      </w:r>
      <w:r>
        <w:rPr>
          <w:rStyle w:val="FootnoteReference"/>
          <w:szCs w:val="22"/>
        </w:rPr>
        <w:footnoteReference w:id="8"/>
      </w:r>
      <w:r>
        <w:rPr>
          <w:szCs w:val="22"/>
        </w:rPr>
        <w:t xml:space="preserve"> the Cities’ requirement that </w:t>
      </w:r>
      <w:r>
        <w:rPr>
          <w:szCs w:val="22"/>
        </w:rPr>
        <w:t>Uniti</w:t>
      </w:r>
      <w:r>
        <w:rPr>
          <w:szCs w:val="22"/>
        </w:rPr>
        <w:t xml:space="preserve"> Leasing pay additional right-of-way use fees. </w:t>
      </w:r>
    </w:p>
    <w:p w:rsidR="000816AE" w:rsidRPr="00443249" w:rsidP="000816AE" w14:paraId="5C892C62" w14:textId="77777777">
      <w:pPr>
        <w:widowControl/>
        <w:autoSpaceDE w:val="0"/>
        <w:autoSpaceDN w:val="0"/>
        <w:adjustRightInd w:val="0"/>
        <w:spacing w:after="200"/>
        <w:ind w:firstLine="720"/>
        <w:rPr>
          <w:rFonts w:eastAsia="Calibri"/>
          <w:color w:val="000000"/>
          <w:szCs w:val="22"/>
        </w:rPr>
      </w:pPr>
      <w:r>
        <w:rPr>
          <w:rFonts w:eastAsia="Calibri"/>
          <w:color w:val="000000"/>
          <w:szCs w:val="22"/>
        </w:rPr>
        <w:t xml:space="preserve">Interested parties may file comments or oppositions to the Petitions on or before </w:t>
      </w:r>
      <w:r>
        <w:rPr>
          <w:rFonts w:eastAsia="Calibri"/>
          <w:b/>
          <w:color w:val="000000"/>
          <w:szCs w:val="22"/>
        </w:rPr>
        <w:t>March 23</w:t>
      </w:r>
      <w:r w:rsidRPr="00EB46B4">
        <w:rPr>
          <w:rFonts w:eastAsia="Calibri"/>
          <w:b/>
          <w:color w:val="000000"/>
          <w:szCs w:val="22"/>
        </w:rPr>
        <w:t>, 20</w:t>
      </w:r>
      <w:r>
        <w:rPr>
          <w:rFonts w:eastAsia="Calibri"/>
          <w:b/>
          <w:color w:val="000000"/>
          <w:szCs w:val="22"/>
        </w:rPr>
        <w:t>20</w:t>
      </w:r>
      <w:r>
        <w:rPr>
          <w:rFonts w:eastAsia="Calibri"/>
          <w:color w:val="000000"/>
          <w:szCs w:val="22"/>
        </w:rPr>
        <w:t xml:space="preserve"> and reply </w:t>
      </w:r>
      <w:r w:rsidRPr="00B61403">
        <w:rPr>
          <w:szCs w:val="22"/>
        </w:rPr>
        <w:t>comments</w:t>
      </w:r>
      <w:r>
        <w:rPr>
          <w:rFonts w:eastAsia="Calibri"/>
          <w:color w:val="000000"/>
          <w:szCs w:val="22"/>
        </w:rPr>
        <w:t xml:space="preserve"> on or before </w:t>
      </w:r>
      <w:r>
        <w:rPr>
          <w:rFonts w:eastAsia="Calibri"/>
          <w:b/>
          <w:bCs/>
          <w:color w:val="000000"/>
          <w:szCs w:val="22"/>
        </w:rPr>
        <w:t>April 7</w:t>
      </w:r>
      <w:r>
        <w:rPr>
          <w:rFonts w:eastAsia="Calibri"/>
          <w:b/>
          <w:color w:val="000000"/>
          <w:szCs w:val="22"/>
        </w:rPr>
        <w:t>, 2020</w:t>
      </w:r>
      <w:r>
        <w:rPr>
          <w:rFonts w:eastAsia="Calibri"/>
          <w:color w:val="000000"/>
          <w:szCs w:val="22"/>
        </w:rPr>
        <w:t xml:space="preserve">.  </w:t>
      </w:r>
      <w:r w:rsidRPr="00443249">
        <w:rPr>
          <w:rFonts w:eastAsia="Calibri"/>
          <w:color w:val="000000"/>
          <w:szCs w:val="22"/>
        </w:rPr>
        <w:t xml:space="preserve">Comments </w:t>
      </w:r>
      <w:r>
        <w:rPr>
          <w:rFonts w:eastAsia="Calibri"/>
          <w:color w:val="000000"/>
          <w:szCs w:val="22"/>
        </w:rPr>
        <w:t xml:space="preserve">and replies thereto, </w:t>
      </w:r>
      <w:r w:rsidRPr="00443249">
        <w:rPr>
          <w:rFonts w:eastAsia="Calibri"/>
          <w:color w:val="000000"/>
          <w:szCs w:val="22"/>
        </w:rPr>
        <w:t xml:space="preserve">should reference </w:t>
      </w:r>
      <w:r w:rsidRPr="0095457F">
        <w:rPr>
          <w:rFonts w:eastAsia="Calibri"/>
          <w:b/>
          <w:szCs w:val="22"/>
        </w:rPr>
        <w:t xml:space="preserve">WC </w:t>
      </w:r>
      <w:r w:rsidRPr="004C4552">
        <w:rPr>
          <w:rFonts w:eastAsia="Calibri"/>
          <w:b/>
          <w:szCs w:val="22"/>
        </w:rPr>
        <w:t>Docket No. 20-46</w:t>
      </w:r>
      <w:r w:rsidRPr="004C4552">
        <w:rPr>
          <w:rFonts w:eastAsia="Calibri"/>
          <w:szCs w:val="22"/>
        </w:rPr>
        <w:t xml:space="preserve"> and</w:t>
      </w:r>
      <w:r w:rsidRPr="00443249">
        <w:rPr>
          <w:rFonts w:eastAsia="Calibri"/>
          <w:szCs w:val="22"/>
        </w:rPr>
        <w:t xml:space="preserve"> </w:t>
      </w:r>
      <w:r w:rsidRPr="00443249">
        <w:rPr>
          <w:rFonts w:eastAsia="Calibri"/>
          <w:color w:val="000000"/>
          <w:szCs w:val="22"/>
        </w:rPr>
        <w:t>may be filed using the Commission’s Electronic Comment Filing System (ECFS).</w:t>
      </w:r>
      <w:r>
        <w:rPr>
          <w:rStyle w:val="FootnoteReference"/>
          <w:rFonts w:eastAsia="Calibri"/>
          <w:szCs w:val="22"/>
        </w:rPr>
        <w:footnoteReference w:id="9"/>
      </w:r>
      <w:r w:rsidRPr="00443249">
        <w:rPr>
          <w:rFonts w:eastAsia="Calibri"/>
          <w:color w:val="000000"/>
          <w:szCs w:val="22"/>
        </w:rPr>
        <w:t xml:space="preserve">  </w:t>
      </w:r>
    </w:p>
    <w:p w:rsidR="000816AE" w:rsidRPr="00416470" w:rsidP="000816AE" w14:paraId="1578A07E" w14:textId="77777777">
      <w:pPr>
        <w:widowControl/>
        <w:numPr>
          <w:ilvl w:val="0"/>
          <w:numId w:val="7"/>
        </w:numPr>
        <w:spacing w:after="120"/>
        <w:rPr>
          <w:rFonts w:eastAsia="Calibri"/>
          <w:szCs w:val="22"/>
        </w:rPr>
      </w:pPr>
      <w:r w:rsidRPr="00443249">
        <w:rPr>
          <w:rFonts w:eastAsia="Calibri"/>
          <w:szCs w:val="22"/>
        </w:rPr>
        <w:t>Electronic Filers:  Comments</w:t>
      </w:r>
      <w:r>
        <w:rPr>
          <w:rFonts w:eastAsia="Calibri"/>
          <w:szCs w:val="22"/>
        </w:rPr>
        <w:t xml:space="preserve"> and oppositions</w:t>
      </w:r>
      <w:r w:rsidRPr="00443249">
        <w:rPr>
          <w:rFonts w:eastAsia="Calibri"/>
          <w:szCs w:val="22"/>
        </w:rPr>
        <w:t xml:space="preserve"> may be filed electronically using the Internet by accessing the ECFS:  </w:t>
      </w:r>
      <w:hyperlink r:id="rId5" w:history="1">
        <w:r w:rsidRPr="00D15479">
          <w:rPr>
            <w:rStyle w:val="Hyperlink"/>
            <w:rFonts w:eastAsia="Calibri"/>
            <w:szCs w:val="22"/>
          </w:rPr>
          <w:t>http://fjallfoss.fcc.gov/ecfs2/</w:t>
        </w:r>
      </w:hyperlink>
      <w:r w:rsidRPr="00443249">
        <w:rPr>
          <w:rFonts w:eastAsia="Calibri"/>
          <w:szCs w:val="22"/>
        </w:rPr>
        <w:t>.</w:t>
      </w:r>
    </w:p>
    <w:p w:rsidR="000816AE" w:rsidRPr="00416470" w:rsidP="000816AE" w14:paraId="4FB1C309" w14:textId="77777777">
      <w:pPr>
        <w:widowControl/>
        <w:numPr>
          <w:ilvl w:val="0"/>
          <w:numId w:val="7"/>
        </w:numPr>
        <w:spacing w:after="120"/>
        <w:rPr>
          <w:rFonts w:eastAsia="Calibri"/>
          <w:szCs w:val="22"/>
        </w:rPr>
      </w:pPr>
      <w:r w:rsidRPr="00443249">
        <w:rPr>
          <w:rFonts w:eastAsia="Calibri"/>
          <w:szCs w:val="22"/>
        </w:rPr>
        <w:t>Paper Filers:  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w:t>
      </w:r>
    </w:p>
    <w:p w:rsidR="000816AE" w:rsidRPr="00416470" w:rsidP="000816AE" w14:paraId="71941220" w14:textId="77777777">
      <w:pPr>
        <w:widowControl/>
        <w:numPr>
          <w:ilvl w:val="0"/>
          <w:numId w:val="8"/>
        </w:numPr>
        <w:spacing w:after="120"/>
        <w:ind w:left="1080"/>
        <w:rPr>
          <w:rFonts w:eastAsia="Calibri"/>
          <w:szCs w:val="22"/>
        </w:rPr>
      </w:pPr>
      <w:r w:rsidRPr="00443249">
        <w:rPr>
          <w:rFonts w:eastAsia="Calibri"/>
          <w:szCs w:val="22"/>
        </w:rPr>
        <w:t xml:space="preserve">All hand-delivered or messenger-delivered paper filings for the Commission’s Secretary must be delivered to FCC Headquarters at 445 12th Street, SW, Room TW-A325, Washington, DC 20554.  The filing hours are 8:00 a.m. to 7:00 p.m.  All hand deliveries must be held together with rubber bands or fasteners.  Any envelopes and boxes must be disposed of </w:t>
      </w:r>
      <w:r w:rsidRPr="00443249">
        <w:rPr>
          <w:rFonts w:eastAsia="Calibri"/>
          <w:szCs w:val="22"/>
          <w:u w:val="single"/>
        </w:rPr>
        <w:t>before</w:t>
      </w:r>
      <w:r w:rsidRPr="00443249">
        <w:rPr>
          <w:rFonts w:eastAsia="Calibri"/>
          <w:szCs w:val="22"/>
        </w:rPr>
        <w:t xml:space="preserve"> entering the building.</w:t>
      </w:r>
    </w:p>
    <w:p w:rsidR="000816AE" w:rsidRPr="00416470" w:rsidP="000816AE" w14:paraId="58883801" w14:textId="77777777">
      <w:pPr>
        <w:widowControl/>
        <w:numPr>
          <w:ilvl w:val="0"/>
          <w:numId w:val="8"/>
        </w:numPr>
        <w:spacing w:after="120"/>
        <w:ind w:left="1080"/>
        <w:rPr>
          <w:rFonts w:eastAsia="Calibri"/>
          <w:szCs w:val="22"/>
        </w:rPr>
      </w:pPr>
      <w:r w:rsidRPr="00443249">
        <w:rPr>
          <w:rFonts w:eastAsia="Calibri"/>
          <w:szCs w:val="22"/>
        </w:rPr>
        <w:t>Commercial overnight mail (other than U.S. Postal Service Express Mail and Priority Mail) must be sent to 9300 East Hampton Drive, Capitol Heights, MD 20743.</w:t>
      </w:r>
    </w:p>
    <w:p w:rsidR="000816AE" w:rsidRPr="00443249" w:rsidP="000816AE" w14:paraId="7CD96B3B" w14:textId="77777777">
      <w:pPr>
        <w:widowControl/>
        <w:numPr>
          <w:ilvl w:val="0"/>
          <w:numId w:val="8"/>
        </w:numPr>
        <w:spacing w:after="120"/>
        <w:ind w:left="1080"/>
        <w:rPr>
          <w:rFonts w:eastAsia="Calibri"/>
          <w:szCs w:val="22"/>
        </w:rPr>
      </w:pPr>
      <w:r w:rsidRPr="00443249">
        <w:rPr>
          <w:rFonts w:eastAsia="Calibri"/>
          <w:szCs w:val="22"/>
        </w:rPr>
        <w:t>U.S. Postal Service first-class, Express, and Priority mail must be addressed to 445 12th Street, SW, Washington DC 20554.</w:t>
      </w:r>
    </w:p>
    <w:p w:rsidR="000816AE" w:rsidRPr="00443249" w:rsidP="000816AE" w14:paraId="3BF3B3B7" w14:textId="77777777">
      <w:pPr>
        <w:ind w:firstLine="720"/>
        <w:contextualSpacing/>
        <w:rPr>
          <w:rFonts w:eastAsia="Calibri"/>
          <w:szCs w:val="22"/>
        </w:rPr>
      </w:pPr>
      <w:r w:rsidRPr="00443249">
        <w:rPr>
          <w:rFonts w:eastAsia="Calibri"/>
          <w:szCs w:val="22"/>
        </w:rPr>
        <w:t xml:space="preserve">People with Disabilities:  To request materials in accessible formats for people with </w:t>
      </w:r>
      <w:r>
        <w:rPr>
          <w:rFonts w:eastAsia="Calibri"/>
          <w:szCs w:val="22"/>
        </w:rPr>
        <w:t xml:space="preserve">disability </w:t>
      </w:r>
      <w:r w:rsidRPr="00443249">
        <w:rPr>
          <w:rFonts w:eastAsia="Calibri"/>
          <w:szCs w:val="22"/>
        </w:rPr>
        <w:t>es</w:t>
      </w:r>
    </w:p>
    <w:p w:rsidR="000816AE" w:rsidRPr="00443249" w:rsidP="000816AE" w14:paraId="0F4241EF" w14:textId="77777777">
      <w:pPr>
        <w:spacing w:after="120"/>
        <w:rPr>
          <w:rFonts w:eastAsia="Calibri"/>
          <w:szCs w:val="22"/>
        </w:rPr>
      </w:pPr>
      <w:r w:rsidRPr="00443249">
        <w:rPr>
          <w:rFonts w:eastAsia="Calibri"/>
          <w:szCs w:val="22"/>
        </w:rPr>
        <w:t xml:space="preserve">(Braille, large print, electronic files, audio format), send an e-mail to </w:t>
      </w:r>
      <w:r w:rsidRPr="00A14B49">
        <w:rPr>
          <w:rFonts w:eastAsia="Calibri"/>
          <w:szCs w:val="22"/>
        </w:rPr>
        <w:t xml:space="preserve">fcc504@fcc.gov </w:t>
      </w:r>
      <w:r w:rsidRPr="00443249">
        <w:rPr>
          <w:rFonts w:eastAsia="Calibri"/>
          <w:szCs w:val="22"/>
        </w:rPr>
        <w:t>or call the Consumer &amp; Governmental Affairs Bureau at (202) 418-0530 (voice) or (202) 418-0432 (tty).</w:t>
      </w:r>
    </w:p>
    <w:p w:rsidR="000816AE" w:rsidRPr="00CE39B7" w:rsidP="000816AE" w14:paraId="7BE8281D" w14:textId="77777777">
      <w:pPr>
        <w:spacing w:after="120"/>
        <w:ind w:firstLine="720"/>
        <w:rPr>
          <w:szCs w:val="22"/>
        </w:rPr>
      </w:pPr>
      <w:r>
        <w:rPr>
          <w:szCs w:val="22"/>
        </w:rPr>
        <w:t xml:space="preserve">The proceeding this Notice initiates shall be treated </w:t>
      </w:r>
      <w:r w:rsidRPr="00443249">
        <w:rPr>
          <w:szCs w:val="22"/>
        </w:rPr>
        <w:t xml:space="preserve">as a “permit-but-disclose” proceeding in accordance with the Commission’s </w:t>
      </w:r>
      <w:r w:rsidRPr="00443249">
        <w:rPr>
          <w:i/>
          <w:iCs/>
          <w:szCs w:val="22"/>
        </w:rPr>
        <w:t xml:space="preserve">ex parte </w:t>
      </w:r>
      <w:r w:rsidRPr="00443249">
        <w:rPr>
          <w:szCs w:val="22"/>
        </w:rPr>
        <w:t>rules.</w:t>
      </w:r>
      <w:r>
        <w:rPr>
          <w:rStyle w:val="FootnoteReference"/>
          <w:szCs w:val="22"/>
        </w:rPr>
        <w:footnoteReference w:id="10"/>
      </w:r>
      <w:r w:rsidRPr="00443249">
        <w:rPr>
          <w:szCs w:val="22"/>
        </w:rPr>
        <w:t xml:space="preserve">  Persons making </w:t>
      </w:r>
      <w:r w:rsidRPr="00443249">
        <w:rPr>
          <w:i/>
          <w:szCs w:val="22"/>
        </w:rPr>
        <w:t xml:space="preserve">ex parte </w:t>
      </w:r>
      <w:r w:rsidRPr="00443249">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443249">
        <w:rPr>
          <w:i/>
          <w:iCs/>
          <w:szCs w:val="22"/>
        </w:rPr>
        <w:t xml:space="preserve">ex parte </w:t>
      </w:r>
      <w:r w:rsidRPr="00443249">
        <w:rPr>
          <w:szCs w:val="22"/>
        </w:rPr>
        <w:t xml:space="preserve">presentations are reminded that memoranda summarizing the presentation must (1) list all persons attending or otherwise participating in the meeting at which the </w:t>
      </w:r>
      <w:r w:rsidRPr="00443249">
        <w:rPr>
          <w:i/>
          <w:iCs/>
          <w:szCs w:val="22"/>
        </w:rPr>
        <w:t xml:space="preserve">ex parte </w:t>
      </w:r>
      <w:r w:rsidRPr="00443249">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443249">
        <w:rPr>
          <w:i/>
          <w:iCs/>
          <w:szCs w:val="22"/>
        </w:rPr>
        <w:t xml:space="preserve">ex parte </w:t>
      </w:r>
      <w:r w:rsidRPr="00443249">
        <w:rPr>
          <w:szCs w:val="22"/>
        </w:rPr>
        <w:t xml:space="preserve">meetings are deemed to be written </w:t>
      </w:r>
      <w:r w:rsidRPr="00443249">
        <w:rPr>
          <w:i/>
          <w:iCs/>
          <w:szCs w:val="22"/>
        </w:rPr>
        <w:t>ex parte</w:t>
      </w:r>
      <w:r w:rsidRPr="00443249">
        <w:rPr>
          <w:szCs w:val="22"/>
        </w:rPr>
        <w:t xml:space="preserve"> presentations and must be filed consistent with rule 1.1206(b).  In proceedings governed by rule 1.49(f) or for which the Commission has made available a method of electronic filing, written </w:t>
      </w:r>
      <w:r w:rsidRPr="00443249">
        <w:rPr>
          <w:i/>
          <w:iCs/>
          <w:szCs w:val="22"/>
        </w:rPr>
        <w:t xml:space="preserve">ex parte </w:t>
      </w:r>
      <w:r w:rsidRPr="00443249">
        <w:rPr>
          <w:szCs w:val="22"/>
        </w:rPr>
        <w:t xml:space="preserve">presentations and memoranda summarizing oral </w:t>
      </w:r>
      <w:r w:rsidRPr="00443249">
        <w:rPr>
          <w:i/>
          <w:iCs/>
          <w:szCs w:val="22"/>
        </w:rPr>
        <w:t xml:space="preserve">ex parte </w:t>
      </w:r>
      <w:r w:rsidRPr="00443249">
        <w:rPr>
          <w:szCs w:val="22"/>
        </w:rPr>
        <w:t xml:space="preserve">presentations, and all attachments thereto, must be filed through the electronic comment </w:t>
      </w:r>
      <w:r w:rsidRPr="00443249">
        <w:rPr>
          <w:szCs w:val="22"/>
        </w:rPr>
        <w:t xml:space="preserve">filing </w:t>
      </w:r>
      <w:r w:rsidRPr="006147A5">
        <w:rPr>
          <w:szCs w:val="22"/>
        </w:rPr>
        <w:t>system available for that proceeding, and must be filed in their native format (</w:t>
      </w:r>
      <w:r w:rsidRPr="006147A5">
        <w:rPr>
          <w:iCs/>
          <w:szCs w:val="22"/>
        </w:rPr>
        <w:t>e.g.</w:t>
      </w:r>
      <w:r w:rsidRPr="006147A5">
        <w:rPr>
          <w:szCs w:val="22"/>
        </w:rPr>
        <w:t xml:space="preserve">, .doc, .xml, .ppt, searchable .pdf).  Participants in this proceeding should familiarize themselves with the Commission’s </w:t>
      </w:r>
      <w:r w:rsidRPr="006147A5">
        <w:rPr>
          <w:i/>
          <w:iCs/>
          <w:szCs w:val="22"/>
        </w:rPr>
        <w:t xml:space="preserve">ex parte </w:t>
      </w:r>
      <w:r w:rsidRPr="006147A5">
        <w:rPr>
          <w:szCs w:val="22"/>
        </w:rPr>
        <w:t>rules.</w:t>
      </w:r>
    </w:p>
    <w:p w:rsidR="000816AE" w:rsidRPr="00443249" w:rsidP="000816AE" w14:paraId="1457ECE1" w14:textId="77777777">
      <w:pPr>
        <w:ind w:firstLine="720"/>
        <w:contextualSpacing/>
        <w:rPr>
          <w:rFonts w:eastAsia="Calibri"/>
          <w:szCs w:val="22"/>
        </w:rPr>
      </w:pPr>
      <w:r w:rsidRPr="006147A5">
        <w:rPr>
          <w:rFonts w:eastAsia="Calibri"/>
          <w:szCs w:val="22"/>
        </w:rPr>
        <w:t xml:space="preserve">For further information, </w:t>
      </w:r>
      <w:r w:rsidRPr="00116983">
        <w:rPr>
          <w:rFonts w:eastAsia="Calibri"/>
          <w:szCs w:val="22"/>
        </w:rPr>
        <w:t xml:space="preserve">please contact </w:t>
      </w:r>
      <w:r>
        <w:rPr>
          <w:rFonts w:eastAsia="Calibri"/>
          <w:szCs w:val="22"/>
        </w:rPr>
        <w:t>John Visclosky</w:t>
      </w:r>
      <w:r w:rsidRPr="00116983">
        <w:rPr>
          <w:rFonts w:eastAsia="Calibri"/>
          <w:szCs w:val="22"/>
        </w:rPr>
        <w:t>, Competition Policy Division, Wireline Competition Bureau, at (202) 418-</w:t>
      </w:r>
      <w:r>
        <w:rPr>
          <w:rFonts w:eastAsia="Calibri"/>
          <w:szCs w:val="22"/>
        </w:rPr>
        <w:t>0825</w:t>
      </w:r>
      <w:r w:rsidRPr="00116983">
        <w:rPr>
          <w:rFonts w:eastAsia="Calibri"/>
          <w:szCs w:val="22"/>
        </w:rPr>
        <w:t xml:space="preserve"> or via e-mail a</w:t>
      </w:r>
      <w:r>
        <w:rPr>
          <w:rFonts w:eastAsia="Calibri"/>
          <w:szCs w:val="22"/>
        </w:rPr>
        <w:t>t John.Visclosky</w:t>
      </w:r>
      <w:r w:rsidRPr="00116983">
        <w:rPr>
          <w:rFonts w:eastAsia="Calibri"/>
          <w:szCs w:val="22"/>
        </w:rPr>
        <w:t>@</w:t>
      </w:r>
      <w:r w:rsidRPr="006147A5">
        <w:rPr>
          <w:rFonts w:eastAsia="Calibri"/>
          <w:szCs w:val="22"/>
        </w:rPr>
        <w:t>fcc.gov.</w:t>
      </w:r>
    </w:p>
    <w:p w:rsidR="000816AE" w:rsidRPr="00443249" w:rsidP="000816AE" w14:paraId="0C272F76" w14:textId="77777777">
      <w:pPr>
        <w:contextualSpacing/>
        <w:rPr>
          <w:rFonts w:eastAsia="Calibri"/>
          <w:szCs w:val="22"/>
        </w:rPr>
      </w:pPr>
    </w:p>
    <w:p w:rsidR="000816AE" w:rsidRPr="00911C8F" w:rsidP="000816AE" w14:paraId="56546C6D" w14:textId="77777777">
      <w:pPr>
        <w:contextualSpacing/>
        <w:jc w:val="center"/>
        <w:rPr>
          <w:szCs w:val="22"/>
        </w:rPr>
      </w:pPr>
      <w:r w:rsidRPr="00443249">
        <w:rPr>
          <w:rFonts w:eastAsia="Calibri"/>
          <w:b/>
          <w:szCs w:val="22"/>
        </w:rPr>
        <w:t>- FCC -</w:t>
      </w:r>
    </w:p>
    <w:p w:rsidR="000816AE" w:rsidRPr="00930ECF" w:rsidP="000816AE" w14:paraId="7FD07207" w14:textId="77777777">
      <w:pPr>
        <w:rPr>
          <w:sz w:val="24"/>
        </w:rPr>
      </w:pPr>
    </w:p>
    <w:p w:rsidR="00F96F63" w:rsidRPr="00930ECF" w:rsidP="00F96F63" w14:paraId="650A8214" w14:textId="77777777">
      <w:pPr>
        <w:rPr>
          <w:sz w:val="24"/>
        </w:rPr>
      </w:pPr>
    </w:p>
    <w:bookmarkEnd w:id="0"/>
    <w:p w:rsidR="00F96F63" w:rsidP="00F96F63" w14:paraId="5F2D2C94" w14:textId="77777777">
      <w:pPr>
        <w:rPr>
          <w:sz w:val="24"/>
        </w:rPr>
      </w:pPr>
    </w:p>
    <w:p w:rsidR="00930ECF" w:rsidRPr="00930ECF" w:rsidP="00F96F63" w14:paraId="63141882" w14:textId="77777777">
      <w:pPr>
        <w:rPr>
          <w:sz w:val="24"/>
        </w:rPr>
      </w:pPr>
    </w:p>
    <w:sectPr w:rsidSect="000E5884">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55403D56"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1C7DE3F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2A831F6D"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7180ED29"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F5B80" w14:paraId="782BDB33" w14:textId="77777777">
      <w:r>
        <w:separator/>
      </w:r>
    </w:p>
  </w:footnote>
  <w:footnote w:type="continuationSeparator" w:id="1">
    <w:p w:rsidR="008F5B80" w14:paraId="213B48D3" w14:textId="77777777">
      <w:pPr>
        <w:rPr>
          <w:sz w:val="20"/>
        </w:rPr>
      </w:pPr>
      <w:r>
        <w:rPr>
          <w:sz w:val="20"/>
        </w:rPr>
        <w:t xml:space="preserve">(Continued from previous page)  </w:t>
      </w:r>
      <w:r>
        <w:rPr>
          <w:sz w:val="20"/>
        </w:rPr>
        <w:separator/>
      </w:r>
    </w:p>
  </w:footnote>
  <w:footnote w:type="continuationNotice" w:id="2">
    <w:p w:rsidR="008F5B80" w:rsidP="00910F12" w14:paraId="24C5963C" w14:textId="77777777">
      <w:pPr>
        <w:jc w:val="right"/>
        <w:rPr>
          <w:sz w:val="20"/>
        </w:rPr>
      </w:pPr>
      <w:r>
        <w:rPr>
          <w:sz w:val="20"/>
        </w:rPr>
        <w:t>(continued….)</w:t>
      </w:r>
    </w:p>
  </w:footnote>
  <w:footnote w:id="3">
    <w:p w:rsidR="000816AE" w:rsidRPr="008855EC" w:rsidP="000816AE" w14:paraId="7AB36DFA" w14:textId="77777777">
      <w:pPr>
        <w:pStyle w:val="FootnoteText"/>
        <w:rPr>
          <w:i/>
          <w:iCs/>
        </w:rPr>
      </w:pPr>
      <w:r>
        <w:rPr>
          <w:rStyle w:val="FootnoteReference"/>
        </w:rPr>
        <w:footnoteRef/>
      </w:r>
      <w:r>
        <w:t xml:space="preserve"> </w:t>
      </w:r>
      <w:r w:rsidRPr="008855EC">
        <w:rPr>
          <w:i/>
          <w:iCs/>
        </w:rPr>
        <w:t xml:space="preserve">Petition of Missouri Network Alliance, LLC d/b/a Bluebird Network and </w:t>
      </w:r>
      <w:r w:rsidRPr="008855EC">
        <w:rPr>
          <w:i/>
          <w:iCs/>
        </w:rPr>
        <w:t>Uniti</w:t>
      </w:r>
      <w:r w:rsidRPr="008855EC">
        <w:rPr>
          <w:i/>
          <w:iCs/>
        </w:rPr>
        <w:t xml:space="preserve"> Leasing MW LLC for Preemption and Declaratory Ruling </w:t>
      </w:r>
      <w:r w:rsidRPr="00CA7AF0">
        <w:rPr>
          <w:i/>
          <w:iCs/>
        </w:rPr>
        <w:t>Pursuant to Section 253(d) of the Communications Act of 1934</w:t>
      </w:r>
      <w:r w:rsidRPr="00CA7AF0">
        <w:t xml:space="preserve"> (filed Feb. 13, 2020), </w:t>
      </w:r>
      <w:hyperlink r:id="rId1" w:history="1">
        <w:r>
          <w:rPr>
            <w:rStyle w:val="Hyperlink"/>
          </w:rPr>
          <w:t>https://www.fcc.gov/ecfs/filing/102131703729463</w:t>
        </w:r>
      </w:hyperlink>
      <w:r>
        <w:t xml:space="preserve"> </w:t>
      </w:r>
      <w:r w:rsidRPr="00CA7AF0">
        <w:t>(Petition).</w:t>
      </w:r>
    </w:p>
  </w:footnote>
  <w:footnote w:id="4">
    <w:p w:rsidR="000816AE" w:rsidP="000816AE" w14:paraId="508EFE57" w14:textId="77777777">
      <w:pPr>
        <w:pStyle w:val="FootnoteText"/>
      </w:pPr>
      <w:r>
        <w:rPr>
          <w:rStyle w:val="FootnoteReference"/>
        </w:rPr>
        <w:footnoteRef/>
      </w:r>
      <w:r>
        <w:t xml:space="preserve"> Petition at 4, 6-8.  </w:t>
      </w:r>
    </w:p>
  </w:footnote>
  <w:footnote w:id="5">
    <w:p w:rsidR="000816AE" w:rsidP="000816AE" w14:paraId="18C02673" w14:textId="77777777">
      <w:pPr>
        <w:pStyle w:val="FootnoteText"/>
      </w:pPr>
      <w:r>
        <w:rPr>
          <w:rStyle w:val="FootnoteReference"/>
        </w:rPr>
        <w:footnoteRef/>
      </w:r>
      <w:r>
        <w:t xml:space="preserve"> Petition at 1, 6.  Petitioners explain that a leaseback arrangement exists between Bluebird and </w:t>
      </w:r>
      <w:r>
        <w:t>Uniti</w:t>
      </w:r>
      <w:r>
        <w:t xml:space="preserve"> Leasing due to a transaction in which indirect ownership of Bluebird was transferred to MIP IV Midwest Fiber, LLC (MIP), MIP sold the Network and real property interests (previously owned by Bluebird’s parent, Bluebird LLC) to </w:t>
      </w:r>
      <w:r>
        <w:t>Uniti</w:t>
      </w:r>
      <w:r>
        <w:t xml:space="preserve"> Leasing, and </w:t>
      </w:r>
      <w:r>
        <w:t>Uniti</w:t>
      </w:r>
      <w:r>
        <w:t xml:space="preserve"> Leasing leased the Network and real property interests back to Bluebird, which continues to operate and use it to serve telecommunications customers.  </w:t>
      </w:r>
      <w:r>
        <w:rPr>
          <w:i/>
          <w:iCs/>
        </w:rPr>
        <w:t>Id</w:t>
      </w:r>
      <w:r>
        <w:t xml:space="preserve">. at 2, 5-6.  Petitioners assert that </w:t>
      </w:r>
      <w:r>
        <w:t>Uniti</w:t>
      </w:r>
      <w:r>
        <w:t xml:space="preserve"> Leasing does not provide communications services or use, operate, or maintain the Network.  </w:t>
      </w:r>
      <w:r>
        <w:rPr>
          <w:i/>
          <w:iCs/>
        </w:rPr>
        <w:t>Id</w:t>
      </w:r>
      <w:r>
        <w:t>. at 2.</w:t>
      </w:r>
    </w:p>
  </w:footnote>
  <w:footnote w:id="6">
    <w:p w:rsidR="000816AE" w:rsidRPr="00A34177" w:rsidP="000816AE" w14:paraId="1E8FD143" w14:textId="77777777">
      <w:pPr>
        <w:pStyle w:val="FootnoteText"/>
      </w:pPr>
      <w:r>
        <w:rPr>
          <w:rStyle w:val="FootnoteReference"/>
        </w:rPr>
        <w:footnoteRef/>
      </w:r>
      <w:r>
        <w:t xml:space="preserve"> Petition at 8-11.  </w:t>
      </w:r>
    </w:p>
  </w:footnote>
  <w:footnote w:id="7">
    <w:p w:rsidR="000816AE" w:rsidP="000816AE" w14:paraId="0E5BB5C2" w14:textId="77777777">
      <w:pPr>
        <w:pStyle w:val="FootnoteText"/>
      </w:pPr>
      <w:r>
        <w:rPr>
          <w:rStyle w:val="FootnoteReference"/>
        </w:rPr>
        <w:footnoteRef/>
      </w:r>
      <w:r>
        <w:t xml:space="preserve"> 47 U.S.C. § 253(a) (</w:t>
      </w:r>
      <w:r>
        <w:rPr>
          <w:szCs w:val="22"/>
        </w:rPr>
        <w:t>providing that “</w:t>
      </w:r>
      <w:r>
        <w:t>[n]o State or local statute or regulation, or other State or local requirement, may prohibit or have the effect of prohibiting the ability of any entity to provide any interstate or intrastate telecommunications service”).</w:t>
      </w:r>
    </w:p>
  </w:footnote>
  <w:footnote w:id="8">
    <w:p w:rsidR="000816AE" w:rsidP="000816AE" w14:paraId="6F5892B7" w14:textId="77777777">
      <w:pPr>
        <w:pStyle w:val="FootnoteText"/>
      </w:pPr>
      <w:r>
        <w:rPr>
          <w:rStyle w:val="FootnoteReference"/>
        </w:rPr>
        <w:footnoteRef/>
      </w:r>
      <w:r>
        <w:t xml:space="preserve"> 47 U.S.C. § 253(d) (providing that the Commission shall, after notice and an opportunity for public comment, preempt the enforcement of a State or local government statute, regulation, or legal requirement that it determines violates Section 253(a) or (b) of the Communications Act “to the extent necessary to correct such violation or inconsistency”).</w:t>
      </w:r>
    </w:p>
  </w:footnote>
  <w:footnote w:id="9">
    <w:p w:rsidR="000816AE" w:rsidP="000816AE" w14:paraId="34015C02" w14:textId="77777777">
      <w:pPr>
        <w:pStyle w:val="FootnoteText"/>
      </w:pPr>
      <w:r>
        <w:rPr>
          <w:rStyle w:val="FootnoteReference"/>
        </w:rPr>
        <w:footnoteRef/>
      </w:r>
      <w:r>
        <w:t xml:space="preserve"> </w:t>
      </w:r>
      <w:r w:rsidRPr="00CA7AF0">
        <w:rPr>
          <w:rFonts w:eastAsia="Calibri"/>
          <w:i/>
          <w:color w:val="000000"/>
          <w:szCs w:val="22"/>
        </w:rPr>
        <w:t>See</w:t>
      </w:r>
      <w:r w:rsidRPr="00CA7AF0">
        <w:rPr>
          <w:rFonts w:eastAsia="Calibri"/>
          <w:color w:val="000000"/>
          <w:szCs w:val="22"/>
        </w:rPr>
        <w:t xml:space="preserve"> </w:t>
      </w:r>
      <w:r w:rsidRPr="00CA7AF0">
        <w:rPr>
          <w:rFonts w:eastAsia="Calibri"/>
          <w:i/>
          <w:color w:val="000000"/>
          <w:szCs w:val="22"/>
        </w:rPr>
        <w:t>Electronic Filing of Documents in Rulemaking Proceedings</w:t>
      </w:r>
      <w:r w:rsidRPr="00CA7AF0">
        <w:rPr>
          <w:rFonts w:eastAsia="Calibri"/>
          <w:color w:val="000000"/>
          <w:szCs w:val="22"/>
        </w:rPr>
        <w:t>, 63 FR 24121 (1998).</w:t>
      </w:r>
      <w:r>
        <w:rPr>
          <w:rFonts w:eastAsia="Calibri"/>
          <w:color w:val="000000"/>
          <w:szCs w:val="22"/>
        </w:rPr>
        <w:t xml:space="preserve">  </w:t>
      </w:r>
    </w:p>
  </w:footnote>
  <w:footnote w:id="10">
    <w:p w:rsidR="000816AE" w:rsidRPr="001B64A7" w:rsidP="000816AE" w14:paraId="3333975D" w14:textId="77777777">
      <w:pPr>
        <w:pStyle w:val="FootnoteText"/>
      </w:pPr>
      <w:r w:rsidRPr="001B64A7">
        <w:rPr>
          <w:rStyle w:val="FootnoteReference"/>
        </w:rPr>
        <w:footnoteRef/>
      </w:r>
      <w:r w:rsidRPr="001B64A7">
        <w:t xml:space="preserve"> 47 CFR § 1.1200 </w:t>
      </w:r>
      <w:r w:rsidRPr="001B64A7">
        <w:rPr>
          <w:i/>
          <w:iCs/>
        </w:rPr>
        <w:t>et seq</w:t>
      </w:r>
      <w:r w:rsidRPr="001B64A7">
        <w:rPr>
          <w:iC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02001FCF" w14:textId="118E0535">
    <w:pPr>
      <w:tabs>
        <w:tab w:val="center" w:pos="4680"/>
        <w:tab w:val="right" w:pos="9360"/>
      </w:tabs>
    </w:pPr>
    <w:r w:rsidRPr="009838BC">
      <w:rPr>
        <w:b/>
      </w:rPr>
      <w:tab/>
      <w:t>Federal Communications Commission</w:t>
    </w:r>
    <w:r w:rsidRPr="009838BC">
      <w:rPr>
        <w:b/>
      </w:rPr>
      <w:tab/>
    </w:r>
    <w:r w:rsidR="00FA79CF">
      <w:rPr>
        <w:b/>
      </w:rPr>
      <w:t>DA 20-178</w:t>
    </w:r>
  </w:p>
  <w:p w:rsidR="009838BC" w:rsidRPr="00FA79CF" w:rsidP="00FA79CF" w14:paraId="3FF25D6E" w14:textId="106A8910">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4144" o:allowincell="f" fillcolor="black" stroked="f" strokeweight="0.05pt">
          <w10:wrap anchorx="margin"/>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16380A83"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8240" o:allowincell="f" stroked="f">
          <v:textbox>
            <w:txbxContent>
              <w:p w:rsidR="009838BC" w:rsidP="009838BC" w14:paraId="06F9EE55" w14:textId="77777777">
                <w:pPr>
                  <w:rPr>
                    <w:rFonts w:ascii="Arial" w:hAnsi="Arial"/>
                    <w:b/>
                  </w:rPr>
                </w:pPr>
                <w:r>
                  <w:rPr>
                    <w:rFonts w:ascii="Arial" w:hAnsi="Arial"/>
                    <w:b/>
                  </w:rPr>
                  <w:t>Federal Communications Commission</w:t>
                </w:r>
              </w:p>
              <w:p w:rsidR="009838BC" w:rsidP="009838BC" w14:paraId="3D38D964"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48F8B91B"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59264" o:allowincell="f">
          <v:imagedata r:id="rId1" o:title="fcc_logo"/>
          <w10:wrap type="topAndBottom"/>
        </v:shape>
      </w:pict>
    </w:r>
    <w:r w:rsidRPr="00A866AC">
      <w:rPr>
        <w:rFonts w:ascii="Arial" w:hAnsi="Arial" w:cs="Arial"/>
        <w:b/>
        <w:sz w:val="96"/>
      </w:rPr>
      <w:t>PUBLIC NOTICE</w:t>
    </w:r>
  </w:p>
  <w:p w:rsidR="009838BC" w:rsidRPr="00357D50" w:rsidP="009838BC" w14:paraId="7EF81110"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0288" from="428pt,56.7pt" to="896pt,56.7pt" o:allowincell="f">
          <w10:wrap anchorx="margin"/>
        </v:line>
      </w:pict>
    </w:r>
    <w:r>
      <w:rPr>
        <w:noProof/>
      </w:rPr>
      <w:pict>
        <v:shape id="Text Box 9" o:spid="_x0000_s2053" type="#_x0000_t202" style="width:207.95pt;height:35.25pt;margin-top:14.05pt;margin-left:263.25pt;position:absolute;visibility:visible;z-index:251661312" o:allowincell="f" stroked="f">
          <v:textbox inset=",0,,0">
            <w:txbxContent>
              <w:p w:rsidR="009838BC" w:rsidP="009838BC" w14:paraId="62AFA04C" w14:textId="77777777">
                <w:pPr>
                  <w:spacing w:before="40"/>
                  <w:jc w:val="right"/>
                  <w:rPr>
                    <w:rFonts w:ascii="Arial" w:hAnsi="Arial"/>
                    <w:b/>
                    <w:sz w:val="16"/>
                  </w:rPr>
                </w:pPr>
                <w:r>
                  <w:rPr>
                    <w:rFonts w:ascii="Arial" w:hAnsi="Arial"/>
                    <w:b/>
                    <w:sz w:val="16"/>
                  </w:rPr>
                  <w:t>News Media Information 202 / 418-0500</w:t>
                </w:r>
              </w:p>
              <w:p w:rsidR="009838BC" w:rsidP="009838BC" w14:paraId="06A57129"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paraId="13F2D471" w14:textId="77777777">
                <w:pPr>
                  <w:jc w:val="right"/>
                </w:pPr>
                <w:r>
                  <w:rPr>
                    <w:rFonts w:ascii="Arial" w:hAnsi="Arial"/>
                    <w:b/>
                    <w:sz w:val="16"/>
                  </w:rPr>
                  <w:t>TTY: 1-888-835-5322</w:t>
                </w:r>
              </w:p>
            </w:txbxContent>
          </v:textbox>
        </v:shape>
      </w:pict>
    </w:r>
  </w:p>
  <w:p w:rsidR="006F7393" w:rsidRPr="009838BC" w:rsidP="009838BC" w14:paraId="0DB38BFA"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04E3A28"/>
    <w:multiLevelType w:val="hybridMultilevel"/>
    <w:tmpl w:val="89249F5A"/>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Aria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Arial"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Arial" w:hint="default"/>
      </w:rPr>
    </w:lvl>
    <w:lvl w:ilvl="8"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7">
    <w:nsid w:val="6CCE5AC5"/>
    <w:multiLevelType w:val="hybridMultilevel"/>
    <w:tmpl w:val="E9CA87EE"/>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Aria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Arial"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Arial" w:hint="default"/>
      </w:rPr>
    </w:lvl>
    <w:lvl w:ilvl="8"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6AE"/>
    <w:rsid w:val="000072CE"/>
    <w:rsid w:val="00013A8B"/>
    <w:rsid w:val="00021445"/>
    <w:rsid w:val="00036039"/>
    <w:rsid w:val="00037F90"/>
    <w:rsid w:val="000816AE"/>
    <w:rsid w:val="000875BF"/>
    <w:rsid w:val="00096D8C"/>
    <w:rsid w:val="000C0B65"/>
    <w:rsid w:val="000E3D42"/>
    <w:rsid w:val="000E5884"/>
    <w:rsid w:val="00116983"/>
    <w:rsid w:val="00122BD5"/>
    <w:rsid w:val="001979D9"/>
    <w:rsid w:val="001B64A7"/>
    <w:rsid w:val="001D6BCF"/>
    <w:rsid w:val="001E01CA"/>
    <w:rsid w:val="002060D9"/>
    <w:rsid w:val="00226822"/>
    <w:rsid w:val="00260594"/>
    <w:rsid w:val="00285017"/>
    <w:rsid w:val="002A2D2E"/>
    <w:rsid w:val="00343749"/>
    <w:rsid w:val="00357D50"/>
    <w:rsid w:val="003925DC"/>
    <w:rsid w:val="003B0550"/>
    <w:rsid w:val="003B694F"/>
    <w:rsid w:val="003F171C"/>
    <w:rsid w:val="00412FC5"/>
    <w:rsid w:val="00416470"/>
    <w:rsid w:val="00422276"/>
    <w:rsid w:val="004242F1"/>
    <w:rsid w:val="00443249"/>
    <w:rsid w:val="00445A00"/>
    <w:rsid w:val="00451B0F"/>
    <w:rsid w:val="0046125F"/>
    <w:rsid w:val="00487524"/>
    <w:rsid w:val="00496106"/>
    <w:rsid w:val="004C12D0"/>
    <w:rsid w:val="004C2EE3"/>
    <w:rsid w:val="004C4552"/>
    <w:rsid w:val="004E4A22"/>
    <w:rsid w:val="00511968"/>
    <w:rsid w:val="0055614C"/>
    <w:rsid w:val="00607BA5"/>
    <w:rsid w:val="006147A5"/>
    <w:rsid w:val="00626EB6"/>
    <w:rsid w:val="006353A3"/>
    <w:rsid w:val="00655D03"/>
    <w:rsid w:val="00683F84"/>
    <w:rsid w:val="006A6A81"/>
    <w:rsid w:val="006E26AF"/>
    <w:rsid w:val="006F7393"/>
    <w:rsid w:val="0070224F"/>
    <w:rsid w:val="007115F7"/>
    <w:rsid w:val="00785689"/>
    <w:rsid w:val="0079754B"/>
    <w:rsid w:val="007A1E6D"/>
    <w:rsid w:val="00822CE0"/>
    <w:rsid w:val="00837C62"/>
    <w:rsid w:val="00841AB1"/>
    <w:rsid w:val="008855EC"/>
    <w:rsid w:val="008C22FD"/>
    <w:rsid w:val="008F5B80"/>
    <w:rsid w:val="00910F12"/>
    <w:rsid w:val="00911C8F"/>
    <w:rsid w:val="00926503"/>
    <w:rsid w:val="00930ECF"/>
    <w:rsid w:val="0095457F"/>
    <w:rsid w:val="009838BC"/>
    <w:rsid w:val="00A14B49"/>
    <w:rsid w:val="00A34177"/>
    <w:rsid w:val="00A45F4F"/>
    <w:rsid w:val="00A600A9"/>
    <w:rsid w:val="00A866AC"/>
    <w:rsid w:val="00AA55B7"/>
    <w:rsid w:val="00AA5B9E"/>
    <w:rsid w:val="00AB2407"/>
    <w:rsid w:val="00AB53DF"/>
    <w:rsid w:val="00B07E5C"/>
    <w:rsid w:val="00B20363"/>
    <w:rsid w:val="00B326E3"/>
    <w:rsid w:val="00B61403"/>
    <w:rsid w:val="00B811F7"/>
    <w:rsid w:val="00BA5DC6"/>
    <w:rsid w:val="00BA6196"/>
    <w:rsid w:val="00BB028A"/>
    <w:rsid w:val="00BC6D8C"/>
    <w:rsid w:val="00C16AF2"/>
    <w:rsid w:val="00C34006"/>
    <w:rsid w:val="00C426B1"/>
    <w:rsid w:val="00C82B6B"/>
    <w:rsid w:val="00C90D6A"/>
    <w:rsid w:val="00CA7AF0"/>
    <w:rsid w:val="00CC72B6"/>
    <w:rsid w:val="00CE39B7"/>
    <w:rsid w:val="00D0218D"/>
    <w:rsid w:val="00D15479"/>
    <w:rsid w:val="00D216CD"/>
    <w:rsid w:val="00DA2529"/>
    <w:rsid w:val="00DB130A"/>
    <w:rsid w:val="00DC10A1"/>
    <w:rsid w:val="00DC655F"/>
    <w:rsid w:val="00DD7EBD"/>
    <w:rsid w:val="00DF62B6"/>
    <w:rsid w:val="00E07225"/>
    <w:rsid w:val="00E155B7"/>
    <w:rsid w:val="00E5409F"/>
    <w:rsid w:val="00EB46B4"/>
    <w:rsid w:val="00EC0185"/>
    <w:rsid w:val="00F021FA"/>
    <w:rsid w:val="00F57ACA"/>
    <w:rsid w:val="00F62E97"/>
    <w:rsid w:val="00F64209"/>
    <w:rsid w:val="00F93BF5"/>
    <w:rsid w:val="00F96F63"/>
    <w:rsid w:val="00FA79C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A0147E2-8230-4108-9DB9-D4BA728BD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6AE"/>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
    <w:link w:val="FootnoteTextChar"/>
    <w:semiHidden/>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10F12"/>
    <w:rPr>
      <w:snapToGrid w:val="0"/>
      <w:kern w:val="28"/>
      <w:sz w:val="22"/>
    </w:rPr>
  </w:style>
  <w:style w:type="paragraph" w:styleId="BalloonText">
    <w:name w:val="Balloon Text"/>
    <w:basedOn w:val="Normal"/>
    <w:link w:val="BalloonTextChar"/>
    <w:uiPriority w:val="99"/>
    <w:semiHidden/>
    <w:unhideWhenUsed/>
    <w:rsid w:val="000816AE"/>
    <w:rPr>
      <w:rFonts w:ascii="Segoe UI" w:hAnsi="Segoe UI" w:cs="Segoe UI"/>
      <w:sz w:val="18"/>
      <w:szCs w:val="18"/>
    </w:rPr>
  </w:style>
  <w:style w:type="character" w:customStyle="1" w:styleId="BalloonTextChar">
    <w:name w:val="Balloon Text Char"/>
    <w:link w:val="BalloonText"/>
    <w:uiPriority w:val="99"/>
    <w:semiHidden/>
    <w:rsid w:val="000816AE"/>
    <w:rPr>
      <w:rFonts w:ascii="Segoe UI" w:hAnsi="Segoe UI" w:cs="Segoe UI"/>
      <w:snapToGrid w:val="0"/>
      <w:kern w:val="28"/>
      <w:sz w:val="18"/>
      <w:szCs w:val="18"/>
    </w:rPr>
  </w:style>
  <w:style w:type="character" w:customStyle="1" w:styleId="FootnoteTextChar">
    <w:name w:val="Footnote Text Char"/>
    <w:aliases w:val="ALTS FOOTNOTE Char"/>
    <w:link w:val="FootnoteText"/>
    <w:semiHidden/>
    <w:rsid w:val="000816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fjallfoss.fcc.gov/ecfs2/"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ecfs/filing/102131703729463"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