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851D7" w:rsidP="00106725" w14:paraId="16E6FD86" w14:textId="77777777">
      <w:pPr>
        <w:rPr>
          <w:sz w:val="22"/>
          <w:szCs w:val="22"/>
        </w:rPr>
      </w:pPr>
      <w:bookmarkStart w:id="0" w:name="_GoBack"/>
      <w:bookmarkEnd w:id="0"/>
    </w:p>
    <w:p w:rsidR="00624EA1" w:rsidRPr="00D4568E" w:rsidP="00D4568E" w14:paraId="3698BC78" w14:textId="6966730D">
      <w:pPr>
        <w:ind w:left="360" w:firstLine="720"/>
        <w:jc w:val="right"/>
        <w:rPr>
          <w:sz w:val="22"/>
          <w:szCs w:val="22"/>
        </w:rPr>
      </w:pPr>
      <w:r>
        <w:rPr>
          <w:sz w:val="22"/>
          <w:szCs w:val="22"/>
        </w:rPr>
        <w:t xml:space="preserve">DA </w:t>
      </w:r>
      <w:r w:rsidR="00737407">
        <w:rPr>
          <w:sz w:val="22"/>
          <w:szCs w:val="22"/>
        </w:rPr>
        <w:t>20</w:t>
      </w:r>
      <w:r w:rsidR="00D449AF">
        <w:rPr>
          <w:sz w:val="22"/>
          <w:szCs w:val="22"/>
        </w:rPr>
        <w:t>-</w:t>
      </w:r>
      <w:r w:rsidR="003A454F">
        <w:rPr>
          <w:sz w:val="22"/>
          <w:szCs w:val="22"/>
        </w:rPr>
        <w:t>17</w:t>
      </w:r>
    </w:p>
    <w:p w:rsidR="005B0610" w:rsidP="00D449AF" w14:paraId="1D7D5539" w14:textId="77777777">
      <w:pPr>
        <w:pStyle w:val="Header"/>
        <w:tabs>
          <w:tab w:val="left" w:pos="720"/>
          <w:tab w:val="left" w:pos="1440"/>
        </w:tabs>
        <w:rPr>
          <w:sz w:val="22"/>
          <w:szCs w:val="22"/>
        </w:rPr>
      </w:pPr>
    </w:p>
    <w:p w:rsidR="004F3840" w:rsidP="00D449AF" w14:paraId="34527A74" w14:textId="4D42F9FE">
      <w:pPr>
        <w:pStyle w:val="Header"/>
        <w:tabs>
          <w:tab w:val="left" w:pos="720"/>
          <w:tab w:val="left" w:pos="1440"/>
        </w:tabs>
        <w:rPr>
          <w:sz w:val="22"/>
          <w:szCs w:val="22"/>
        </w:rPr>
      </w:pPr>
      <w:r>
        <w:rPr>
          <w:sz w:val="22"/>
          <w:szCs w:val="22"/>
        </w:rPr>
        <w:t>Timothy E. Welch</w:t>
      </w:r>
    </w:p>
    <w:p w:rsidR="00E46EE5" w:rsidP="00D449AF" w14:paraId="7280ED53" w14:textId="46A38168">
      <w:pPr>
        <w:pStyle w:val="Header"/>
        <w:tabs>
          <w:tab w:val="left" w:pos="720"/>
          <w:tab w:val="left" w:pos="1440"/>
        </w:tabs>
        <w:rPr>
          <w:sz w:val="22"/>
          <w:szCs w:val="22"/>
        </w:rPr>
      </w:pPr>
      <w:r>
        <w:rPr>
          <w:sz w:val="22"/>
          <w:szCs w:val="22"/>
        </w:rPr>
        <w:t>Hill &amp; Welch</w:t>
      </w:r>
    </w:p>
    <w:p w:rsidR="00E46EE5" w:rsidP="00D449AF" w14:paraId="5791A374" w14:textId="474735B1">
      <w:pPr>
        <w:pStyle w:val="Header"/>
        <w:tabs>
          <w:tab w:val="left" w:pos="720"/>
          <w:tab w:val="left" w:pos="1440"/>
        </w:tabs>
        <w:rPr>
          <w:sz w:val="22"/>
          <w:szCs w:val="22"/>
        </w:rPr>
      </w:pPr>
      <w:r>
        <w:rPr>
          <w:sz w:val="22"/>
          <w:szCs w:val="22"/>
        </w:rPr>
        <w:t>1116 Heartfields Drive</w:t>
      </w:r>
    </w:p>
    <w:p w:rsidR="00E46EE5" w:rsidP="00D449AF" w14:paraId="11E3AF28" w14:textId="5AF6187E">
      <w:pPr>
        <w:pStyle w:val="Header"/>
        <w:tabs>
          <w:tab w:val="left" w:pos="720"/>
          <w:tab w:val="left" w:pos="1440"/>
        </w:tabs>
        <w:rPr>
          <w:sz w:val="22"/>
          <w:szCs w:val="22"/>
        </w:rPr>
      </w:pPr>
      <w:r>
        <w:rPr>
          <w:sz w:val="22"/>
          <w:szCs w:val="22"/>
        </w:rPr>
        <w:t>Silver Spring, MD 20904</w:t>
      </w:r>
    </w:p>
    <w:p w:rsidR="00EA439A" w:rsidRPr="00C22544" w:rsidP="002D0D24" w14:paraId="6DE0516C" w14:textId="77777777">
      <w:pPr>
        <w:pStyle w:val="Header"/>
        <w:tabs>
          <w:tab w:val="left" w:pos="720"/>
          <w:tab w:val="left" w:pos="1440"/>
          <w:tab w:val="clear" w:pos="4320"/>
        </w:tabs>
        <w:rPr>
          <w:b/>
          <w:sz w:val="22"/>
          <w:szCs w:val="22"/>
        </w:rPr>
      </w:pPr>
    </w:p>
    <w:p w:rsidR="003D765C" w:rsidP="008D666C" w14:paraId="51A08AE7" w14:textId="3EF6D9BF">
      <w:pPr>
        <w:pStyle w:val="Header"/>
        <w:tabs>
          <w:tab w:val="left" w:pos="720"/>
          <w:tab w:val="left" w:pos="1440"/>
          <w:tab w:val="clear" w:pos="4320"/>
        </w:tabs>
        <w:ind w:left="1440" w:hanging="720"/>
        <w:rPr>
          <w:b/>
          <w:spacing w:val="-2"/>
          <w:sz w:val="22"/>
          <w:szCs w:val="22"/>
        </w:rPr>
      </w:pPr>
      <w:r w:rsidRPr="00C22544">
        <w:rPr>
          <w:b/>
          <w:sz w:val="22"/>
          <w:szCs w:val="22"/>
        </w:rPr>
        <w:t xml:space="preserve">RE:  </w:t>
      </w:r>
      <w:r w:rsidR="00FB618B">
        <w:rPr>
          <w:b/>
          <w:sz w:val="22"/>
          <w:szCs w:val="22"/>
        </w:rPr>
        <w:tab/>
      </w:r>
      <w:r w:rsidR="00B12DDD">
        <w:rPr>
          <w:b/>
          <w:sz w:val="22"/>
          <w:szCs w:val="22"/>
        </w:rPr>
        <w:t xml:space="preserve">Nemont Telephone Cooperative, Inc. - </w:t>
      </w:r>
      <w:r w:rsidR="00D80761">
        <w:rPr>
          <w:b/>
          <w:sz w:val="22"/>
          <w:szCs w:val="22"/>
        </w:rPr>
        <w:t>Request for</w:t>
      </w:r>
      <w:r w:rsidR="00A801D7">
        <w:rPr>
          <w:b/>
          <w:sz w:val="22"/>
          <w:szCs w:val="22"/>
        </w:rPr>
        <w:t xml:space="preserve"> </w:t>
      </w:r>
      <w:r w:rsidR="00335F45">
        <w:rPr>
          <w:b/>
          <w:sz w:val="22"/>
          <w:szCs w:val="22"/>
        </w:rPr>
        <w:t xml:space="preserve">Rule </w:t>
      </w:r>
      <w:r w:rsidR="00A801D7">
        <w:rPr>
          <w:b/>
          <w:sz w:val="22"/>
          <w:szCs w:val="22"/>
        </w:rPr>
        <w:t>Waiver</w:t>
      </w:r>
      <w:r w:rsidR="00335F45">
        <w:rPr>
          <w:b/>
          <w:sz w:val="22"/>
          <w:szCs w:val="22"/>
        </w:rPr>
        <w:t>s</w:t>
      </w:r>
      <w:r w:rsidR="001C75E1">
        <w:rPr>
          <w:b/>
          <w:sz w:val="22"/>
          <w:szCs w:val="22"/>
        </w:rPr>
        <w:t xml:space="preserve"> </w:t>
      </w:r>
      <w:r w:rsidR="00E16DB3">
        <w:rPr>
          <w:b/>
          <w:sz w:val="22"/>
          <w:szCs w:val="22"/>
        </w:rPr>
        <w:t xml:space="preserve">for </w:t>
      </w:r>
      <w:r w:rsidR="008D666C">
        <w:rPr>
          <w:b/>
          <w:sz w:val="22"/>
          <w:szCs w:val="22"/>
        </w:rPr>
        <w:t>Call S</w:t>
      </w:r>
      <w:r w:rsidR="003C4F22">
        <w:rPr>
          <w:b/>
          <w:sz w:val="22"/>
          <w:szCs w:val="22"/>
        </w:rPr>
        <w:t>ign</w:t>
      </w:r>
      <w:r w:rsidR="002F6255">
        <w:rPr>
          <w:b/>
          <w:sz w:val="22"/>
          <w:szCs w:val="22"/>
        </w:rPr>
        <w:t>s</w:t>
      </w:r>
      <w:r w:rsidR="00201B2D">
        <w:rPr>
          <w:b/>
          <w:sz w:val="22"/>
          <w:szCs w:val="22"/>
        </w:rPr>
        <w:t xml:space="preserve"> WQJU690,</w:t>
      </w:r>
      <w:r w:rsidR="00D449AF">
        <w:rPr>
          <w:b/>
          <w:sz w:val="22"/>
          <w:szCs w:val="22"/>
        </w:rPr>
        <w:t xml:space="preserve"> W</w:t>
      </w:r>
      <w:r w:rsidR="00014401">
        <w:rPr>
          <w:b/>
          <w:sz w:val="22"/>
          <w:szCs w:val="22"/>
        </w:rPr>
        <w:t>QJU692</w:t>
      </w:r>
      <w:r w:rsidR="00201B2D">
        <w:rPr>
          <w:b/>
          <w:sz w:val="22"/>
          <w:szCs w:val="22"/>
        </w:rPr>
        <w:t>, and WQJQ771</w:t>
      </w:r>
      <w:r w:rsidRPr="000452EE" w:rsidR="000452EE">
        <w:rPr>
          <w:b/>
          <w:spacing w:val="-2"/>
          <w:sz w:val="22"/>
          <w:szCs w:val="22"/>
        </w:rPr>
        <w:t xml:space="preserve"> </w:t>
      </w:r>
    </w:p>
    <w:p w:rsidR="008D666C" w:rsidRPr="008D666C" w14:paraId="16FDA4B3" w14:textId="77777777">
      <w:pPr>
        <w:pStyle w:val="Header"/>
        <w:tabs>
          <w:tab w:val="left" w:pos="720"/>
          <w:tab w:val="left" w:pos="1440"/>
          <w:tab w:val="clear" w:pos="4320"/>
        </w:tabs>
        <w:rPr>
          <w:b/>
          <w:spacing w:val="-2"/>
          <w:sz w:val="22"/>
          <w:szCs w:val="22"/>
        </w:rPr>
      </w:pPr>
      <w:r>
        <w:rPr>
          <w:b/>
          <w:spacing w:val="-2"/>
          <w:sz w:val="22"/>
          <w:szCs w:val="22"/>
        </w:rPr>
        <w:tab/>
      </w:r>
      <w:r w:rsidR="00FB618B">
        <w:rPr>
          <w:b/>
          <w:spacing w:val="-2"/>
          <w:sz w:val="22"/>
          <w:szCs w:val="22"/>
        </w:rPr>
        <w:tab/>
      </w:r>
    </w:p>
    <w:p w:rsidR="00056F09" w:rsidRPr="00361351" w14:paraId="1BA42645" w14:textId="7A0F189E">
      <w:pPr>
        <w:rPr>
          <w:sz w:val="22"/>
          <w:szCs w:val="22"/>
        </w:rPr>
      </w:pPr>
      <w:r w:rsidRPr="00C22544">
        <w:rPr>
          <w:sz w:val="22"/>
          <w:szCs w:val="22"/>
        </w:rPr>
        <w:t>Dear</w:t>
      </w:r>
      <w:r w:rsidRPr="00C22544" w:rsidR="00A64D0C">
        <w:rPr>
          <w:sz w:val="22"/>
          <w:szCs w:val="22"/>
        </w:rPr>
        <w:t xml:space="preserve"> </w:t>
      </w:r>
      <w:r w:rsidR="003C4F22">
        <w:rPr>
          <w:sz w:val="22"/>
          <w:szCs w:val="22"/>
        </w:rPr>
        <w:t xml:space="preserve">Mr. </w:t>
      </w:r>
      <w:r w:rsidR="00E46EE5">
        <w:rPr>
          <w:sz w:val="22"/>
          <w:szCs w:val="22"/>
        </w:rPr>
        <w:t>Welch</w:t>
      </w:r>
      <w:r w:rsidRPr="00C22544">
        <w:rPr>
          <w:sz w:val="22"/>
          <w:szCs w:val="22"/>
        </w:rPr>
        <w:t>:</w:t>
      </w:r>
    </w:p>
    <w:p w:rsidR="008C36DE" w:rsidRPr="00361351" w:rsidP="002B5667" w14:paraId="035CE43C" w14:textId="77777777">
      <w:pPr>
        <w:ind w:firstLine="720"/>
        <w:rPr>
          <w:sz w:val="22"/>
          <w:szCs w:val="22"/>
        </w:rPr>
      </w:pPr>
    </w:p>
    <w:p w:rsidR="00FB479F" w:rsidP="0072708C" w14:paraId="61EE222F" w14:textId="77777777">
      <w:pPr>
        <w:pStyle w:val="ParaNum"/>
        <w:ind w:firstLine="720"/>
      </w:pPr>
      <w:r>
        <w:t xml:space="preserve">This letter addresses </w:t>
      </w:r>
      <w:r w:rsidR="00B40600">
        <w:t xml:space="preserve">a </w:t>
      </w:r>
      <w:r w:rsidR="000452EE">
        <w:t xml:space="preserve">request for </w:t>
      </w:r>
      <w:r w:rsidR="00B40600">
        <w:t xml:space="preserve">waiver </w:t>
      </w:r>
      <w:r w:rsidR="00E62950">
        <w:t>of a construction requirement (Request)</w:t>
      </w:r>
      <w:r w:rsidR="000452EE">
        <w:t xml:space="preserve"> filed by</w:t>
      </w:r>
      <w:r w:rsidR="00B40600">
        <w:t xml:space="preserve"> </w:t>
      </w:r>
      <w:r w:rsidR="005A0512">
        <w:t>Nemont Telephone Cooperative, Inc.</w:t>
      </w:r>
      <w:r w:rsidR="00305AB0">
        <w:t xml:space="preserve"> (</w:t>
      </w:r>
      <w:r w:rsidR="00305AB0">
        <w:t>Nemont</w:t>
      </w:r>
      <w:r w:rsidR="00305AB0">
        <w:t>)</w:t>
      </w:r>
      <w:r>
        <w:rPr>
          <w:rStyle w:val="FootnoteReference"/>
        </w:rPr>
        <w:footnoteReference w:id="3"/>
      </w:r>
      <w:r w:rsidR="00305AB0">
        <w:t xml:space="preserve"> on behalf of its wholly-owned subsidiary</w:t>
      </w:r>
      <w:r w:rsidR="005A0512">
        <w:t>,</w:t>
      </w:r>
      <w:r w:rsidR="00305AB0">
        <w:t xml:space="preserve"> </w:t>
      </w:r>
      <w:r w:rsidR="005A0512">
        <w:t>Sagebrush Cellular, Inc. (Sagebrush</w:t>
      </w:r>
      <w:r w:rsidR="00305AB0">
        <w:t xml:space="preserve"> or Licensee</w:t>
      </w:r>
      <w:r w:rsidR="005A0512">
        <w:t>)</w:t>
      </w:r>
      <w:r w:rsidR="00305AB0">
        <w:t>,</w:t>
      </w:r>
      <w:r w:rsidR="005B6695">
        <w:t xml:space="preserve"> </w:t>
      </w:r>
      <w:r w:rsidR="00C077C3">
        <w:t>the</w:t>
      </w:r>
      <w:r w:rsidR="005B6695">
        <w:t xml:space="preserve"> </w:t>
      </w:r>
      <w:r w:rsidR="003D38AC">
        <w:t>l</w:t>
      </w:r>
      <w:r w:rsidR="00305AB0">
        <w:t>icensee</w:t>
      </w:r>
      <w:r w:rsidR="00900F00">
        <w:t xml:space="preserve"> </w:t>
      </w:r>
      <w:r w:rsidR="00C077C3">
        <w:t xml:space="preserve">of the </w:t>
      </w:r>
      <w:r w:rsidR="00B40600">
        <w:t>above-referenced</w:t>
      </w:r>
      <w:r w:rsidR="005B6695">
        <w:t xml:space="preserve"> </w:t>
      </w:r>
      <w:r w:rsidR="00B960A7">
        <w:t xml:space="preserve">three </w:t>
      </w:r>
      <w:r w:rsidR="005B6695">
        <w:t>700 MHz stations (CMA525-Montana 3-Phillips; CMA532-Montana 10-Prairie; and CMA529-Montana 7-Fergus) (Licenses)</w:t>
      </w:r>
      <w:r w:rsidR="000452EE">
        <w:t>.</w:t>
      </w:r>
      <w:r>
        <w:rPr>
          <w:rStyle w:val="FootnoteReference"/>
        </w:rPr>
        <w:footnoteReference w:id="4"/>
      </w:r>
      <w:r w:rsidR="0072708C">
        <w:t xml:space="preserve">  </w:t>
      </w:r>
      <w:r w:rsidR="0072708C">
        <w:t>Nemont</w:t>
      </w:r>
      <w:r w:rsidR="0072708C">
        <w:t xml:space="preserve"> seeks a </w:t>
      </w:r>
      <w:r w:rsidR="003B5CB5">
        <w:t xml:space="preserve">complete </w:t>
      </w:r>
      <w:r w:rsidR="0072708C">
        <w:t xml:space="preserve">waiver of </w:t>
      </w:r>
      <w:r w:rsidR="00305AB0">
        <w:t>the</w:t>
      </w:r>
      <w:r w:rsidR="0072708C">
        <w:t xml:space="preserve"> </w:t>
      </w:r>
      <w:r w:rsidR="00C077C3">
        <w:t xml:space="preserve">applicable </w:t>
      </w:r>
      <w:r w:rsidR="0072708C">
        <w:t>construction requirement</w:t>
      </w:r>
      <w:r w:rsidR="003B5CB5">
        <w:t>, with</w:t>
      </w:r>
      <w:r w:rsidR="00E206E6">
        <w:t xml:space="preserve"> </w:t>
      </w:r>
      <w:r w:rsidR="003B5CB5">
        <w:t>no</w:t>
      </w:r>
      <w:r w:rsidR="0072708C">
        <w:t xml:space="preserve"> review of the Licenses’ construction status </w:t>
      </w:r>
      <w:r w:rsidR="003B5CB5">
        <w:t>until</w:t>
      </w:r>
      <w:r w:rsidR="0072708C">
        <w:t xml:space="preserve"> the end of the subsequent renewal period.</w:t>
      </w:r>
      <w:r>
        <w:rPr>
          <w:rStyle w:val="FootnoteReference"/>
        </w:rPr>
        <w:footnoteReference w:id="5"/>
      </w:r>
      <w:r w:rsidR="00436DCB">
        <w:t xml:space="preserve">  </w:t>
      </w:r>
    </w:p>
    <w:p w:rsidR="00FB479F" w:rsidP="0072708C" w14:paraId="762F0A5C" w14:textId="77777777">
      <w:pPr>
        <w:pStyle w:val="ParaNum"/>
        <w:ind w:firstLine="720"/>
      </w:pPr>
    </w:p>
    <w:p w:rsidR="00B40600" w:rsidP="0072708C" w14:paraId="3BDEAB00" w14:textId="302C7C9B">
      <w:pPr>
        <w:pStyle w:val="ParaNum"/>
        <w:ind w:firstLine="720"/>
      </w:pPr>
      <w:r>
        <w:t xml:space="preserve">For the reasons discussed herein, we find that </w:t>
      </w:r>
      <w:r w:rsidR="0072708C">
        <w:t xml:space="preserve">Nemont </w:t>
      </w:r>
      <w:r>
        <w:t>has not shown unique</w:t>
      </w:r>
      <w:r w:rsidR="006E2046">
        <w:t xml:space="preserve"> or unusual</w:t>
      </w:r>
      <w:r>
        <w:t xml:space="preserve"> circumstances to support </w:t>
      </w:r>
      <w:r w:rsidR="006E2046">
        <w:t>a</w:t>
      </w:r>
      <w:r w:rsidR="0073370E">
        <w:t xml:space="preserve"> waiver</w:t>
      </w:r>
      <w:r w:rsidR="00261E27">
        <w:t>.</w:t>
      </w:r>
      <w:r w:rsidR="009D6F76">
        <w:t xml:space="preserve"> </w:t>
      </w:r>
      <w:r w:rsidR="00261E27">
        <w:t>W</w:t>
      </w:r>
      <w:r w:rsidR="00800AA4">
        <w:t xml:space="preserve">e therefore </w:t>
      </w:r>
      <w:r w:rsidR="009D6F76">
        <w:t>deny the Request</w:t>
      </w:r>
      <w:r w:rsidR="00CE4424">
        <w:t xml:space="preserve"> as it applies to call signs WQJU690 and WQJU692</w:t>
      </w:r>
      <w:r w:rsidR="00CD4CC0">
        <w:t>, and we</w:t>
      </w:r>
      <w:r w:rsidR="00E8238B">
        <w:t xml:space="preserve"> </w:t>
      </w:r>
      <w:r w:rsidR="00FB479F">
        <w:t xml:space="preserve">dismiss the request for a construction waiver </w:t>
      </w:r>
      <w:r w:rsidR="00CD4CC0">
        <w:t xml:space="preserve">for </w:t>
      </w:r>
      <w:r w:rsidR="00FB479F">
        <w:t>call sign WQJQ771 as moot</w:t>
      </w:r>
      <w:r w:rsidR="005D2952">
        <w:t>.</w:t>
      </w:r>
      <w:r>
        <w:rPr>
          <w:rStyle w:val="FootnoteReference"/>
        </w:rPr>
        <w:footnoteReference w:id="6"/>
      </w:r>
      <w:r w:rsidR="00116FFC">
        <w:t xml:space="preserve">  Because we deny the Request for call signs WQJU690 and WQJU692, </w:t>
      </w:r>
      <w:r w:rsidR="00A37D25">
        <w:t>these two licenses terminate automatically</w:t>
      </w:r>
      <w:r w:rsidR="00240F9A">
        <w:t>,</w:t>
      </w:r>
      <w:r w:rsidR="00A37D25">
        <w:t xml:space="preserve"> and </w:t>
      </w:r>
      <w:r w:rsidR="00116FFC">
        <w:t xml:space="preserve">we </w:t>
      </w:r>
      <w:r w:rsidR="00A37D25">
        <w:t xml:space="preserve">therefore </w:t>
      </w:r>
      <w:r w:rsidR="00116FFC">
        <w:t xml:space="preserve">dismiss </w:t>
      </w:r>
      <w:r w:rsidR="00116FFC">
        <w:t>Nemont’s</w:t>
      </w:r>
      <w:r w:rsidR="00116FFC">
        <w:t xml:space="preserve"> renewal applications as moot.  For call sign WQJQ771, </w:t>
      </w:r>
      <w:r w:rsidR="00A37D25">
        <w:t xml:space="preserve">as discussed below, </w:t>
      </w:r>
      <w:r w:rsidR="00116FFC">
        <w:t xml:space="preserve">we </w:t>
      </w:r>
      <w:r w:rsidR="00A37D25">
        <w:t xml:space="preserve">also </w:t>
      </w:r>
      <w:r w:rsidR="00116FFC">
        <w:t xml:space="preserve">deny the request to waive the renewal requirement and will address its </w:t>
      </w:r>
      <w:r w:rsidR="00A37D25">
        <w:t xml:space="preserve">pending </w:t>
      </w:r>
      <w:r w:rsidR="00116FFC">
        <w:t xml:space="preserve">renewal </w:t>
      </w:r>
      <w:r w:rsidR="00A37D25">
        <w:t xml:space="preserve">application </w:t>
      </w:r>
      <w:r w:rsidR="00116FFC">
        <w:t>separately.</w:t>
      </w:r>
    </w:p>
    <w:p w:rsidR="00D4568E" w:rsidRPr="00BB4E53" w:rsidP="00FB618B" w14:paraId="7F36B7F3" w14:textId="77777777">
      <w:pPr>
        <w:pStyle w:val="ParaNum"/>
      </w:pPr>
    </w:p>
    <w:p w:rsidR="000B6D8B" w:rsidP="002B1222" w14:paraId="64B6166F" w14:textId="18457152">
      <w:pPr>
        <w:pStyle w:val="ParaNum"/>
        <w:ind w:firstLine="720"/>
      </w:pPr>
      <w:r w:rsidRPr="00BB4E53">
        <w:rPr>
          <w:i/>
        </w:rPr>
        <w:t>Background</w:t>
      </w:r>
      <w:r w:rsidRPr="00BB4E53">
        <w:t xml:space="preserve">. </w:t>
      </w:r>
      <w:r w:rsidR="005E4989">
        <w:t xml:space="preserve"> </w:t>
      </w:r>
      <w:r w:rsidR="00CC3B35">
        <w:t xml:space="preserve">Pursuant to Section 27.14(g) of the Commission’s rules, </w:t>
      </w:r>
      <w:r w:rsidR="00AD51A3">
        <w:t xml:space="preserve">lower 700 MHz B Block </w:t>
      </w:r>
      <w:r w:rsidR="00CC3B35">
        <w:t>l</w:t>
      </w:r>
      <w:r w:rsidR="00AD51A3">
        <w:t xml:space="preserve">icensees </w:t>
      </w:r>
      <w:r w:rsidR="00CC3B35">
        <w:t>must</w:t>
      </w:r>
      <w:r w:rsidR="00AD51A3">
        <w:t xml:space="preserve"> “provide signal coverage and offer service over at least 35 percent of the geographic area of each of their license authorizations” by June 13, 2013, later extended to December 13, 2016 (Interim Requirement), and “provide such service over at least 70 percent of the geographic area of each of these authorizations</w:t>
      </w:r>
      <w:r w:rsidR="00CC3B35">
        <w:t>”</w:t>
      </w:r>
      <w:r w:rsidR="00AD51A3">
        <w:t xml:space="preserve"> by the end of the license term</w:t>
      </w:r>
      <w:r w:rsidR="00CC3B35">
        <w:t>, which here was June 13, 2019 (Final Requirement).</w:t>
      </w:r>
      <w:r>
        <w:rPr>
          <w:rStyle w:val="FootnoteReference"/>
        </w:rPr>
        <w:footnoteReference w:id="7"/>
      </w:r>
      <w:r w:rsidR="00CC3B35">
        <w:t xml:space="preserve">  Failure by any licensee to meet the Final Requirement results in the license being subject to the “keep-what-you-serve” process</w:t>
      </w:r>
      <w:r w:rsidR="00270A95">
        <w:t xml:space="preserve"> </w:t>
      </w:r>
      <w:r w:rsidR="00CC3B35">
        <w:t>whereby</w:t>
      </w:r>
      <w:r w:rsidR="00EC6C61">
        <w:t xml:space="preserve"> the license “will terminate automatically without Commission action for those geographic portions of its license in which the license</w:t>
      </w:r>
      <w:r w:rsidR="006167DF">
        <w:t>e</w:t>
      </w:r>
      <w:r w:rsidR="00EC6C61">
        <w:t xml:space="preserve"> is not providing service, and those unserved areas will become available for reassignment by the Commission.”</w:t>
      </w:r>
      <w:r>
        <w:rPr>
          <w:rStyle w:val="FootnoteReference"/>
        </w:rPr>
        <w:footnoteReference w:id="8"/>
      </w:r>
      <w:r w:rsidR="00E95684">
        <w:t xml:space="preserve">  Pursuant to Section</w:t>
      </w:r>
      <w:r w:rsidR="002B1222">
        <w:t xml:space="preserve"> 27.14(e) of the Commission’s rules, lower 700 MHz B Block licensees must make a showing of substantial service, independent of their performance requirements, as a condition for renewal at the end of each license term.</w:t>
      </w:r>
      <w:r>
        <w:rPr>
          <w:rStyle w:val="FootnoteReference"/>
        </w:rPr>
        <w:footnoteReference w:id="9"/>
      </w:r>
      <w:r w:rsidR="002B1222">
        <w:t xml:space="preserve"> </w:t>
      </w:r>
    </w:p>
    <w:p w:rsidR="00015255" w:rsidP="005D565B" w14:paraId="3C50EA5C" w14:textId="77777777">
      <w:pPr>
        <w:pStyle w:val="ParaNum"/>
      </w:pPr>
    </w:p>
    <w:p w:rsidR="005D565B" w:rsidP="00FB618B" w14:paraId="3F37D84D" w14:textId="4F26638B">
      <w:pPr>
        <w:pStyle w:val="ParaNum"/>
        <w:ind w:firstLine="720"/>
      </w:pPr>
      <w:r>
        <w:t>Nemont acquired the Licenses</w:t>
      </w:r>
      <w:r w:rsidR="005D01DB">
        <w:t xml:space="preserve"> from Mid-Rivers Telephone Cooperative, Inc. (Mid-Rivers)</w:t>
      </w:r>
      <w:r>
        <w:t xml:space="preserve"> </w:t>
      </w:r>
      <w:r w:rsidR="005D01DB">
        <w:t>through a license assignment</w:t>
      </w:r>
      <w:r w:rsidR="00777F26">
        <w:t xml:space="preserve"> </w:t>
      </w:r>
      <w:r w:rsidR="00D469E2">
        <w:t>consummated in September 2018</w:t>
      </w:r>
      <w:r w:rsidR="005D01DB">
        <w:t>.</w:t>
      </w:r>
      <w:r>
        <w:rPr>
          <w:rStyle w:val="FootnoteReference"/>
        </w:rPr>
        <w:footnoteReference w:id="10"/>
      </w:r>
      <w:r w:rsidR="001A1C44">
        <w:t xml:space="preserve">  Nemont states that “no equipment or customers were acquired in the license assignment transaction.”</w:t>
      </w:r>
      <w:r>
        <w:rPr>
          <w:rStyle w:val="FootnoteReference"/>
        </w:rPr>
        <w:footnoteReference w:id="11"/>
      </w:r>
      <w:r w:rsidR="001A1C44">
        <w:t xml:space="preserve">  Although Nemont notes that it has been providing wireless radio service to rural Montana for approximately 25 years and has met construction requirements for several other rural Montana 700 MHz licenses, </w:t>
      </w:r>
      <w:r w:rsidR="001A1C44">
        <w:t>Nemont</w:t>
      </w:r>
      <w:r w:rsidR="008E7DC2">
        <w:t xml:space="preserve"> requests a waiver of </w:t>
      </w:r>
      <w:r w:rsidR="001A1C44">
        <w:t>the Final Requirement for the Licenses.</w:t>
      </w:r>
      <w:r>
        <w:rPr>
          <w:rStyle w:val="FootnoteReference"/>
        </w:rPr>
        <w:footnoteReference w:id="12"/>
      </w:r>
      <w:r w:rsidR="00D469E2">
        <w:t xml:space="preserve">  Specifically,</w:t>
      </w:r>
      <w:r w:rsidR="007F109D">
        <w:t xml:space="preserve"> Nemont</w:t>
      </w:r>
      <w:r w:rsidR="0066723A">
        <w:t xml:space="preserve"> states that its construction notification</w:t>
      </w:r>
      <w:r w:rsidR="007F5DC2">
        <w:t xml:space="preserve"> currently on file</w:t>
      </w:r>
      <w:r w:rsidR="0066723A">
        <w:t xml:space="preserve"> for call sign WQJU690 shows 34% geographic coverage, its construction notification for call sign WQJU692 shows 23.8% geographic coverage, and </w:t>
      </w:r>
      <w:r w:rsidR="007F5DC2">
        <w:t>it did not file a construction notification</w:t>
      </w:r>
      <w:r w:rsidR="0066723A">
        <w:t xml:space="preserve"> for</w:t>
      </w:r>
      <w:r w:rsidR="00D469E2">
        <w:t xml:space="preserve"> </w:t>
      </w:r>
      <w:r w:rsidR="0066723A">
        <w:t>call sign WQJQ771</w:t>
      </w:r>
      <w:r w:rsidR="007F5DC2">
        <w:t xml:space="preserve"> because it has not constructed “any portion” of the market area and “no service is being provided</w:t>
      </w:r>
      <w:r w:rsidR="0066723A">
        <w:t>.</w:t>
      </w:r>
      <w:r w:rsidR="007F5DC2">
        <w:t>”</w:t>
      </w:r>
      <w:r>
        <w:rPr>
          <w:rStyle w:val="FootnoteReference"/>
        </w:rPr>
        <w:footnoteReference w:id="13"/>
      </w:r>
      <w:r w:rsidR="0066723A">
        <w:t xml:space="preserve">  </w:t>
      </w:r>
      <w:r w:rsidR="006B375C">
        <w:t>Furthermore</w:t>
      </w:r>
      <w:r w:rsidR="003F41BA">
        <w:t xml:space="preserve">, even though </w:t>
      </w:r>
      <w:r w:rsidR="003F41BA">
        <w:t>Nemont</w:t>
      </w:r>
      <w:r w:rsidR="003F41BA">
        <w:t xml:space="preserve"> claims some geographic coverage</w:t>
      </w:r>
      <w:r w:rsidR="006B375C">
        <w:t xml:space="preserve"> for calls signs WQJU690 and WQJU692</w:t>
      </w:r>
      <w:r w:rsidR="003F41BA">
        <w:t xml:space="preserve">, </w:t>
      </w:r>
      <w:r w:rsidR="0066723A">
        <w:t>Nemont</w:t>
      </w:r>
      <w:r w:rsidR="0066723A">
        <w:t xml:space="preserve"> admits</w:t>
      </w:r>
      <w:r w:rsidR="003F41BA">
        <w:t xml:space="preserve"> that it does not have any subscribers in these license areas and “is working toward</w:t>
      </w:r>
      <w:r w:rsidR="00A77B07">
        <w:t>”</w:t>
      </w:r>
      <w:r w:rsidR="003F41BA">
        <w:t xml:space="preserve"> rolling</w:t>
      </w:r>
      <w:r w:rsidR="00FF3901">
        <w:t xml:space="preserve"> out service</w:t>
      </w:r>
      <w:r w:rsidR="003F41BA">
        <w:t>.</w:t>
      </w:r>
      <w:r>
        <w:rPr>
          <w:rStyle w:val="FootnoteReference"/>
        </w:rPr>
        <w:footnoteReference w:id="14"/>
      </w:r>
    </w:p>
    <w:p w:rsidR="003F41BA" w:rsidP="00FB618B" w14:paraId="224E3B25" w14:textId="77777777">
      <w:pPr>
        <w:pStyle w:val="ParaNum"/>
        <w:ind w:firstLine="720"/>
      </w:pPr>
    </w:p>
    <w:p w:rsidR="001C341A" w:rsidP="002C3B40" w14:paraId="290ED542" w14:textId="52433BB6">
      <w:pPr>
        <w:pStyle w:val="ParaNum"/>
        <w:ind w:firstLine="720"/>
      </w:pPr>
      <w:r>
        <w:t>In support of its</w:t>
      </w:r>
      <w:r w:rsidR="00686C2E">
        <w:t xml:space="preserve"> request for waiver</w:t>
      </w:r>
      <w:r>
        <w:t xml:space="preserve">, </w:t>
      </w:r>
      <w:r w:rsidR="002C3B40">
        <w:t>Nemont</w:t>
      </w:r>
      <w:r w:rsidR="00686C2E">
        <w:t xml:space="preserve"> suggests</w:t>
      </w:r>
      <w:r>
        <w:t xml:space="preserve"> that</w:t>
      </w:r>
      <w:r w:rsidR="004F306A">
        <w:t xml:space="preserve"> unique circumstances justify a waiver of the construction requirement</w:t>
      </w:r>
      <w:r>
        <w:t>.</w:t>
      </w:r>
      <w:r>
        <w:rPr>
          <w:rStyle w:val="FootnoteReference"/>
        </w:rPr>
        <w:footnoteReference w:id="15"/>
      </w:r>
      <w:r w:rsidR="00686C2E">
        <w:t xml:space="preserve">  Nemont </w:t>
      </w:r>
      <w:r w:rsidR="00437F52">
        <w:t>states</w:t>
      </w:r>
      <w:r w:rsidR="00686C2E">
        <w:t xml:space="preserve"> that it is a longtime wireless provider with a substantial record for completing construction of other licenses.</w:t>
      </w:r>
      <w:r>
        <w:rPr>
          <w:rStyle w:val="FootnoteReference"/>
        </w:rPr>
        <w:footnoteReference w:id="16"/>
      </w:r>
      <w:r w:rsidR="00686C2E">
        <w:t xml:space="preserve">  Nemont also argues that it “tried its best” to </w:t>
      </w:r>
      <w:r w:rsidR="00686C2E">
        <w:t>construct the Licenses in a short time frame after the acquisition</w:t>
      </w:r>
      <w:r w:rsidR="00A64B59">
        <w:t xml:space="preserve"> from Mid-Rivers</w:t>
      </w:r>
      <w:r w:rsidR="00686C2E">
        <w:t>, but that it was unable to complete buildout as it had expected.</w:t>
      </w:r>
      <w:r>
        <w:rPr>
          <w:rStyle w:val="FootnoteReference"/>
        </w:rPr>
        <w:footnoteReference w:id="17"/>
      </w:r>
      <w:r w:rsidR="0034055F">
        <w:t xml:space="preserve">  Finally, Nemont indicates that it plans to use the spectrum to provide service to “extremely remote, rural markets in Montana.”</w:t>
      </w:r>
      <w:r>
        <w:rPr>
          <w:rStyle w:val="FootnoteReference"/>
        </w:rPr>
        <w:footnoteReference w:id="18"/>
      </w:r>
      <w:r w:rsidR="00DD0CAB">
        <w:t xml:space="preserve">  </w:t>
      </w:r>
    </w:p>
    <w:p w:rsidR="00B8638F" w14:paraId="12919B8F" w14:textId="77777777">
      <w:pPr>
        <w:rPr>
          <w:snapToGrid w:val="0"/>
          <w:color w:val="000000"/>
          <w:kern w:val="28"/>
          <w:sz w:val="22"/>
          <w:szCs w:val="22"/>
        </w:rPr>
      </w:pPr>
    </w:p>
    <w:p w:rsidR="00052E0C" w:rsidP="002C4419" w14:paraId="4E5287C0" w14:textId="027AD8D9">
      <w:pPr>
        <w:pStyle w:val="ParaNum"/>
        <w:ind w:firstLine="720"/>
      </w:pPr>
      <w:r w:rsidRPr="00D4568E">
        <w:rPr>
          <w:i/>
        </w:rPr>
        <w:t>Discussion</w:t>
      </w:r>
      <w:r w:rsidRPr="00D4568E">
        <w:t xml:space="preserve">.  </w:t>
      </w:r>
      <w:r w:rsidR="00947190">
        <w:t>A r</w:t>
      </w:r>
      <w:r w:rsidR="00860EF8">
        <w:t>equest</w:t>
      </w:r>
      <w:r w:rsidR="00947190">
        <w:t xml:space="preserve"> for</w:t>
      </w:r>
      <w:r w:rsidR="000E6295">
        <w:t xml:space="preserve"> </w:t>
      </w:r>
      <w:r w:rsidR="00860EF8">
        <w:t>waive</w:t>
      </w:r>
      <w:r w:rsidR="000E6295">
        <w:t>r of</w:t>
      </w:r>
      <w:r w:rsidR="00860EF8">
        <w:t xml:space="preserve"> Commission rules must “meet a high hurdle at the starting gate</w:t>
      </w:r>
      <w:r w:rsidR="00654169">
        <w:t>.”</w:t>
      </w:r>
      <w:r>
        <w:rPr>
          <w:rStyle w:val="FootnoteReference"/>
        </w:rPr>
        <w:footnoteReference w:id="19"/>
      </w:r>
      <w:r w:rsidR="00654169">
        <w:t xml:space="preserve">  </w:t>
      </w:r>
      <w:r w:rsidR="00984CF2">
        <w:t>It is well-established that the Commission may waive a rule where the particular facts make strict compliance inconsistent with the public interest,</w:t>
      </w:r>
      <w:r>
        <w:rPr>
          <w:rStyle w:val="FootnoteReference"/>
        </w:rPr>
        <w:footnoteReference w:id="20"/>
      </w:r>
      <w:r w:rsidR="00984CF2">
        <w:t xml:space="preserve"> </w:t>
      </w:r>
      <w:r w:rsidRPr="003C0DB8" w:rsidR="00984CF2">
        <w:t xml:space="preserve">and it may take into account </w:t>
      </w:r>
      <w:r w:rsidR="00AF24D2">
        <w:t xml:space="preserve">unique </w:t>
      </w:r>
      <w:r w:rsidRPr="003C0DB8" w:rsidR="00984CF2">
        <w:t>considerations of hardship, equity, or more effective implementation of overall policy on an individual basis.</w:t>
      </w:r>
      <w:r>
        <w:rPr>
          <w:rStyle w:val="FootnoteReference"/>
        </w:rPr>
        <w:footnoteReference w:id="21"/>
      </w:r>
      <w:r w:rsidRPr="003C0DB8" w:rsidR="00984CF2">
        <w:t xml:space="preserve">  </w:t>
      </w:r>
      <w:r w:rsidR="00921201">
        <w:t>The Commission may grant a waiver</w:t>
      </w:r>
      <w:r w:rsidR="00F85A71">
        <w:t xml:space="preserve"> pursuant to </w:t>
      </w:r>
      <w:r w:rsidR="0073370E">
        <w:t>S</w:t>
      </w:r>
      <w:r w:rsidR="00160B69">
        <w:t xml:space="preserve">ection </w:t>
      </w:r>
      <w:r w:rsidR="00F85A71">
        <w:t>1.925(b)(3)</w:t>
      </w:r>
      <w:r w:rsidR="00921201">
        <w:t xml:space="preserve"> </w:t>
      </w:r>
      <w:r w:rsidR="00686BB6">
        <w:t xml:space="preserve">of the Commission’s rules </w:t>
      </w:r>
      <w:r w:rsidR="00921201">
        <w:t>when: (i)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22"/>
      </w:r>
      <w:r w:rsidR="00872F08">
        <w:t xml:space="preserve">  </w:t>
      </w:r>
      <w:r w:rsidR="00B47DD5">
        <w:t xml:space="preserve">In determining whether the waiver standard is met, we must evaluate each case based on the specific circumstances.  </w:t>
      </w:r>
      <w:r w:rsidR="007474F0">
        <w:t>For the reasons set forth below, w</w:t>
      </w:r>
      <w:r w:rsidR="00872F08">
        <w:t>e find that the</w:t>
      </w:r>
      <w:r w:rsidR="00681BF1">
        <w:t xml:space="preserve"> requirements for waiver have not been satisfied, and we the</w:t>
      </w:r>
      <w:r w:rsidR="00733000">
        <w:t xml:space="preserve">refore deny </w:t>
      </w:r>
      <w:r>
        <w:t>the Request</w:t>
      </w:r>
      <w:r w:rsidR="00EE0126">
        <w:t xml:space="preserve"> as it applies to call signs WQJU690 and WQJU692</w:t>
      </w:r>
      <w:r w:rsidR="00872F08">
        <w:t>.</w:t>
      </w:r>
    </w:p>
    <w:p w:rsidR="00AB6495" w:rsidP="00A017BC" w14:paraId="141CE5A6" w14:textId="77777777">
      <w:pPr>
        <w:pStyle w:val="ParaNum"/>
      </w:pPr>
    </w:p>
    <w:p w:rsidR="00F37628" w:rsidP="00167251" w14:paraId="1A0C52A6" w14:textId="4CCF9A3C">
      <w:pPr>
        <w:pStyle w:val="ParaNum"/>
        <w:ind w:firstLine="720"/>
      </w:pPr>
      <w:r w:rsidRPr="00834D55">
        <w:t>As to the first prong of the waiver test, s</w:t>
      </w:r>
      <w:r w:rsidRPr="00834D55">
        <w:t xml:space="preserve">trict application of the construction rule in this case does serve the underlying purpose of the rule – ensuring intensive spectrum use – and granting a waiver would be contrary to </w:t>
      </w:r>
      <w:r w:rsidRPr="00834D55" w:rsidR="0019698A">
        <w:t>that purpose</w:t>
      </w:r>
      <w:r w:rsidRPr="00834D55">
        <w:t>.</w:t>
      </w:r>
      <w:r>
        <w:rPr>
          <w:rStyle w:val="FootnoteReference"/>
        </w:rPr>
        <w:footnoteReference w:id="23"/>
      </w:r>
      <w:r>
        <w:t xml:space="preserve">  </w:t>
      </w:r>
      <w:r w:rsidR="007D0483">
        <w:t>Nemont</w:t>
      </w:r>
      <w:r w:rsidR="007D0483">
        <w:t xml:space="preserve"> describes </w:t>
      </w:r>
      <w:r>
        <w:t>itself as an experienced wireless licensee</w:t>
      </w:r>
      <w:r w:rsidR="007D0483">
        <w:t xml:space="preserve"> that has provided service to rural Montana for approximately 25 years and has completed a number of 700 MH</w:t>
      </w:r>
      <w:r w:rsidR="00437F52">
        <w:t>z</w:t>
      </w:r>
      <w:r w:rsidR="007D0483">
        <w:t xml:space="preserve"> buildouts.</w:t>
      </w:r>
      <w:r>
        <w:rPr>
          <w:rStyle w:val="FootnoteReference"/>
        </w:rPr>
        <w:footnoteReference w:id="24"/>
      </w:r>
      <w:r w:rsidR="007D0483">
        <w:t xml:space="preserve">  </w:t>
      </w:r>
      <w:r w:rsidR="00903E86">
        <w:t>Nemont</w:t>
      </w:r>
      <w:r w:rsidR="00903E86">
        <w:t xml:space="preserve"> was, then, well aware of its construction obligations when it opted to acquire the Licenses so close to the final construction deadline.  Its failure </w:t>
      </w:r>
      <w:r w:rsidR="00167251">
        <w:t xml:space="preserve">to satisfy the Final Requirement </w:t>
      </w:r>
      <w:r w:rsidR="00903E86">
        <w:t>was simply a business decision, and</w:t>
      </w:r>
      <w:r w:rsidR="00167251">
        <w:t xml:space="preserve"> </w:t>
      </w:r>
      <w:r w:rsidR="00903E86">
        <w:t>f</w:t>
      </w:r>
      <w:r w:rsidR="00167251">
        <w:t>inancial considerations or consequences resulting from a licensee’s business decisions do not warrant extension or waiver of a licensee’s obligations.</w:t>
      </w:r>
      <w:r>
        <w:rPr>
          <w:rStyle w:val="FootnoteReference"/>
        </w:rPr>
        <w:footnoteReference w:id="25"/>
      </w:r>
      <w:r w:rsidR="00167251">
        <w:t xml:space="preserve">  </w:t>
      </w:r>
      <w:r w:rsidRPr="00620602">
        <w:t xml:space="preserve">As a general matter, it remains a licensee’s responsibility to conduct its due diligence to ensure that it can meet its performance obligations </w:t>
      </w:r>
      <w:r>
        <w:t>under</w:t>
      </w:r>
      <w:r w:rsidRPr="00620602">
        <w:t xml:space="preserve"> the Commission’s rules.  </w:t>
      </w:r>
      <w:r w:rsidR="00C8042D">
        <w:t>Nemont</w:t>
      </w:r>
      <w:r>
        <w:t>’s</w:t>
      </w:r>
      <w:r>
        <w:t xml:space="preserve"> business decision</w:t>
      </w:r>
      <w:r w:rsidR="00C8042D">
        <w:t xml:space="preserve"> to acquire the Licenses </w:t>
      </w:r>
      <w:r w:rsidR="00437F52">
        <w:t xml:space="preserve">late in the construction period </w:t>
      </w:r>
      <w:r w:rsidR="00C8042D">
        <w:t>does</w:t>
      </w:r>
      <w:r>
        <w:t xml:space="preserve"> not justify waiver relief.</w:t>
      </w:r>
    </w:p>
    <w:p w:rsidR="00F37628" w:rsidP="00F37628" w14:paraId="65CB7036" w14:textId="77777777">
      <w:pPr>
        <w:pStyle w:val="ParaNum"/>
        <w:ind w:firstLine="720"/>
      </w:pPr>
    </w:p>
    <w:p w:rsidR="004513D5" w:rsidP="00D90002" w14:paraId="773B9827" w14:textId="7B47375A">
      <w:pPr>
        <w:pStyle w:val="ParaNum"/>
        <w:ind w:firstLine="720"/>
      </w:pPr>
      <w:r>
        <w:t xml:space="preserve"> In addition, we find no unique or unusual circumstances in this case that would make application of the construction rule inequitable, unduly burdensome, or contrary to the public interest.</w:t>
      </w:r>
      <w:r>
        <w:rPr>
          <w:rStyle w:val="FootnoteReference"/>
        </w:rPr>
        <w:footnoteReference w:id="26"/>
      </w:r>
      <w:r>
        <w:t xml:space="preserve">  </w:t>
      </w:r>
      <w:r w:rsidRPr="00440CDC">
        <w:t>While the License</w:t>
      </w:r>
      <w:r w:rsidRPr="00440CDC" w:rsidR="0039333F">
        <w:t>s</w:t>
      </w:r>
      <w:r w:rsidRPr="00440CDC">
        <w:t xml:space="preserve"> cover</w:t>
      </w:r>
      <w:r w:rsidRPr="00440CDC" w:rsidR="0039333F">
        <w:t xml:space="preserve"> rural areas</w:t>
      </w:r>
      <w:r w:rsidRPr="00440CDC">
        <w:t xml:space="preserve"> in </w:t>
      </w:r>
      <w:r w:rsidRPr="00440CDC" w:rsidR="0039333F">
        <w:t>Montana</w:t>
      </w:r>
      <w:r w:rsidRPr="00440CDC">
        <w:t xml:space="preserve"> with low population density,</w:t>
      </w:r>
      <w:r w:rsidRPr="00620602">
        <w:t xml:space="preserve"> </w:t>
      </w:r>
      <w:r w:rsidR="0039333F">
        <w:t>Nemont</w:t>
      </w:r>
      <w:r w:rsidRPr="00620602">
        <w:t xml:space="preserve"> </w:t>
      </w:r>
      <w:r>
        <w:t>has not shown</w:t>
      </w:r>
      <w:r w:rsidRPr="00620602">
        <w:t xml:space="preserve"> that it has suffered from </w:t>
      </w:r>
      <w:r w:rsidR="0039333F">
        <w:t xml:space="preserve">any </w:t>
      </w:r>
      <w:r w:rsidRPr="00620602">
        <w:t>specific challenges that might justify a waiver.</w:t>
      </w:r>
      <w:r w:rsidR="00EE498A">
        <w:t xml:space="preserve">  Simply stating that a waiver would be in the public interest because the </w:t>
      </w:r>
      <w:r w:rsidR="002B0AF9">
        <w:t>L</w:t>
      </w:r>
      <w:r w:rsidR="00EE498A">
        <w:t xml:space="preserve">icensee intends to serve a remote, underpopulated area, but ran out of </w:t>
      </w:r>
      <w:r w:rsidR="00EE498A">
        <w:t xml:space="preserve">time, does not rise to the level of unique or unusual circumstances when the </w:t>
      </w:r>
      <w:r w:rsidR="002B0AF9">
        <w:t>L</w:t>
      </w:r>
      <w:r w:rsidR="00EE498A">
        <w:t>icensee d</w:t>
      </w:r>
      <w:r w:rsidR="002B0AF9">
        <w:t>oes</w:t>
      </w:r>
      <w:r w:rsidR="00EE498A">
        <w:t xml:space="preserve"> not support i</w:t>
      </w:r>
      <w:r w:rsidR="002B0AF9">
        <w:t>t</w:t>
      </w:r>
      <w:r w:rsidR="00EE498A">
        <w:t xml:space="preserve">s request with any </w:t>
      </w:r>
      <w:r w:rsidR="002B0AF9">
        <w:t>additional</w:t>
      </w:r>
      <w:r w:rsidR="00EE498A">
        <w:t xml:space="preserve"> specific difficulties.</w:t>
      </w:r>
      <w:r>
        <w:rPr>
          <w:rStyle w:val="FootnoteReference"/>
        </w:rPr>
        <w:footnoteReference w:id="27"/>
      </w:r>
      <w:r w:rsidR="002B0AF9">
        <w:t xml:space="preserve">  Again, having a “short time frame” within which to complete construction as a result of a business decision to acquire the Licenses does not support</w:t>
      </w:r>
      <w:r w:rsidR="0019099B">
        <w:t xml:space="preserve"> a grant of</w:t>
      </w:r>
      <w:r w:rsidR="002B0AF9">
        <w:t xml:space="preserve"> waiver relief.</w:t>
      </w:r>
      <w:r>
        <w:rPr>
          <w:rStyle w:val="FootnoteReference"/>
        </w:rPr>
        <w:footnoteReference w:id="28"/>
      </w:r>
      <w:r w:rsidRPr="00620602">
        <w:t xml:space="preserve">  </w:t>
      </w:r>
      <w:r>
        <w:t xml:space="preserve">We find that </w:t>
      </w:r>
      <w:r>
        <w:t>Nemont</w:t>
      </w:r>
      <w:r>
        <w:t xml:space="preserve"> has not demonstrated that grant of a waiver </w:t>
      </w:r>
      <w:r>
        <w:t>of its co</w:t>
      </w:r>
      <w:r>
        <w:t>nstruction requirement is warranted and therefore deny the Request</w:t>
      </w:r>
      <w:r w:rsidR="00EE0126">
        <w:t xml:space="preserve"> as it applies to call signs WQJU690 and WQJU692</w:t>
      </w:r>
      <w:r>
        <w:t>.</w:t>
      </w:r>
      <w:r w:rsidR="00EE0126">
        <w:t xml:space="preserve">  We dismiss as moot </w:t>
      </w:r>
      <w:r w:rsidR="00EE0126">
        <w:t>Nemont’s</w:t>
      </w:r>
      <w:r w:rsidR="00EE0126">
        <w:t xml:space="preserve"> request to waive the construction requirement for WQJQ771 because </w:t>
      </w:r>
      <w:r w:rsidR="0090581A">
        <w:t xml:space="preserve">the previous licensee, </w:t>
      </w:r>
      <w:r w:rsidR="00EE0126">
        <w:t>Mid-Rivers</w:t>
      </w:r>
      <w:r w:rsidR="0090581A">
        <w:t>,</w:t>
      </w:r>
      <w:r w:rsidR="00EE0126">
        <w:t xml:space="preserve"> satisfied the Final Requirement for this license</w:t>
      </w:r>
      <w:r w:rsidR="001A78ED">
        <w:t xml:space="preserve"> in 2016</w:t>
      </w:r>
      <w:r w:rsidR="00EE0126">
        <w:t>.</w:t>
      </w:r>
      <w:r>
        <w:rPr>
          <w:rStyle w:val="FootnoteReference"/>
        </w:rPr>
        <w:footnoteReference w:id="29"/>
      </w:r>
      <w:r>
        <w:t xml:space="preserve">  </w:t>
      </w:r>
    </w:p>
    <w:p w:rsidR="001014A3" w:rsidP="00D90002" w14:paraId="3C92FE65" w14:textId="4E9F6C70">
      <w:pPr>
        <w:pStyle w:val="ParaNum"/>
        <w:ind w:firstLine="720"/>
      </w:pPr>
    </w:p>
    <w:p w:rsidR="00E70269" w:rsidP="009A5375" w14:paraId="2D9CFE06" w14:textId="0BF66A29">
      <w:pPr>
        <w:pStyle w:val="ParaNum"/>
        <w:ind w:firstLine="720"/>
      </w:pPr>
      <w:r>
        <w:t xml:space="preserve">In conjunction with its Request, </w:t>
      </w:r>
      <w:r w:rsidR="001014A3">
        <w:t>Nemont</w:t>
      </w:r>
      <w:r w:rsidR="00295CCB">
        <w:t xml:space="preserve"> also</w:t>
      </w:r>
      <w:r w:rsidR="001014A3">
        <w:t xml:space="preserve"> filed construction notifications for call sign</w:t>
      </w:r>
      <w:r w:rsidR="00AD66D1">
        <w:t>s</w:t>
      </w:r>
      <w:r w:rsidR="001014A3">
        <w:t xml:space="preserve"> WQJU690 and WQJU692</w:t>
      </w:r>
      <w:r w:rsidR="00AD66D1">
        <w:t>, claiming to be “covering and offering service” to portions of the relevant markets (34% and 23.8%, respectively) and to have “made an effort” to provide service to these portions of the market areas</w:t>
      </w:r>
      <w:r w:rsidR="001014A3">
        <w:t>.</w:t>
      </w:r>
      <w:r>
        <w:rPr>
          <w:rStyle w:val="FootnoteReference"/>
        </w:rPr>
        <w:footnoteReference w:id="30"/>
      </w:r>
      <w:r w:rsidR="00AD66D1">
        <w:t xml:space="preserve">  </w:t>
      </w:r>
      <w:r w:rsidR="00565559">
        <w:t>T</w:t>
      </w:r>
      <w:r w:rsidR="00AD66D1">
        <w:t>he Commission’s rules require that the licensee provide service over at least 70 percent of the geographic area</w:t>
      </w:r>
      <w:r w:rsidR="009A5375">
        <w:t xml:space="preserve"> of the authorization by the </w:t>
      </w:r>
      <w:r w:rsidR="00295CCB">
        <w:t xml:space="preserve">final </w:t>
      </w:r>
      <w:r w:rsidR="009A5375">
        <w:t>deadline.</w:t>
      </w:r>
      <w:r>
        <w:rPr>
          <w:rStyle w:val="FootnoteReference"/>
        </w:rPr>
        <w:footnoteReference w:id="31"/>
      </w:r>
      <w:r w:rsidR="001014A3">
        <w:t xml:space="preserve">  </w:t>
      </w:r>
      <w:r w:rsidR="00AD66D1">
        <w:t>W</w:t>
      </w:r>
      <w:r w:rsidR="001014A3">
        <w:t xml:space="preserve">e find that the </w:t>
      </w:r>
      <w:r w:rsidR="00440CDC">
        <w:t>L</w:t>
      </w:r>
      <w:r w:rsidR="001014A3">
        <w:t>icensee has not shown</w:t>
      </w:r>
      <w:r w:rsidR="00AD66D1">
        <w:t xml:space="preserve"> that it is</w:t>
      </w:r>
      <w:r w:rsidR="009A5375">
        <w:t xml:space="preserve"> actually providing service as required by the Commission’s rules</w:t>
      </w:r>
      <w:r>
        <w:t xml:space="preserve">, regardless of </w:t>
      </w:r>
      <w:r w:rsidR="00353A77">
        <w:t xml:space="preserve">its </w:t>
      </w:r>
      <w:r>
        <w:t>signal coverage</w:t>
      </w:r>
      <w:r w:rsidR="009A5375">
        <w:t xml:space="preserve">.  Indeed, </w:t>
      </w:r>
      <w:r w:rsidR="00587BB2">
        <w:t xml:space="preserve">Nemont </w:t>
      </w:r>
      <w:r w:rsidR="009A5375">
        <w:t xml:space="preserve">admits </w:t>
      </w:r>
      <w:r w:rsidR="00587BB2">
        <w:t xml:space="preserve">in the Request </w:t>
      </w:r>
      <w:r w:rsidR="009A5375">
        <w:t xml:space="preserve">that the </w:t>
      </w:r>
      <w:r w:rsidR="00440CDC">
        <w:t>L</w:t>
      </w:r>
      <w:r w:rsidR="009A5375">
        <w:t>icensee has no subscribers and is only “working toward” rolling out service.</w:t>
      </w:r>
      <w:r>
        <w:rPr>
          <w:rStyle w:val="FootnoteReference"/>
        </w:rPr>
        <w:footnoteReference w:id="32"/>
      </w:r>
      <w:r w:rsidR="009A5375">
        <w:t xml:space="preserve">  </w:t>
      </w:r>
      <w:r>
        <w:t>Given our denial of the Request</w:t>
      </w:r>
      <w:r w:rsidR="00F37628">
        <w:t xml:space="preserve">, </w:t>
      </w:r>
      <w:r w:rsidR="009A5375">
        <w:t>call sign</w:t>
      </w:r>
      <w:r w:rsidR="00A30931">
        <w:t>s</w:t>
      </w:r>
      <w:r w:rsidR="009A5375">
        <w:t xml:space="preserve"> WQJU690 and WQJU692</w:t>
      </w:r>
      <w:r w:rsidR="00F37628">
        <w:t xml:space="preserve"> automatically terminated</w:t>
      </w:r>
      <w:r w:rsidR="00A30931">
        <w:t xml:space="preserve"> in their entirety</w:t>
      </w:r>
      <w:r w:rsidR="00F37628">
        <w:t xml:space="preserve"> as of June 13, 2019</w:t>
      </w:r>
      <w:r>
        <w:t xml:space="preserve"> pursuant to Section 27.14(g) of the Commission’s rules</w:t>
      </w:r>
      <w:r w:rsidR="009A5375">
        <w:t xml:space="preserve">, and </w:t>
      </w:r>
      <w:r w:rsidR="00353A77">
        <w:t xml:space="preserve">they </w:t>
      </w:r>
      <w:r w:rsidR="009A5375">
        <w:t>will become available for reassignment by the Commission</w:t>
      </w:r>
      <w:r w:rsidR="00F37628">
        <w:t>.</w:t>
      </w:r>
      <w:r>
        <w:rPr>
          <w:rStyle w:val="FootnoteReference"/>
        </w:rPr>
        <w:footnoteReference w:id="33"/>
      </w:r>
      <w:r w:rsidR="00A30931">
        <w:t xml:space="preserve">  </w:t>
      </w:r>
      <w:r w:rsidR="007F201B">
        <w:t>Accordingly, b</w:t>
      </w:r>
      <w:r w:rsidR="00A30931">
        <w:t xml:space="preserve">ecause call signs WQJU690 and WQJU692 automatically terminated, </w:t>
      </w:r>
      <w:r w:rsidR="006E6702">
        <w:t xml:space="preserve">we dismiss </w:t>
      </w:r>
      <w:r w:rsidR="00A30931">
        <w:t>Nemont’s renewal applications for these call signs as moot.</w:t>
      </w:r>
      <w:r>
        <w:rPr>
          <w:rStyle w:val="FootnoteReference"/>
        </w:rPr>
        <w:footnoteReference w:id="34"/>
      </w:r>
    </w:p>
    <w:p w:rsidR="00E70269" w:rsidP="009A5375" w14:paraId="31B4F23E" w14:textId="77777777">
      <w:pPr>
        <w:pStyle w:val="ParaNum"/>
        <w:ind w:firstLine="720"/>
      </w:pPr>
    </w:p>
    <w:p w:rsidR="00F37628" w:rsidP="009A5375" w14:paraId="029FC1E6" w14:textId="6F9F8AFD">
      <w:pPr>
        <w:pStyle w:val="ParaNum"/>
        <w:ind w:firstLine="720"/>
      </w:pPr>
      <w:r>
        <w:t>Regarding call sign WQJQ771, Nemont request</w:t>
      </w:r>
      <w:r w:rsidR="00DB4A55">
        <w:t>s</w:t>
      </w:r>
      <w:r>
        <w:t xml:space="preserve"> a waiver of</w:t>
      </w:r>
      <w:r w:rsidR="00DB4A55">
        <w:t xml:space="preserve"> </w:t>
      </w:r>
      <w:r w:rsidR="006E6702">
        <w:t>the</w:t>
      </w:r>
      <w:r w:rsidR="00DB4A55">
        <w:t xml:space="preserve"> Section 27.14(e) </w:t>
      </w:r>
      <w:r w:rsidR="006E6702">
        <w:t xml:space="preserve">requirement </w:t>
      </w:r>
      <w:r w:rsidR="00DB4A55">
        <w:t xml:space="preserve">  </w:t>
      </w:r>
      <w:r w:rsidR="006E6702">
        <w:t>that a</w:t>
      </w:r>
      <w:r w:rsidR="00DB4A55">
        <w:t xml:space="preserve"> licensee make a showing of substantial service</w:t>
      </w:r>
      <w:r w:rsidR="006E6702">
        <w:t xml:space="preserve"> at renewal.</w:t>
      </w:r>
      <w:r w:rsidRPr="006E6702" w:rsidR="006E6702">
        <w:rPr>
          <w:rStyle w:val="FootnoteReference"/>
        </w:rPr>
        <w:t xml:space="preserve"> </w:t>
      </w:r>
      <w:r>
        <w:rPr>
          <w:rStyle w:val="FootnoteReference"/>
        </w:rPr>
        <w:footnoteReference w:id="35"/>
      </w:r>
      <w:r w:rsidR="00DE34B3">
        <w:t xml:space="preserve">  Nemont </w:t>
      </w:r>
      <w:r w:rsidR="006E6702">
        <w:t>provides no</w:t>
      </w:r>
      <w:r w:rsidR="00DE34B3">
        <w:t xml:space="preserve"> additional information to support its request to waive the renewal requirement beyond what is included in</w:t>
      </w:r>
      <w:r w:rsidR="006E6702">
        <w:t xml:space="preserve"> support of its request for a construction </w:t>
      </w:r>
      <w:r w:rsidR="00DE34B3">
        <w:t>waive</w:t>
      </w:r>
      <w:r w:rsidR="006E6702">
        <w:t xml:space="preserve">r </w:t>
      </w:r>
      <w:r w:rsidR="00DE34B3">
        <w:t>pursuant to Section 1.925(b)(3) of the Commission’s rules.</w:t>
      </w:r>
      <w:r>
        <w:rPr>
          <w:rStyle w:val="FootnoteReference"/>
        </w:rPr>
        <w:footnoteReference w:id="36"/>
      </w:r>
      <w:r w:rsidR="00DE34B3">
        <w:t xml:space="preserve">  </w:t>
      </w:r>
      <w:r w:rsidR="0091161E">
        <w:t>F</w:t>
      </w:r>
      <w:r w:rsidR="00DE34B3">
        <w:t xml:space="preserve">or the same reasons </w:t>
      </w:r>
      <w:r w:rsidR="00730ECE">
        <w:t>discussed above</w:t>
      </w:r>
      <w:r w:rsidR="004F3684">
        <w:t xml:space="preserve"> in denying Nemont’s construction waiver request</w:t>
      </w:r>
      <w:r w:rsidR="00730ECE">
        <w:t xml:space="preserve">, </w:t>
      </w:r>
      <w:r w:rsidR="00DE34B3">
        <w:t xml:space="preserve">we </w:t>
      </w:r>
      <w:r w:rsidR="0091161E">
        <w:t>deny</w:t>
      </w:r>
      <w:r w:rsidR="00A4474E">
        <w:t xml:space="preserve"> Nemont’s request to waive the renewal requirement applicable to call sign WQJQ771.</w:t>
      </w:r>
      <w:r>
        <w:rPr>
          <w:rStyle w:val="FootnoteReference"/>
        </w:rPr>
        <w:footnoteReference w:id="37"/>
      </w:r>
    </w:p>
    <w:p w:rsidR="00F37628" w:rsidP="00FB618B" w14:paraId="683E34E7" w14:textId="77777777">
      <w:pPr>
        <w:pStyle w:val="ParaNum"/>
      </w:pPr>
    </w:p>
    <w:p w:rsidR="0019595D" w:rsidP="00F91386" w14:paraId="39627D8F" w14:textId="5165282E">
      <w:pPr>
        <w:pStyle w:val="ParaNum"/>
        <w:ind w:firstLine="720"/>
      </w:pPr>
      <w:r w:rsidRPr="00BB4E53">
        <w:t xml:space="preserve">Accordingly, IT IS ORDERED that, </w:t>
      </w:r>
      <w:bookmarkStart w:id="1" w:name="_Hlk15644310"/>
      <w:r w:rsidRPr="00BB4E53">
        <w:t xml:space="preserve">pursuant to Section 4(i) of the Communications Act of 1934, as amended, 47 U.S.C. § 154(i), and </w:t>
      </w:r>
      <w:r w:rsidR="00821954">
        <w:t>S</w:t>
      </w:r>
      <w:r w:rsidRPr="00BB4E53">
        <w:t>ection</w:t>
      </w:r>
      <w:r w:rsidR="00EC6F63">
        <w:t xml:space="preserve"> </w:t>
      </w:r>
      <w:r w:rsidR="00CB5CF0">
        <w:t>1.9</w:t>
      </w:r>
      <w:r w:rsidR="00EC6F63">
        <w:t>25</w:t>
      </w:r>
      <w:r w:rsidRPr="00BB4E53">
        <w:t xml:space="preserve"> </w:t>
      </w:r>
      <w:r w:rsidR="002F7497">
        <w:t>of the Commission’s rules, 47 C</w:t>
      </w:r>
      <w:r w:rsidRPr="00BB4E53">
        <w:t>F</w:t>
      </w:r>
      <w:r w:rsidR="002F7497">
        <w:t>R</w:t>
      </w:r>
      <w:r w:rsidR="00CB5CF0">
        <w:t xml:space="preserve"> §</w:t>
      </w:r>
      <w:r w:rsidRPr="00BB4E53">
        <w:t xml:space="preserve"> 1.925</w:t>
      </w:r>
      <w:r w:rsidR="00EC6F63">
        <w:t>,</w:t>
      </w:r>
      <w:r w:rsidR="00821954">
        <w:t xml:space="preserve"> the request for waiver of</w:t>
      </w:r>
      <w:r w:rsidR="00EC6F63">
        <w:t xml:space="preserve"> </w:t>
      </w:r>
      <w:r w:rsidR="00821954">
        <w:t>Section 27.14(</w:t>
      </w:r>
      <w:r w:rsidR="00EC6F63">
        <w:t>g</w:t>
      </w:r>
      <w:r w:rsidR="00821954">
        <w:t>) of the Commission’s rules, 47 CFR § 27.14(</w:t>
      </w:r>
      <w:r w:rsidR="00EC6F63">
        <w:t>g</w:t>
      </w:r>
      <w:r w:rsidR="00821954">
        <w:t>), filed June 13, 2019</w:t>
      </w:r>
      <w:r w:rsidR="00D40CF7">
        <w:t xml:space="preserve"> </w:t>
      </w:r>
      <w:r w:rsidR="00D97CEB">
        <w:t>for</w:t>
      </w:r>
      <w:r w:rsidR="00D40CF7">
        <w:t xml:space="preserve"> call signs WQJU690</w:t>
      </w:r>
      <w:r w:rsidR="00D64357">
        <w:t xml:space="preserve"> and</w:t>
      </w:r>
      <w:r w:rsidR="00D40CF7">
        <w:t xml:space="preserve"> WQJU692,</w:t>
      </w:r>
      <w:r w:rsidR="00821954">
        <w:t xml:space="preserve"> by </w:t>
      </w:r>
      <w:r w:rsidR="00EC6F63">
        <w:t>Nemont</w:t>
      </w:r>
      <w:r w:rsidR="007643DC">
        <w:t xml:space="preserve"> Telephone Cooperative, Inc.</w:t>
      </w:r>
      <w:r w:rsidR="00821954">
        <w:t>, is hereby DENIED.</w:t>
      </w:r>
      <w:r w:rsidR="00D64357">
        <w:t xml:space="preserve">  </w:t>
      </w:r>
      <w:r w:rsidR="00D64357">
        <w:t>The request for waiver of Section 27.14(g) of the Commission’s rules, 47 CFR § 27.14(g), filed June 13, 2019 for call sign WQJQ771</w:t>
      </w:r>
      <w:r w:rsidR="00CE4424">
        <w:t xml:space="preserve">, by </w:t>
      </w:r>
      <w:r w:rsidR="00CE4424">
        <w:t>Nemont</w:t>
      </w:r>
      <w:r w:rsidR="00CE4424">
        <w:t xml:space="preserve"> Telephone Cooperative, Inc.,</w:t>
      </w:r>
      <w:r w:rsidR="00D64357">
        <w:t xml:space="preserve"> is hereby DISMISSED as moot.</w:t>
      </w:r>
    </w:p>
    <w:p w:rsidR="0019595D" w:rsidP="00F91386" w14:paraId="13AC53BB" w14:textId="77777777">
      <w:pPr>
        <w:pStyle w:val="ParaNum"/>
        <w:ind w:firstLine="720"/>
      </w:pPr>
    </w:p>
    <w:p w:rsidR="0019595D" w:rsidP="0019595D" w14:paraId="5514F430" w14:textId="12D13C4B">
      <w:pPr>
        <w:pStyle w:val="ParaNum"/>
        <w:ind w:firstLine="720"/>
      </w:pPr>
      <w:r>
        <w:t xml:space="preserve"> </w:t>
      </w:r>
      <w:bookmarkEnd w:id="1"/>
      <w:r w:rsidRPr="00BB4E53">
        <w:t xml:space="preserve">Accordingly, IT IS </w:t>
      </w:r>
      <w:r>
        <w:t xml:space="preserve">FURTHER </w:t>
      </w:r>
      <w:r w:rsidRPr="00BB4E53">
        <w:t xml:space="preserve">ORDERED that, pursuant to Section 4(i) of the Communications Act of 1934, as amended, 47 U.S.C. § 154(i), and </w:t>
      </w:r>
      <w:r>
        <w:t>S</w:t>
      </w:r>
      <w:r w:rsidRPr="00BB4E53">
        <w:t>ection</w:t>
      </w:r>
      <w:r>
        <w:t xml:space="preserve"> 1.925</w:t>
      </w:r>
      <w:r w:rsidRPr="00BB4E53">
        <w:t xml:space="preserve"> </w:t>
      </w:r>
      <w:r>
        <w:t>of the Commission’s rules, 47 C</w:t>
      </w:r>
      <w:r w:rsidRPr="00BB4E53">
        <w:t>F</w:t>
      </w:r>
      <w:r>
        <w:t>R §</w:t>
      </w:r>
      <w:r w:rsidRPr="00BB4E53">
        <w:t xml:space="preserve"> 1.925</w:t>
      </w:r>
      <w:r>
        <w:t xml:space="preserve">, the request for waiver of Section 27.14(e) of the Commission’s rules, 47 CFR § 27.14(e), filed June 13, 2019 </w:t>
      </w:r>
      <w:r w:rsidR="0023321F">
        <w:t>for</w:t>
      </w:r>
      <w:r>
        <w:t xml:space="preserve"> call sign WQJQ771, by Nemont</w:t>
      </w:r>
      <w:r w:rsidR="007643DC">
        <w:t xml:space="preserve"> Telephone Cooperative, Inc.</w:t>
      </w:r>
      <w:r>
        <w:t xml:space="preserve">, is hereby DENIED. </w:t>
      </w:r>
    </w:p>
    <w:p w:rsidR="00821954" w:rsidP="00FB618B" w14:paraId="114B5E07" w14:textId="0002D082">
      <w:pPr>
        <w:pStyle w:val="ParaNum"/>
      </w:pPr>
    </w:p>
    <w:p w:rsidR="007E009B" w:rsidRPr="002D0D24" w:rsidP="00FB618B" w14:paraId="1AAF2CC6" w14:textId="77777777">
      <w:pPr>
        <w:pStyle w:val="ParaNum"/>
        <w:ind w:firstLine="720"/>
      </w:pPr>
      <w:r w:rsidRPr="00BB4E53">
        <w:t xml:space="preserve">These actions are taken under delegated authority pursuant to Sections 0.131 and 0.331 </w:t>
      </w:r>
      <w:r w:rsidR="002F7497">
        <w:t>of the Commission’s rules, 47 CFR</w:t>
      </w:r>
      <w:r w:rsidRPr="00BB4E53">
        <w:t xml:space="preserve"> §§ 0.131, 0.331.</w:t>
      </w:r>
      <w:r w:rsidR="00FB618B">
        <w:t xml:space="preserve"> </w:t>
      </w:r>
    </w:p>
    <w:p w:rsidR="00E235BC" w:rsidRPr="002D0D24" w:rsidP="00FB618B" w14:paraId="4D555B1B" w14:textId="77777777">
      <w:pPr>
        <w:pStyle w:val="ParaNum"/>
      </w:pPr>
    </w:p>
    <w:p w:rsidR="007E009B" w:rsidRPr="002D0D24" w:rsidP="00FB618B" w14:paraId="5E94F6F8" w14:textId="77777777">
      <w:pPr>
        <w:pStyle w:val="ParaNum"/>
        <w:ind w:left="4320"/>
      </w:pPr>
      <w:r w:rsidRPr="002D0D24">
        <w:t>Sincerely,</w:t>
      </w:r>
    </w:p>
    <w:p w:rsidR="007E009B" w:rsidP="00FB618B" w14:paraId="13D371F8" w14:textId="3A9DB625">
      <w:pPr>
        <w:pStyle w:val="ParaNum"/>
        <w:ind w:left="4320"/>
      </w:pPr>
    </w:p>
    <w:p w:rsidR="00A25BCD" w:rsidRPr="002D0D24" w:rsidP="00FB618B" w14:paraId="4F617053" w14:textId="77777777">
      <w:pPr>
        <w:pStyle w:val="ParaNum"/>
        <w:ind w:left="4320"/>
      </w:pPr>
    </w:p>
    <w:p w:rsidR="007E009B" w:rsidRPr="002D0D24" w:rsidP="00FB618B" w14:paraId="31C803D2" w14:textId="77777777">
      <w:pPr>
        <w:pStyle w:val="ParaNum"/>
        <w:ind w:left="4320"/>
      </w:pPr>
    </w:p>
    <w:p w:rsidR="007E009B" w:rsidRPr="002D0D24" w:rsidP="00FB618B" w14:paraId="61476920" w14:textId="77777777">
      <w:pPr>
        <w:pStyle w:val="ParaNum"/>
        <w:ind w:left="4320"/>
      </w:pPr>
      <w:r w:rsidRPr="002D0D24">
        <w:t>Roger S. Noel</w:t>
      </w:r>
    </w:p>
    <w:p w:rsidR="007E009B" w:rsidRPr="00C22544" w:rsidP="00FB618B" w14:paraId="0B98E8AA" w14:textId="77777777">
      <w:pPr>
        <w:pStyle w:val="ParaNum"/>
        <w:ind w:left="4320"/>
      </w:pPr>
      <w:r w:rsidRPr="00C22544">
        <w:t>Chief, Mobility Division</w:t>
      </w:r>
    </w:p>
    <w:p w:rsidR="00A917FA" w:rsidP="00DB0C6E" w14:paraId="38E7113F" w14:textId="2E45AABE">
      <w:pPr>
        <w:pStyle w:val="ParaNum"/>
        <w:ind w:left="4320"/>
      </w:pPr>
      <w:r w:rsidRPr="00C22544">
        <w:t>Wireless Telecommunications Bureau</w:t>
      </w:r>
    </w:p>
    <w:p w:rsidR="00A917FA" w:rsidP="00FB618B" w14:paraId="138D69A4" w14:textId="77777777">
      <w:pPr>
        <w:pStyle w:val="ParaNum"/>
      </w:pPr>
    </w:p>
    <w:p w:rsidR="00B40600" w:rsidP="00FB618B" w14:paraId="22B74A92" w14:textId="77777777">
      <w:pPr>
        <w:pStyle w:val="ParaNum"/>
      </w:pPr>
    </w:p>
    <w:p w:rsidR="005E4989" w:rsidP="00FB618B" w14:paraId="331A848E" w14:textId="0066A078">
      <w:pPr>
        <w:pStyle w:val="ParaNum"/>
      </w:pPr>
      <w:r>
        <w:t>cc:</w:t>
      </w:r>
      <w:r>
        <w:tab/>
      </w:r>
      <w:r w:rsidR="00014401">
        <w:t xml:space="preserve">Sagebrush Cellular, </w:t>
      </w:r>
      <w:r>
        <w:t>Inc.</w:t>
      </w:r>
    </w:p>
    <w:p w:rsidR="00D449AF" w:rsidP="00FB618B" w14:paraId="2846CC48" w14:textId="33369D97">
      <w:pPr>
        <w:pStyle w:val="ParaNum"/>
      </w:pPr>
      <w:r>
        <w:tab/>
      </w:r>
      <w:r w:rsidR="00014401">
        <w:t>P.O. Box 600</w:t>
      </w:r>
    </w:p>
    <w:p w:rsidR="00D449AF" w:rsidP="00FB618B" w14:paraId="3849E703" w14:textId="1986A736">
      <w:pPr>
        <w:pStyle w:val="ParaNum"/>
      </w:pPr>
      <w:r>
        <w:tab/>
      </w:r>
      <w:r w:rsidR="00014401">
        <w:t>61 Highway 13 South</w:t>
      </w:r>
    </w:p>
    <w:p w:rsidR="00014401" w:rsidP="00FB618B" w14:paraId="5DC97365" w14:textId="1988B9E9">
      <w:pPr>
        <w:pStyle w:val="ParaNum"/>
      </w:pPr>
      <w:r>
        <w:tab/>
        <w:t>Scobey, MT 59263</w:t>
      </w:r>
    </w:p>
    <w:p w:rsidR="00D449AF" w:rsidRPr="00177D42" w:rsidP="00FB618B" w14:paraId="55EE6CDD" w14:textId="741387A2">
      <w:pPr>
        <w:pStyle w:val="ParaNum"/>
      </w:pPr>
      <w:r>
        <w:tab/>
        <w:t xml:space="preserve">Attn: </w:t>
      </w:r>
      <w:r w:rsidR="00014401">
        <w:t>Jerry Tilley</w:t>
      </w:r>
    </w:p>
    <w:sectPr w:rsidSect="002B5667">
      <w:headerReference w:type="default" r:id="rId5"/>
      <w:footerReference w:type="default" r:id="rId6"/>
      <w:headerReference w:type="first" r:id="rId7"/>
      <w:pgSz w:w="12240" w:h="15840" w:code="1"/>
      <w:pgMar w:top="1440" w:right="1440" w:bottom="720" w:left="1440" w:header="720" w:footer="43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7B7" w14:paraId="77E092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12BF" w14:paraId="4E20A9ED" w14:textId="77777777">
      <w:r>
        <w:separator/>
      </w:r>
    </w:p>
  </w:footnote>
  <w:footnote w:type="continuationSeparator" w:id="1">
    <w:p w:rsidR="00A112BF" w14:paraId="347EA86C" w14:textId="77777777">
      <w:r>
        <w:t xml:space="preserve">(Continued from previous page) </w:t>
      </w:r>
      <w:r>
        <w:separator/>
      </w:r>
    </w:p>
  </w:footnote>
  <w:footnote w:type="continuationNotice" w:id="2">
    <w:p w:rsidR="00A112BF" w:rsidP="001E4D4C" w14:paraId="532A1191" w14:textId="77777777"/>
  </w:footnote>
  <w:footnote w:id="3">
    <w:p w:rsidR="00305AB0" w:rsidP="00900F00" w14:paraId="7D45CC6B" w14:textId="5BC2DCE3">
      <w:pPr>
        <w:pStyle w:val="FootnoteText"/>
        <w:jc w:val="left"/>
      </w:pPr>
      <w:r>
        <w:rPr>
          <w:rStyle w:val="FootnoteReference"/>
        </w:rPr>
        <w:footnoteRef/>
      </w:r>
      <w:r>
        <w:t xml:space="preserve"> Nemont provides wireless services to rural areas in Montana through Sagebrush and its other wholly-owned subsidiary, </w:t>
      </w:r>
      <w:r>
        <w:t>Nemont</w:t>
      </w:r>
      <w:r>
        <w:t xml:space="preserve"> Communications, Inc.</w:t>
      </w:r>
      <w:r w:rsidR="00B9669D">
        <w:t xml:space="preserve">  </w:t>
      </w:r>
      <w:r w:rsidRPr="005B6695" w:rsidR="00B9669D">
        <w:rPr>
          <w:i/>
        </w:rPr>
        <w:t xml:space="preserve">See </w:t>
      </w:r>
      <w:r w:rsidR="00B9669D">
        <w:t xml:space="preserve">Waiver Request, </w:t>
      </w:r>
      <w:r w:rsidRPr="002F4C13" w:rsidR="00B9669D">
        <w:t>Call Sign</w:t>
      </w:r>
      <w:r w:rsidR="00B9669D">
        <w:t xml:space="preserve"> WQJU690, File No. 0008688193</w:t>
      </w:r>
      <w:r w:rsidR="00BD0352">
        <w:t>, at 1</w:t>
      </w:r>
      <w:r w:rsidRPr="002F4C13" w:rsidR="00B9669D">
        <w:t xml:space="preserve"> (filed </w:t>
      </w:r>
      <w:r w:rsidR="00B9669D">
        <w:t>June 13, 2019)</w:t>
      </w:r>
      <w:r w:rsidR="000711A5">
        <w:t>.</w:t>
      </w:r>
    </w:p>
  </w:footnote>
  <w:footnote w:id="4">
    <w:p w:rsidR="002657B7" w:rsidP="00900F00" w14:paraId="34B426F1" w14:textId="57A467BA">
      <w:pPr>
        <w:pStyle w:val="FootnoteText"/>
        <w:jc w:val="left"/>
      </w:pPr>
      <w:r>
        <w:rPr>
          <w:rStyle w:val="FootnoteReference"/>
        </w:rPr>
        <w:footnoteRef/>
      </w:r>
      <w:r>
        <w:t xml:space="preserve"> </w:t>
      </w:r>
      <w:r w:rsidRPr="005B6695" w:rsidR="005B6695">
        <w:rPr>
          <w:i/>
        </w:rPr>
        <w:t xml:space="preserve">See </w:t>
      </w:r>
      <w:r w:rsidR="005B6695">
        <w:t>Waiver Request</w:t>
      </w:r>
      <w:r w:rsidR="003D3576">
        <w:t>,</w:t>
      </w:r>
      <w:r w:rsidR="00B40600">
        <w:t xml:space="preserve"> </w:t>
      </w:r>
      <w:r w:rsidRPr="002F4C13">
        <w:t>Call Sign</w:t>
      </w:r>
      <w:r w:rsidR="005B6695">
        <w:t xml:space="preserve"> WQJU690, File No. 0008688193</w:t>
      </w:r>
      <w:r w:rsidRPr="002F4C13">
        <w:t xml:space="preserve"> (filed </w:t>
      </w:r>
      <w:r w:rsidR="00B40600">
        <w:t>June 13, 2019</w:t>
      </w:r>
      <w:r>
        <w:t>)</w:t>
      </w:r>
      <w:r w:rsidR="00E62950">
        <w:t>, and</w:t>
      </w:r>
      <w:r w:rsidR="005B6695">
        <w:t xml:space="preserve"> Waiver Request, Call Sign WQJU692, File No. 0008688213 (filed June 13, 2019)</w:t>
      </w:r>
      <w:r w:rsidR="00E62950">
        <w:t xml:space="preserve">.  For call sign WQJQ771, the </w:t>
      </w:r>
      <w:r w:rsidR="00B60CD7">
        <w:t xml:space="preserve">request to waive a </w:t>
      </w:r>
      <w:r w:rsidR="001F200E">
        <w:t xml:space="preserve">construction </w:t>
      </w:r>
      <w:r w:rsidR="00B60CD7">
        <w:t>requirement</w:t>
      </w:r>
      <w:r w:rsidR="00E62950">
        <w:t xml:space="preserve"> was filed in connection with the licensee’s renewal application.  </w:t>
      </w:r>
      <w:r w:rsidRPr="00E62950" w:rsidR="00E62950">
        <w:rPr>
          <w:i/>
        </w:rPr>
        <w:t>See</w:t>
      </w:r>
      <w:r w:rsidRPr="00E62950" w:rsidR="005B6695">
        <w:rPr>
          <w:i/>
        </w:rPr>
        <w:t xml:space="preserve"> </w:t>
      </w:r>
      <w:r w:rsidR="005B6695">
        <w:t>Supplemental Renewal Statement and Waiver Request</w:t>
      </w:r>
      <w:r w:rsidR="00DA495F">
        <w:t>, Call Sign WQJQ771, File No. 0008572490 (filed June 13, 2019)</w:t>
      </w:r>
      <w:r w:rsidR="001B606A">
        <w:t xml:space="preserve">.  </w:t>
      </w:r>
      <w:r w:rsidR="00E62950">
        <w:t xml:space="preserve">The Request was also filed in connection with the renewal applications of call sign WQJU690 and call sign WQJU692.  </w:t>
      </w:r>
      <w:r w:rsidRPr="00E62950" w:rsidR="00E62950">
        <w:rPr>
          <w:i/>
        </w:rPr>
        <w:t xml:space="preserve">See </w:t>
      </w:r>
      <w:r w:rsidR="00E62950">
        <w:t>File No. 0008572491 and File No. 0008572493.</w:t>
      </w:r>
      <w:r>
        <w:t xml:space="preserve">     </w:t>
      </w:r>
    </w:p>
  </w:footnote>
  <w:footnote w:id="5">
    <w:p w:rsidR="0066723A" w:rsidP="00900F00" w14:paraId="31B67A6C" w14:textId="03E53A91">
      <w:pPr>
        <w:pStyle w:val="FootnoteText"/>
        <w:jc w:val="left"/>
      </w:pPr>
      <w:r>
        <w:rPr>
          <w:rStyle w:val="FootnoteReference"/>
        </w:rPr>
        <w:footnoteRef/>
      </w:r>
      <w:r>
        <w:t xml:space="preserve"> </w:t>
      </w:r>
      <w:r w:rsidR="003F41BA">
        <w:t>Nemont</w:t>
      </w:r>
      <w:r w:rsidR="003F41BA">
        <w:t xml:space="preserve"> requests a wa</w:t>
      </w:r>
      <w:r w:rsidR="00E62950">
        <w:t>i</w:t>
      </w:r>
      <w:r w:rsidR="003F41BA">
        <w:t>ver</w:t>
      </w:r>
      <w:r w:rsidR="00631409">
        <w:t xml:space="preserve"> of </w:t>
      </w:r>
      <w:r w:rsidR="007F2F18">
        <w:t>its</w:t>
      </w:r>
      <w:r w:rsidR="00631409">
        <w:t xml:space="preserve"> construction requirement in Section 27.14(g) of the Commission’s rules, 47 CFR § 27.14(g),</w:t>
      </w:r>
      <w:r w:rsidR="003F41BA">
        <w:t xml:space="preserve"> pursuant to Section 1.925(b)(3)(ii) of the Commission’s rules, 47 CFR § 1.925(b)(3)(ii).</w:t>
      </w:r>
      <w:r w:rsidR="00631409">
        <w:t xml:space="preserve">  Although Nemont requests that the Licenses not be subject to a renewal review at this time, </w:t>
      </w:r>
      <w:r w:rsidR="00711088">
        <w:t>it only seeks a waiver of Section 27.14(e), 47 CFR § 27.14</w:t>
      </w:r>
      <w:r w:rsidR="00E14A31">
        <w:t>(e)</w:t>
      </w:r>
      <w:r w:rsidR="00711088">
        <w:t>, for call sign WQJQ771 and</w:t>
      </w:r>
      <w:r w:rsidR="00631409">
        <w:t xml:space="preserve"> does not explicitly request a waiver of the renewal requirement </w:t>
      </w:r>
      <w:r w:rsidR="00711088">
        <w:t xml:space="preserve">for </w:t>
      </w:r>
      <w:r w:rsidR="007F2F18">
        <w:t>call sign</w:t>
      </w:r>
      <w:r w:rsidR="00711088">
        <w:t>s</w:t>
      </w:r>
      <w:r w:rsidR="007F2F18">
        <w:t xml:space="preserve"> WQJU690 and WQJU692.</w:t>
      </w:r>
      <w:r w:rsidR="001B606A">
        <w:t xml:space="preserve"> </w:t>
      </w:r>
    </w:p>
  </w:footnote>
  <w:footnote w:id="6">
    <w:p w:rsidR="00CE4424" w14:paraId="2EE217BF" w14:textId="7BA8D6AD">
      <w:pPr>
        <w:pStyle w:val="FootnoteText"/>
      </w:pPr>
      <w:r>
        <w:rPr>
          <w:rStyle w:val="FootnoteReference"/>
        </w:rPr>
        <w:footnoteRef/>
      </w:r>
      <w:r>
        <w:t xml:space="preserve"> As explained herein, the previous licensee of call sign WQJQ771 met the</w:t>
      </w:r>
      <w:r w:rsidR="004940EA">
        <w:t xml:space="preserve"> end of term construction requirement for th</w:t>
      </w:r>
      <w:r w:rsidR="00F733AF">
        <w:t>is</w:t>
      </w:r>
      <w:r w:rsidR="004940EA">
        <w:t xml:space="preserve"> license</w:t>
      </w:r>
      <w:r>
        <w:t xml:space="preserve"> in 2016.</w:t>
      </w:r>
    </w:p>
  </w:footnote>
  <w:footnote w:id="7">
    <w:p w:rsidR="00CC3B35" w:rsidP="00900F00" w14:paraId="7D2738DF" w14:textId="4735AC80">
      <w:pPr>
        <w:pStyle w:val="FootnoteText"/>
        <w:jc w:val="left"/>
      </w:pPr>
      <w:r>
        <w:rPr>
          <w:rStyle w:val="FootnoteReference"/>
        </w:rPr>
        <w:footnoteRef/>
      </w:r>
      <w:r>
        <w:t xml:space="preserve"> </w:t>
      </w:r>
      <w:r w:rsidRPr="00CC3B35">
        <w:rPr>
          <w:i/>
        </w:rPr>
        <w:t xml:space="preserve">See </w:t>
      </w:r>
      <w:r>
        <w:t xml:space="preserve">47 CFR § 27.14(g); </w:t>
      </w:r>
      <w:r w:rsidRPr="00CC3B35">
        <w:rPr>
          <w:i/>
        </w:rPr>
        <w:t>Promoting Interoperability in the 700 MHz Commercial Spectrum</w:t>
      </w:r>
      <w:r>
        <w:t>, Report and Order and Order of Proposed Modification, 28 FCC Rcd 15122, 15151-52, paras. 64-65 (2013).</w:t>
      </w:r>
    </w:p>
  </w:footnote>
  <w:footnote w:id="8">
    <w:p w:rsidR="00EC6C61" w:rsidP="00900F00" w14:paraId="144B019A" w14:textId="648CA3B3">
      <w:pPr>
        <w:pStyle w:val="FootnoteText"/>
        <w:jc w:val="left"/>
      </w:pPr>
      <w:r>
        <w:rPr>
          <w:rStyle w:val="FootnoteReference"/>
        </w:rPr>
        <w:footnoteRef/>
      </w:r>
      <w:r>
        <w:t xml:space="preserve"> 47 CFR § 27.14(g)(2).  </w:t>
      </w:r>
      <w:r w:rsidRPr="00EC6C61">
        <w:rPr>
          <w:i/>
        </w:rPr>
        <w:t>See also Wireless Telecommunications Bureau Announces Process for Relicensing 700 MHz Spectrum in Unserved Areas</w:t>
      </w:r>
      <w:r>
        <w:t>, Public Notice</w:t>
      </w:r>
      <w:r w:rsidR="007F5DC2">
        <w:t>, 34 FCC Rcd 350</w:t>
      </w:r>
      <w:r>
        <w:t xml:space="preserve"> (WTB 2019)</w:t>
      </w:r>
      <w:r w:rsidR="007F5DC2">
        <w:t>.</w:t>
      </w:r>
      <w:r w:rsidR="00270A95">
        <w:t xml:space="preserve">  The re-licensing will occur in two phases, and a licensee can re-apply for the lost unserved areas in Phase 2 of the re-licensing if the areas have not been re-licensed to a new licensee in Phase 1.</w:t>
      </w:r>
    </w:p>
  </w:footnote>
  <w:footnote w:id="9">
    <w:p w:rsidR="002B1222" w14:paraId="1F2D7B13" w14:textId="57BAB3B1">
      <w:pPr>
        <w:pStyle w:val="FootnoteText"/>
      </w:pPr>
      <w:r>
        <w:rPr>
          <w:rStyle w:val="FootnoteReference"/>
        </w:rPr>
        <w:footnoteRef/>
      </w:r>
      <w:r>
        <w:t xml:space="preserve"> 47 CFR § 27.14(e).</w:t>
      </w:r>
    </w:p>
  </w:footnote>
  <w:footnote w:id="10">
    <w:p w:rsidR="005D01DB" w:rsidP="00900F00" w14:paraId="78C2FFF8" w14:textId="21C68910">
      <w:pPr>
        <w:pStyle w:val="FootnoteText"/>
        <w:jc w:val="left"/>
      </w:pPr>
      <w:r>
        <w:rPr>
          <w:rStyle w:val="FootnoteReference"/>
        </w:rPr>
        <w:footnoteRef/>
      </w:r>
      <w:r>
        <w:t xml:space="preserve"> Request at 1. </w:t>
      </w:r>
      <w:r w:rsidRPr="005D01DB">
        <w:rPr>
          <w:i/>
        </w:rPr>
        <w:t>See</w:t>
      </w:r>
      <w:r>
        <w:t xml:space="preserve"> File Nos. 0008293627 (assignment application</w:t>
      </w:r>
      <w:r w:rsidR="00D469E2">
        <w:t xml:space="preserve"> filed July 31, 2018</w:t>
      </w:r>
      <w:r>
        <w:t>) and 0008404236 (notice of consummation</w:t>
      </w:r>
      <w:r w:rsidR="00D469E2">
        <w:t xml:space="preserve"> filed October 17, 2018</w:t>
      </w:r>
      <w:r>
        <w:t>).</w:t>
      </w:r>
    </w:p>
  </w:footnote>
  <w:footnote w:id="11">
    <w:p w:rsidR="001A1C44" w:rsidP="00900F00" w14:paraId="2EFEA8A3" w14:textId="73B96B86">
      <w:pPr>
        <w:pStyle w:val="FootnoteText"/>
        <w:jc w:val="left"/>
      </w:pPr>
      <w:r>
        <w:rPr>
          <w:rStyle w:val="FootnoteReference"/>
        </w:rPr>
        <w:footnoteRef/>
      </w:r>
      <w:r>
        <w:t xml:space="preserve"> Request at 1.</w:t>
      </w:r>
    </w:p>
  </w:footnote>
  <w:footnote w:id="12">
    <w:p w:rsidR="001A1C44" w:rsidRPr="0055397F" w:rsidP="00900F00" w14:paraId="49CDFF26" w14:textId="24E01C64">
      <w:pPr>
        <w:pStyle w:val="FootnoteText"/>
        <w:jc w:val="left"/>
      </w:pPr>
      <w:r>
        <w:rPr>
          <w:rStyle w:val="FootnoteReference"/>
        </w:rPr>
        <w:footnoteRef/>
      </w:r>
      <w:r>
        <w:t xml:space="preserve"> </w:t>
      </w:r>
      <w:r w:rsidRPr="001A1C44">
        <w:rPr>
          <w:i/>
        </w:rPr>
        <w:t>Id.</w:t>
      </w:r>
      <w:r w:rsidR="0055397F">
        <w:t xml:space="preserve">  Although </w:t>
      </w:r>
      <w:r w:rsidR="0055397F">
        <w:t>Nemont</w:t>
      </w:r>
      <w:r w:rsidR="00D64357">
        <w:t xml:space="preserve"> requests a waiver of</w:t>
      </w:r>
      <w:r w:rsidR="0090581A">
        <w:t xml:space="preserve"> </w:t>
      </w:r>
      <w:r w:rsidR="0055397F">
        <w:t>the Final Requirement for</w:t>
      </w:r>
      <w:r w:rsidR="00D64357">
        <w:t xml:space="preserve"> all three licenses at issue</w:t>
      </w:r>
      <w:r w:rsidR="0055397F">
        <w:t>, the pr</w:t>
      </w:r>
      <w:r w:rsidR="00437F52">
        <w:t>ior</w:t>
      </w:r>
      <w:r w:rsidR="0055397F">
        <w:t xml:space="preserve"> licensee, Mid-Rivers, </w:t>
      </w:r>
      <w:r w:rsidRPr="00D64357" w:rsidR="00437F52">
        <w:t>previously</w:t>
      </w:r>
      <w:r w:rsidRPr="00D64357" w:rsidR="0055397F">
        <w:t xml:space="preserve"> satisfied the Final Requirement at the interim deadline in 2016 for call sign WQJQ771</w:t>
      </w:r>
      <w:r w:rsidR="0055397F">
        <w:t xml:space="preserve"> (</w:t>
      </w:r>
      <w:r w:rsidRPr="00B93E44" w:rsidR="0055397F">
        <w:rPr>
          <w:i/>
        </w:rPr>
        <w:t xml:space="preserve">see </w:t>
      </w:r>
      <w:r w:rsidR="0055397F">
        <w:t>File No. 0007560823).</w:t>
      </w:r>
      <w:r w:rsidR="001A78ED">
        <w:t xml:space="preserve">  </w:t>
      </w:r>
      <w:r w:rsidR="0055397F">
        <w:t xml:space="preserve">Mid-Rivers satisfied </w:t>
      </w:r>
      <w:r w:rsidR="00437F52">
        <w:t xml:space="preserve">only </w:t>
      </w:r>
      <w:r w:rsidR="0055397F">
        <w:t>the Interim Requirement in 2016 for call signs WQJU690 and WQJU692.</w:t>
      </w:r>
      <w:r w:rsidR="0085619E">
        <w:t xml:space="preserve"> </w:t>
      </w:r>
    </w:p>
  </w:footnote>
  <w:footnote w:id="13">
    <w:p w:rsidR="0066723A" w:rsidP="00900F00" w14:paraId="25B9A955" w14:textId="434F5CF6">
      <w:pPr>
        <w:pStyle w:val="FootnoteText"/>
        <w:jc w:val="left"/>
      </w:pPr>
      <w:r>
        <w:rPr>
          <w:rStyle w:val="FootnoteReference"/>
        </w:rPr>
        <w:footnoteRef/>
      </w:r>
      <w:r>
        <w:t xml:space="preserve"> </w:t>
      </w:r>
      <w:r w:rsidRPr="0066723A">
        <w:rPr>
          <w:i/>
        </w:rPr>
        <w:t>Id.</w:t>
      </w:r>
      <w:r>
        <w:t xml:space="preserve">  </w:t>
      </w:r>
    </w:p>
  </w:footnote>
  <w:footnote w:id="14">
    <w:p w:rsidR="003F41BA" w:rsidP="00900F00" w14:paraId="5A1A0E8D" w14:textId="79125AAE">
      <w:pPr>
        <w:pStyle w:val="FootnoteText"/>
        <w:jc w:val="left"/>
      </w:pPr>
      <w:r>
        <w:rPr>
          <w:rStyle w:val="FootnoteReference"/>
        </w:rPr>
        <w:footnoteRef/>
      </w:r>
      <w:r>
        <w:t xml:space="preserve"> </w:t>
      </w:r>
      <w:r w:rsidRPr="00B93E44" w:rsidR="00B524B7">
        <w:t>Request</w:t>
      </w:r>
      <w:r w:rsidR="00B524B7">
        <w:t xml:space="preserve"> at 1-2.</w:t>
      </w:r>
    </w:p>
  </w:footnote>
  <w:footnote w:id="15">
    <w:p w:rsidR="00D97404" w:rsidP="00900F00" w14:paraId="28C90F6B" w14:textId="4BA9B1B5">
      <w:pPr>
        <w:pStyle w:val="FootnoteText"/>
        <w:jc w:val="left"/>
      </w:pPr>
      <w:r>
        <w:rPr>
          <w:rStyle w:val="FootnoteReference"/>
        </w:rPr>
        <w:footnoteRef/>
      </w:r>
      <w:r>
        <w:t xml:space="preserve"> </w:t>
      </w:r>
      <w:r w:rsidRPr="00D97404">
        <w:rPr>
          <w:i/>
        </w:rPr>
        <w:t>Id.</w:t>
      </w:r>
      <w:r>
        <w:t xml:space="preserve"> at </w:t>
      </w:r>
      <w:r w:rsidR="001C341A">
        <w:t>2</w:t>
      </w:r>
      <w:r>
        <w:t>.</w:t>
      </w:r>
    </w:p>
  </w:footnote>
  <w:footnote w:id="16">
    <w:p w:rsidR="00686C2E" w:rsidRPr="00686C2E" w:rsidP="00900F00" w14:paraId="662FAE5F" w14:textId="3BFB7276">
      <w:pPr>
        <w:pStyle w:val="FootnoteText"/>
        <w:jc w:val="left"/>
        <w:rPr>
          <w:i/>
        </w:rPr>
      </w:pPr>
      <w:r>
        <w:rPr>
          <w:rStyle w:val="FootnoteReference"/>
        </w:rPr>
        <w:footnoteRef/>
      </w:r>
      <w:r>
        <w:t xml:space="preserve"> </w:t>
      </w:r>
      <w:r w:rsidRPr="00686C2E">
        <w:rPr>
          <w:i/>
        </w:rPr>
        <w:t>Id.</w:t>
      </w:r>
    </w:p>
  </w:footnote>
  <w:footnote w:id="17">
    <w:p w:rsidR="00686C2E" w:rsidP="00900F00" w14:paraId="44C1358D" w14:textId="48592CB9">
      <w:pPr>
        <w:pStyle w:val="FootnoteText"/>
        <w:jc w:val="left"/>
      </w:pPr>
      <w:r>
        <w:rPr>
          <w:rStyle w:val="FootnoteReference"/>
        </w:rPr>
        <w:footnoteRef/>
      </w:r>
      <w:r>
        <w:t xml:space="preserve"> </w:t>
      </w:r>
      <w:r w:rsidRPr="00686C2E">
        <w:rPr>
          <w:i/>
        </w:rPr>
        <w:t>Id.</w:t>
      </w:r>
    </w:p>
  </w:footnote>
  <w:footnote w:id="18">
    <w:p w:rsidR="0034055F" w:rsidP="00900F00" w14:paraId="4D9AEC6F" w14:textId="318EE18D">
      <w:pPr>
        <w:pStyle w:val="FootnoteText"/>
        <w:jc w:val="left"/>
      </w:pPr>
      <w:r>
        <w:rPr>
          <w:rStyle w:val="FootnoteReference"/>
        </w:rPr>
        <w:footnoteRef/>
      </w:r>
      <w:r>
        <w:t xml:space="preserve"> </w:t>
      </w:r>
      <w:r w:rsidRPr="0034055F">
        <w:rPr>
          <w:i/>
        </w:rPr>
        <w:t>Id.</w:t>
      </w:r>
      <w:r>
        <w:t xml:space="preserve"> at 1.</w:t>
      </w:r>
    </w:p>
  </w:footnote>
  <w:footnote w:id="19">
    <w:p w:rsidR="00654169" w:rsidP="00900F00" w14:paraId="2A53DB0C" w14:textId="77777777">
      <w:pPr>
        <w:pStyle w:val="FootnoteText"/>
        <w:jc w:val="left"/>
      </w:pPr>
      <w:r>
        <w:rPr>
          <w:rStyle w:val="FootnoteReference"/>
        </w:rPr>
        <w:footnoteRef/>
      </w:r>
      <w:r>
        <w:t xml:space="preserve"> </w:t>
      </w:r>
      <w:r w:rsidRPr="00157CE0">
        <w:rPr>
          <w:i/>
        </w:rPr>
        <w:t>See WAIT Radio v. FCC</w:t>
      </w:r>
      <w:r w:rsidRPr="00157CE0">
        <w:t xml:space="preserve">, 459 F.2d 1203, 1207 (D.C. Cir. 1972).  </w:t>
      </w:r>
    </w:p>
  </w:footnote>
  <w:footnote w:id="20">
    <w:p w:rsidR="002657B7" w:rsidRPr="007A0E4C" w:rsidP="00900F00" w14:paraId="59837AB7" w14:textId="77777777">
      <w:pPr>
        <w:pStyle w:val="FootnoteText"/>
        <w:jc w:val="left"/>
      </w:pPr>
      <w:r>
        <w:rPr>
          <w:rStyle w:val="FootnoteReference"/>
        </w:rPr>
        <w:footnoteRef/>
      </w:r>
      <w:r>
        <w:t xml:space="preserve"> </w:t>
      </w:r>
      <w:r>
        <w:rPr>
          <w:i/>
        </w:rPr>
        <w:t xml:space="preserve">Northeast Cellular Telephone Co. v. FCC, </w:t>
      </w:r>
      <w:r>
        <w:t>897 F.2d 1164, 1166 (D.C.Cir. 1990).</w:t>
      </w:r>
    </w:p>
  </w:footnote>
  <w:footnote w:id="21">
    <w:p w:rsidR="002657B7" w:rsidRPr="00065067" w:rsidP="00900F00" w14:paraId="2407B17F" w14:textId="77777777">
      <w:pPr>
        <w:pStyle w:val="FootnoteText"/>
        <w:jc w:val="left"/>
      </w:pPr>
      <w:r w:rsidRPr="00065067">
        <w:rPr>
          <w:rStyle w:val="FootnoteReference"/>
        </w:rPr>
        <w:footnoteRef/>
      </w:r>
      <w:r w:rsidRPr="00065067">
        <w:t xml:space="preserve"> </w:t>
      </w:r>
      <w:r w:rsidRPr="00065067">
        <w:rPr>
          <w:i/>
        </w:rPr>
        <w:t>WAIT Radio v. FCC</w:t>
      </w:r>
      <w:r w:rsidRPr="00065067">
        <w:t xml:space="preserve">, 418 F.2d 1153, 1159 (D.C. Cir. 1969); </w:t>
      </w:r>
      <w:r w:rsidRPr="00065067">
        <w:rPr>
          <w:i/>
        </w:rPr>
        <w:t>Northeast Cellular</w:t>
      </w:r>
      <w:r w:rsidRPr="00065067">
        <w:t>, 897 F.2d at 1166.</w:t>
      </w:r>
    </w:p>
  </w:footnote>
  <w:footnote w:id="22">
    <w:p w:rsidR="002657B7" w:rsidRPr="009D378D" w:rsidP="00900F00" w14:paraId="56312802" w14:textId="578819FE">
      <w:pPr>
        <w:pStyle w:val="FootnoteText"/>
        <w:jc w:val="left"/>
      </w:pPr>
      <w:r>
        <w:rPr>
          <w:rStyle w:val="FootnoteReference"/>
        </w:rPr>
        <w:footnoteRef/>
      </w:r>
      <w:r>
        <w:t xml:space="preserve"> 47 CFR § 1.925(b)(3).</w:t>
      </w:r>
      <w:r w:rsidR="00314C30">
        <w:t xml:space="preserve">  </w:t>
      </w:r>
    </w:p>
  </w:footnote>
  <w:footnote w:id="23">
    <w:p w:rsidR="00F37628" w:rsidP="00900F00" w14:paraId="45DE5179" w14:textId="77777777">
      <w:pPr>
        <w:pStyle w:val="FootnoteText"/>
        <w:jc w:val="left"/>
      </w:pPr>
      <w:r>
        <w:rPr>
          <w:rStyle w:val="FootnoteReference"/>
        </w:rPr>
        <w:footnoteRef/>
      </w:r>
      <w:r>
        <w:t xml:space="preserve"> </w:t>
      </w:r>
      <w:r w:rsidRPr="00115680">
        <w:rPr>
          <w:i/>
        </w:rPr>
        <w:t>See</w:t>
      </w:r>
      <w:r>
        <w:t xml:space="preserve"> 47 CFR § 1.925(b)(3)(i).</w:t>
      </w:r>
    </w:p>
  </w:footnote>
  <w:footnote w:id="24">
    <w:p w:rsidR="007D0483" w:rsidP="00900F00" w14:paraId="45E13691" w14:textId="0838C66B">
      <w:pPr>
        <w:pStyle w:val="FootnoteText"/>
        <w:jc w:val="left"/>
      </w:pPr>
      <w:r>
        <w:rPr>
          <w:rStyle w:val="FootnoteReference"/>
        </w:rPr>
        <w:footnoteRef/>
      </w:r>
      <w:r>
        <w:t xml:space="preserve"> Request at 1.</w:t>
      </w:r>
    </w:p>
  </w:footnote>
  <w:footnote w:id="25">
    <w:p w:rsidR="00167251" w:rsidP="00900F00" w14:paraId="03385D99" w14:textId="77777777">
      <w:pPr>
        <w:pStyle w:val="FootnoteText"/>
        <w:jc w:val="left"/>
      </w:pPr>
      <w:r>
        <w:rPr>
          <w:rStyle w:val="FootnoteReference"/>
        </w:rPr>
        <w:footnoteRef/>
      </w:r>
      <w:r>
        <w:t xml:space="preserve"> </w:t>
      </w:r>
      <w:r w:rsidRPr="00960B45">
        <w:rPr>
          <w:i/>
        </w:rPr>
        <w:t>See</w:t>
      </w:r>
      <w:r>
        <w:rPr>
          <w:i/>
        </w:rPr>
        <w:t xml:space="preserve">, e.g., </w:t>
      </w:r>
      <w:r>
        <w:t xml:space="preserve">Letter to Stefan M. Lopatkiewicz, Esq., Counsel for TelAlaska, Inc. from Roger S. Noel, Mobility Division, Wireless Telecommunications Bureau, Letter Order, 24 FCC Rcd 7380, 7384 n.30 (WTB 2006); </w:t>
      </w:r>
      <w:r w:rsidRPr="00A973BF">
        <w:rPr>
          <w:i/>
        </w:rPr>
        <w:t>Redwood Wireless Minnesota, L.L.C. and Redwood Wireless Wisconsin, L.L.C. Request for Waiver and Extension of the Broadband PCS Construction Requirements</w:t>
      </w:r>
      <w:r>
        <w:t xml:space="preserve">, Order, 17 FCC Rcd 22416, 22419-23, paras. 6-13 (WTB 2002); </w:t>
      </w:r>
      <w:r w:rsidRPr="00582A5F">
        <w:rPr>
          <w:i/>
        </w:rPr>
        <w:t>see also</w:t>
      </w:r>
      <w:r>
        <w:t xml:space="preserve"> 47 CFR § 1.946(e)(2). </w:t>
      </w:r>
    </w:p>
  </w:footnote>
  <w:footnote w:id="26">
    <w:p w:rsidR="00F37628" w:rsidP="00900F00" w14:paraId="39E35486" w14:textId="77777777">
      <w:pPr>
        <w:pStyle w:val="FootnoteText"/>
        <w:jc w:val="left"/>
      </w:pPr>
      <w:r>
        <w:rPr>
          <w:rStyle w:val="FootnoteReference"/>
        </w:rPr>
        <w:footnoteRef/>
      </w:r>
      <w:r>
        <w:t xml:space="preserve"> </w:t>
      </w:r>
      <w:r w:rsidRPr="00115680">
        <w:rPr>
          <w:i/>
        </w:rPr>
        <w:t>See</w:t>
      </w:r>
      <w:r>
        <w:t xml:space="preserve"> 47 CFR § 1.925(b)(3)(ii).</w:t>
      </w:r>
    </w:p>
  </w:footnote>
  <w:footnote w:id="27">
    <w:p w:rsidR="002B0AF9" w14:paraId="45EB7387" w14:textId="6D9D77F5">
      <w:pPr>
        <w:pStyle w:val="FootnoteText"/>
      </w:pPr>
      <w:r>
        <w:rPr>
          <w:rStyle w:val="FootnoteReference"/>
        </w:rPr>
        <w:footnoteRef/>
      </w:r>
      <w:r>
        <w:t xml:space="preserve"> Request at 2.</w:t>
      </w:r>
    </w:p>
  </w:footnote>
  <w:footnote w:id="28">
    <w:p w:rsidR="0019099B" w14:paraId="6EA89415" w14:textId="404AEF83">
      <w:pPr>
        <w:pStyle w:val="FootnoteText"/>
      </w:pPr>
      <w:r>
        <w:rPr>
          <w:rStyle w:val="FootnoteReference"/>
        </w:rPr>
        <w:footnoteRef/>
      </w:r>
      <w:r>
        <w:t xml:space="preserve"> </w:t>
      </w:r>
      <w:r w:rsidRPr="0019099B">
        <w:rPr>
          <w:i/>
        </w:rPr>
        <w:t>Id.</w:t>
      </w:r>
    </w:p>
  </w:footnote>
  <w:footnote w:id="29">
    <w:p w:rsidR="008E3378" w14:paraId="64B947CE" w14:textId="2C05EA50">
      <w:pPr>
        <w:pStyle w:val="FootnoteText"/>
      </w:pPr>
      <w:r>
        <w:rPr>
          <w:rStyle w:val="FootnoteReference"/>
        </w:rPr>
        <w:footnoteRef/>
      </w:r>
      <w:r>
        <w:t xml:space="preserve"> </w:t>
      </w:r>
      <w:r w:rsidRPr="008E3378">
        <w:rPr>
          <w:i/>
        </w:rPr>
        <w:t>See supra</w:t>
      </w:r>
      <w:r>
        <w:t xml:space="preserve"> note 10.</w:t>
      </w:r>
    </w:p>
  </w:footnote>
  <w:footnote w:id="30">
    <w:p w:rsidR="001014A3" w:rsidP="00900F00" w14:paraId="30997452" w14:textId="45A2FB4C">
      <w:pPr>
        <w:pStyle w:val="FootnoteText"/>
        <w:jc w:val="left"/>
      </w:pPr>
      <w:r>
        <w:rPr>
          <w:rStyle w:val="FootnoteReference"/>
        </w:rPr>
        <w:footnoteRef/>
      </w:r>
      <w:r>
        <w:t xml:space="preserve"> </w:t>
      </w:r>
      <w:r w:rsidRPr="005B6695">
        <w:rPr>
          <w:i/>
        </w:rPr>
        <w:t>See</w:t>
      </w:r>
      <w:r>
        <w:rPr>
          <w:i/>
        </w:rPr>
        <w:t xml:space="preserve"> </w:t>
      </w:r>
      <w:r>
        <w:t>File No. 0008688193</w:t>
      </w:r>
      <w:r w:rsidRPr="002F4C13">
        <w:t xml:space="preserve"> </w:t>
      </w:r>
      <w:r>
        <w:t xml:space="preserve">(call sign WQJU690) and File No. 0008688213 (call sign WQJU692).  </w:t>
      </w:r>
    </w:p>
  </w:footnote>
  <w:footnote w:id="31">
    <w:p w:rsidR="009A5375" w:rsidP="00900F00" w14:paraId="52CF74DC" w14:textId="452B4B21">
      <w:pPr>
        <w:pStyle w:val="FootnoteText"/>
        <w:jc w:val="left"/>
      </w:pPr>
      <w:r>
        <w:rPr>
          <w:rStyle w:val="FootnoteReference"/>
        </w:rPr>
        <w:footnoteRef/>
      </w:r>
      <w:r>
        <w:t xml:space="preserve"> </w:t>
      </w:r>
      <w:r w:rsidRPr="00CC3B35">
        <w:rPr>
          <w:i/>
        </w:rPr>
        <w:t xml:space="preserve">See </w:t>
      </w:r>
      <w:r>
        <w:t xml:space="preserve">47 CFR § 27.14(g); </w:t>
      </w:r>
      <w:r w:rsidRPr="00CC3B35">
        <w:rPr>
          <w:i/>
        </w:rPr>
        <w:t>Promoting Interoperability in the 700 MHz Commercial Spectrum</w:t>
      </w:r>
      <w:r>
        <w:t>, Report and Order and Order of Proposed Modification, 28 FCC Rcd 15122, 15151-52, paras. 64-65 (2013).</w:t>
      </w:r>
    </w:p>
  </w:footnote>
  <w:footnote w:id="32">
    <w:p w:rsidR="009A5375" w:rsidP="00900F00" w14:paraId="5851D912" w14:textId="32D46CC8">
      <w:pPr>
        <w:pStyle w:val="FootnoteText"/>
        <w:jc w:val="left"/>
      </w:pPr>
      <w:r>
        <w:rPr>
          <w:rStyle w:val="FootnoteReference"/>
        </w:rPr>
        <w:footnoteRef/>
      </w:r>
      <w:r>
        <w:t xml:space="preserve"> </w:t>
      </w:r>
      <w:r w:rsidRPr="009A5375">
        <w:rPr>
          <w:i/>
        </w:rPr>
        <w:t xml:space="preserve">See </w:t>
      </w:r>
      <w:r>
        <w:t>Request.</w:t>
      </w:r>
    </w:p>
  </w:footnote>
  <w:footnote w:id="33">
    <w:p w:rsidR="00F37628" w:rsidP="00900F00" w14:paraId="0A703C5D" w14:textId="6828765A">
      <w:pPr>
        <w:pStyle w:val="FootnoteText"/>
        <w:jc w:val="left"/>
      </w:pPr>
      <w:r>
        <w:rPr>
          <w:rStyle w:val="FootnoteReference"/>
        </w:rPr>
        <w:footnoteRef/>
      </w:r>
      <w:r>
        <w:t xml:space="preserve"> </w:t>
      </w:r>
      <w:r w:rsidRPr="000A6BAD">
        <w:rPr>
          <w:i/>
        </w:rPr>
        <w:t>See</w:t>
      </w:r>
      <w:r>
        <w:t xml:space="preserve"> 47 CFR § 27.14(</w:t>
      </w:r>
      <w:r w:rsidR="0061203A">
        <w:t>g</w:t>
      </w:r>
      <w:r>
        <w:t>).</w:t>
      </w:r>
    </w:p>
  </w:footnote>
  <w:footnote w:id="34">
    <w:p w:rsidR="00A30931" w:rsidP="00900F00" w14:paraId="3F3A921F" w14:textId="68C4121E">
      <w:pPr>
        <w:pStyle w:val="FootnoteText"/>
        <w:jc w:val="left"/>
      </w:pPr>
      <w:r>
        <w:rPr>
          <w:rStyle w:val="FootnoteReference"/>
        </w:rPr>
        <w:footnoteRef/>
      </w:r>
      <w:r>
        <w:t xml:space="preserve"> </w:t>
      </w:r>
      <w:r w:rsidRPr="00E62950">
        <w:rPr>
          <w:i/>
        </w:rPr>
        <w:t>See</w:t>
      </w:r>
      <w:r>
        <w:rPr>
          <w:i/>
        </w:rPr>
        <w:t xml:space="preserve"> </w:t>
      </w:r>
      <w:r w:rsidR="0098480C">
        <w:t xml:space="preserve">Nemont’s pending renewal applications in </w:t>
      </w:r>
      <w:r>
        <w:t>File No. 0008572491 (call sign WQJU690) and File No. 0008572493 (call sign WQJU692).</w:t>
      </w:r>
      <w:r w:rsidRPr="00E62950">
        <w:rPr>
          <w:i/>
        </w:rPr>
        <w:t xml:space="preserve"> </w:t>
      </w:r>
      <w:r w:rsidR="008B62A5">
        <w:rPr>
          <w:i/>
        </w:rPr>
        <w:t xml:space="preserve"> </w:t>
      </w:r>
      <w:r w:rsidR="008B62A5">
        <w:t xml:space="preserve">  </w:t>
      </w:r>
      <w:r>
        <w:t xml:space="preserve">  </w:t>
      </w:r>
    </w:p>
  </w:footnote>
  <w:footnote w:id="35">
    <w:p w:rsidR="006E6702" w:rsidP="00900F00" w14:paraId="2820751E" w14:textId="77777777">
      <w:pPr>
        <w:pStyle w:val="FootnoteText"/>
        <w:jc w:val="left"/>
      </w:pPr>
      <w:r>
        <w:rPr>
          <w:rStyle w:val="FootnoteReference"/>
        </w:rPr>
        <w:footnoteRef/>
      </w:r>
      <w:r>
        <w:t xml:space="preserve"> </w:t>
      </w:r>
      <w:r w:rsidRPr="00DB4A55">
        <w:rPr>
          <w:i/>
        </w:rPr>
        <w:t>See</w:t>
      </w:r>
      <w:r>
        <w:t xml:space="preserve"> 47 CFR § 27.14(e); File No. 0008572490, Renewal Statement and Waiver Request for WQJQ771 (filed May 24, 2019) (Renewal Statement).  Nemont also requests waivers of 47 CFR §§ 1.949(d), (e), and (f), but these rule sections are not yet effective and therefore do not apply to the license at this time.</w:t>
      </w:r>
    </w:p>
  </w:footnote>
  <w:footnote w:id="36">
    <w:p w:rsidR="00DE34B3" w:rsidP="00900F00" w14:paraId="07817D6E" w14:textId="4EDEF5C0">
      <w:pPr>
        <w:pStyle w:val="FootnoteText"/>
        <w:jc w:val="left"/>
      </w:pPr>
      <w:r>
        <w:rPr>
          <w:rStyle w:val="FootnoteReference"/>
        </w:rPr>
        <w:footnoteRef/>
      </w:r>
      <w:r>
        <w:t xml:space="preserve"> </w:t>
      </w:r>
      <w:r w:rsidRPr="0091161E">
        <w:rPr>
          <w:i/>
        </w:rPr>
        <w:t>See</w:t>
      </w:r>
      <w:r>
        <w:t xml:space="preserve"> </w:t>
      </w:r>
      <w:r w:rsidR="00C43D8D">
        <w:t>Renewal Statement</w:t>
      </w:r>
      <w:r w:rsidR="0091161E">
        <w:t>;</w:t>
      </w:r>
      <w:r w:rsidR="00C43D8D">
        <w:t xml:space="preserve"> File No. 0008572490, Supplemental Renewal Statement and Waiver Request (filed June 13, 2019);</w:t>
      </w:r>
      <w:r w:rsidR="0091161E">
        <w:t xml:space="preserve"> 47 CFR §§ 27.14(g), 1.925(b)(3).</w:t>
      </w:r>
    </w:p>
  </w:footnote>
  <w:footnote w:id="37">
    <w:p w:rsidR="00A4474E" w:rsidP="00900F00" w14:paraId="6FCC44F3" w14:textId="133B63EC">
      <w:pPr>
        <w:pStyle w:val="FootnoteText"/>
        <w:jc w:val="left"/>
      </w:pPr>
      <w:r>
        <w:rPr>
          <w:rStyle w:val="FootnoteReference"/>
        </w:rPr>
        <w:footnoteRef/>
      </w:r>
      <w:r>
        <w:t xml:space="preserve"> We will address Nemont’s </w:t>
      </w:r>
      <w:r w:rsidR="00730ECE">
        <w:t xml:space="preserve">pending </w:t>
      </w:r>
      <w:r>
        <w:t>renewal showing for call sign WQJQ771 as a separate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7B7" w:rsidRPr="00751F41" w14:paraId="30F3708D" w14:textId="729DF5D5">
    <w:pPr>
      <w:pStyle w:val="Header"/>
      <w:rPr>
        <w:sz w:val="22"/>
        <w:szCs w:val="22"/>
      </w:rPr>
    </w:pPr>
    <w:r w:rsidRPr="00751F41">
      <w:rPr>
        <w:sz w:val="22"/>
        <w:szCs w:val="22"/>
      </w:rPr>
      <w:t>Mr.</w:t>
    </w:r>
    <w:r w:rsidR="005152FE">
      <w:rPr>
        <w:sz w:val="22"/>
        <w:szCs w:val="22"/>
      </w:rPr>
      <w:t xml:space="preserve"> Timothy E. Welch</w:t>
    </w:r>
  </w:p>
  <w:p w:rsidR="002657B7" w:rsidRPr="00751F41" w14:paraId="06319F3A" w14:textId="7FE55C50">
    <w:pPr>
      <w:pStyle w:val="Header"/>
      <w:rPr>
        <w:sz w:val="22"/>
        <w:szCs w:val="22"/>
      </w:rPr>
    </w:pPr>
    <w:r w:rsidRPr="00751F41">
      <w:rPr>
        <w:sz w:val="22"/>
        <w:szCs w:val="22"/>
      </w:rPr>
      <w:t xml:space="preserve">Page </w:t>
    </w:r>
    <w:r w:rsidRPr="00751F41">
      <w:rPr>
        <w:sz w:val="22"/>
        <w:szCs w:val="22"/>
      </w:rPr>
      <w:fldChar w:fldCharType="begin"/>
    </w:r>
    <w:r w:rsidRPr="00751F41">
      <w:rPr>
        <w:sz w:val="22"/>
        <w:szCs w:val="22"/>
      </w:rPr>
      <w:instrText xml:space="preserve"> PAGE   \* MERGEFORMAT </w:instrText>
    </w:r>
    <w:r w:rsidRPr="00751F41">
      <w:rPr>
        <w:sz w:val="22"/>
        <w:szCs w:val="22"/>
      </w:rPr>
      <w:fldChar w:fldCharType="separate"/>
    </w:r>
    <w:r w:rsidR="009D1028">
      <w:rPr>
        <w:noProof/>
        <w:sz w:val="22"/>
        <w:szCs w:val="22"/>
      </w:rPr>
      <w:t>5</w:t>
    </w:r>
    <w:r w:rsidRPr="00751F41">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7B7" w14:paraId="38B9C7AD"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39829354" r:id="rId2"/>
      </w:pict>
    </w:r>
    <w:r>
      <w:rPr>
        <w:rFonts w:ascii="CG Times (W1)" w:hAnsi="CG Times (W1)"/>
        <w:sz w:val="28"/>
      </w:rPr>
      <w:t>Federal Communications Commission</w:t>
    </w:r>
  </w:p>
  <w:p w:rsidR="002657B7" w14:paraId="4A2E0459" w14:textId="77777777">
    <w:pPr>
      <w:jc w:val="center"/>
    </w:pPr>
    <w:r>
      <w:rPr>
        <w:rFonts w:ascii="CG Times (W1)" w:hAnsi="CG Times (W1)"/>
        <w:sz w:val="28"/>
      </w:rPr>
      <w:t>Washington, D.C. 20554</w:t>
    </w:r>
  </w:p>
  <w:p w:rsidR="002657B7" w14:paraId="6269B5A1" w14:textId="77777777">
    <w:pPr>
      <w:pStyle w:val="Header"/>
      <w:tabs>
        <w:tab w:val="clear" w:pos="4320"/>
      </w:tabs>
      <w:jc w:val="center"/>
      <w:rPr>
        <w:sz w:val="22"/>
      </w:rPr>
    </w:pPr>
  </w:p>
  <w:p w:rsidR="002657B7" w:rsidRPr="00E30660" w:rsidP="008209C9" w14:paraId="0C69BF87" w14:textId="38C55F2C">
    <w:pPr>
      <w:pStyle w:val="Header"/>
      <w:tabs>
        <w:tab w:val="clear" w:pos="4320"/>
      </w:tabs>
      <w:jc w:val="center"/>
      <w:rPr>
        <w:sz w:val="22"/>
        <w:szCs w:val="22"/>
      </w:rPr>
    </w:pPr>
    <w:r>
      <w:rPr>
        <w:sz w:val="22"/>
        <w:szCs w:val="22"/>
      </w:rPr>
      <w:t>January 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71E873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start w:val="1"/>
      <w:numFmt w:val="decimal"/>
      <w:lvlText w:val="%1."/>
      <w:lvlJc w:val="left"/>
      <w:pPr>
        <w:ind w:left="1080" w:hanging="360"/>
      </w:pPr>
      <w:rPr>
        <w:rFonts w:hint="default"/>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E832D9"/>
    <w:multiLevelType w:val="hybridMultilevel"/>
    <w:tmpl w:val="CD34C8FC"/>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3">
    <w:nsid w:val="065C3375"/>
    <w:multiLevelType w:val="hybridMultilevel"/>
    <w:tmpl w:val="BA8C11B6"/>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7119"/>
    <w:multiLevelType w:val="hybridMultilevel"/>
    <w:tmpl w:val="1D62A5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87405"/>
    <w:multiLevelType w:val="hybridMultilevel"/>
    <w:tmpl w:val="6136D1E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697756"/>
    <w:multiLevelType w:val="hybridMultilevel"/>
    <w:tmpl w:val="2DB28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927631"/>
    <w:multiLevelType w:val="hybridMultilevel"/>
    <w:tmpl w:val="8990039E"/>
    <w:lvl w:ilvl="0">
      <w:start w:val="1"/>
      <w:numFmt w:val="upperRoman"/>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132869"/>
    <w:multiLevelType w:val="hybridMultilevel"/>
    <w:tmpl w:val="0C6E1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90F030C"/>
    <w:multiLevelType w:val="hybridMultilevel"/>
    <w:tmpl w:val="3EEA1F16"/>
    <w:lvl w:ilvl="0">
      <w:start w:val="1"/>
      <w:numFmt w:val="bullet"/>
      <w:lvlText w:val=""/>
      <w:lvlJc w:val="left"/>
      <w:pPr>
        <w:ind w:left="3804" w:hanging="360"/>
      </w:pPr>
      <w:rPr>
        <w:rFonts w:ascii="Symbol" w:hAnsi="Symbol" w:hint="default"/>
      </w:rPr>
    </w:lvl>
    <w:lvl w:ilvl="1" w:tentative="1">
      <w:start w:val="1"/>
      <w:numFmt w:val="bullet"/>
      <w:lvlText w:val="o"/>
      <w:lvlJc w:val="left"/>
      <w:pPr>
        <w:ind w:left="4524" w:hanging="360"/>
      </w:pPr>
      <w:rPr>
        <w:rFonts w:ascii="Courier New" w:hAnsi="Courier New" w:cs="Courier New" w:hint="default"/>
      </w:rPr>
    </w:lvl>
    <w:lvl w:ilvl="2" w:tentative="1">
      <w:start w:val="1"/>
      <w:numFmt w:val="bullet"/>
      <w:lvlText w:val=""/>
      <w:lvlJc w:val="left"/>
      <w:pPr>
        <w:ind w:left="5244" w:hanging="360"/>
      </w:pPr>
      <w:rPr>
        <w:rFonts w:ascii="Wingdings" w:hAnsi="Wingdings" w:hint="default"/>
      </w:rPr>
    </w:lvl>
    <w:lvl w:ilvl="3" w:tentative="1">
      <w:start w:val="1"/>
      <w:numFmt w:val="bullet"/>
      <w:lvlText w:val=""/>
      <w:lvlJc w:val="left"/>
      <w:pPr>
        <w:ind w:left="5964" w:hanging="360"/>
      </w:pPr>
      <w:rPr>
        <w:rFonts w:ascii="Symbol" w:hAnsi="Symbol" w:hint="default"/>
      </w:rPr>
    </w:lvl>
    <w:lvl w:ilvl="4" w:tentative="1">
      <w:start w:val="1"/>
      <w:numFmt w:val="bullet"/>
      <w:lvlText w:val="o"/>
      <w:lvlJc w:val="left"/>
      <w:pPr>
        <w:ind w:left="6684" w:hanging="360"/>
      </w:pPr>
      <w:rPr>
        <w:rFonts w:ascii="Courier New" w:hAnsi="Courier New" w:cs="Courier New" w:hint="default"/>
      </w:rPr>
    </w:lvl>
    <w:lvl w:ilvl="5" w:tentative="1">
      <w:start w:val="1"/>
      <w:numFmt w:val="bullet"/>
      <w:lvlText w:val=""/>
      <w:lvlJc w:val="left"/>
      <w:pPr>
        <w:ind w:left="7404" w:hanging="360"/>
      </w:pPr>
      <w:rPr>
        <w:rFonts w:ascii="Wingdings" w:hAnsi="Wingdings" w:hint="default"/>
      </w:rPr>
    </w:lvl>
    <w:lvl w:ilvl="6" w:tentative="1">
      <w:start w:val="1"/>
      <w:numFmt w:val="bullet"/>
      <w:lvlText w:val=""/>
      <w:lvlJc w:val="left"/>
      <w:pPr>
        <w:ind w:left="8124" w:hanging="360"/>
      </w:pPr>
      <w:rPr>
        <w:rFonts w:ascii="Symbol" w:hAnsi="Symbol" w:hint="default"/>
      </w:rPr>
    </w:lvl>
    <w:lvl w:ilvl="7" w:tentative="1">
      <w:start w:val="1"/>
      <w:numFmt w:val="bullet"/>
      <w:lvlText w:val="o"/>
      <w:lvlJc w:val="left"/>
      <w:pPr>
        <w:ind w:left="8844" w:hanging="360"/>
      </w:pPr>
      <w:rPr>
        <w:rFonts w:ascii="Courier New" w:hAnsi="Courier New" w:cs="Courier New" w:hint="default"/>
      </w:rPr>
    </w:lvl>
    <w:lvl w:ilvl="8" w:tentative="1">
      <w:start w:val="1"/>
      <w:numFmt w:val="bullet"/>
      <w:lvlText w:val=""/>
      <w:lvlJc w:val="left"/>
      <w:pPr>
        <w:ind w:left="9564" w:hanging="360"/>
      </w:pPr>
      <w:rPr>
        <w:rFonts w:ascii="Wingdings" w:hAnsi="Wingdings" w:hint="default"/>
      </w:rPr>
    </w:lvl>
  </w:abstractNum>
  <w:abstractNum w:abstractNumId="14">
    <w:nsid w:val="519504DA"/>
    <w:multiLevelType w:val="hybridMultilevel"/>
    <w:tmpl w:val="D4066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906B5E"/>
    <w:multiLevelType w:val="hybridMultilevel"/>
    <w:tmpl w:val="6114BA5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821744"/>
    <w:multiLevelType w:val="hybridMultilevel"/>
    <w:tmpl w:val="83E2067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E8503F"/>
    <w:multiLevelType w:val="hybridMultilevel"/>
    <w:tmpl w:val="9F5AE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CF62D7"/>
    <w:multiLevelType w:val="hybridMultilevel"/>
    <w:tmpl w:val="2554698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1">
    <w:nsid w:val="6E6A18E2"/>
    <w:multiLevelType w:val="hybridMultilevel"/>
    <w:tmpl w:val="519411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7A4217E0"/>
    <w:multiLevelType w:val="hybridMultilevel"/>
    <w:tmpl w:val="12F0BDEA"/>
    <w:lvl w:ilvl="0">
      <w:start w:val="1"/>
      <w:numFmt w:val="decimal"/>
      <w:lvlText w:val="%1)"/>
      <w:lvlJc w:val="left"/>
      <w:pPr>
        <w:ind w:left="720" w:hanging="360"/>
      </w:pPr>
    </w:lvl>
    <w:lvl w:ilvl="1">
      <w:start w:val="1"/>
      <w:numFmt w:val="decimal"/>
      <w:lvlText w:val="%2)"/>
      <w:lvlJc w:val="left"/>
      <w:pPr>
        <w:ind w:left="1440" w:hanging="360"/>
      </w:pPr>
    </w:lvl>
    <w:lvl w:ilvl="2">
      <w:start w:val="5"/>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444365"/>
    <w:multiLevelType w:val="hybridMultilevel"/>
    <w:tmpl w:val="682CD08A"/>
    <w:lvl w:ilvl="0">
      <w:start w:val="1"/>
      <w:numFmt w:val="bullet"/>
      <w:lvlText w:val=""/>
      <w:lvlJc w:val="left"/>
      <w:pPr>
        <w:ind w:left="-18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num w:numId="1">
    <w:abstractNumId w:val="12"/>
  </w:num>
  <w:num w:numId="2">
    <w:abstractNumId w:val="20"/>
  </w:num>
  <w:num w:numId="3">
    <w:abstractNumId w:val="8"/>
  </w:num>
  <w:num w:numId="4">
    <w:abstractNumId w:val="1"/>
  </w:num>
  <w:num w:numId="5">
    <w:abstractNumId w:val="23"/>
  </w:num>
  <w:num w:numId="6">
    <w:abstractNumId w:val="17"/>
  </w:num>
  <w:num w:numId="7">
    <w:abstractNumId w:val="10"/>
  </w:num>
  <w:num w:numId="8">
    <w:abstractNumId w:val="9"/>
  </w:num>
  <w:num w:numId="9">
    <w:abstractNumId w:val="15"/>
  </w:num>
  <w:num w:numId="10">
    <w:abstractNumId w:val="22"/>
  </w:num>
  <w:num w:numId="11">
    <w:abstractNumId w:val="0"/>
  </w:num>
  <w:num w:numId="12">
    <w:abstractNumId w:val="11"/>
  </w:num>
  <w:num w:numId="13">
    <w:abstractNumId w:val="20"/>
    <w:lvlOverride w:ilvl="0">
      <w:startOverride w:val="1"/>
    </w:lvlOverride>
  </w:num>
  <w:num w:numId="14">
    <w:abstractNumId w:val="20"/>
    <w:lvlOverride w:ilvl="0">
      <w:startOverride w:val="1"/>
    </w:lvlOverride>
  </w:num>
  <w:num w:numId="15">
    <w:abstractNumId w:val="13"/>
  </w:num>
  <w:num w:numId="16">
    <w:abstractNumId w:val="3"/>
  </w:num>
  <w:num w:numId="17">
    <w:abstractNumId w:val="20"/>
    <w:lvlOverride w:ilvl="0">
      <w:startOverride w:val="1"/>
    </w:lvlOverride>
  </w:num>
  <w:num w:numId="18">
    <w:abstractNumId w:val="24"/>
  </w:num>
  <w:num w:numId="19">
    <w:abstractNumId w:val="4"/>
  </w:num>
  <w:num w:numId="20">
    <w:abstractNumId w:val="14"/>
  </w:num>
  <w:num w:numId="21">
    <w:abstractNumId w:val="21"/>
  </w:num>
  <w:num w:numId="22">
    <w:abstractNumId w:val="17"/>
    <w:lvlOverride w:ilvl="0">
      <w:startOverride w:val="1"/>
    </w:lvlOverride>
  </w:num>
  <w:num w:numId="23">
    <w:abstractNumId w:val="6"/>
  </w:num>
  <w:num w:numId="24">
    <w:abstractNumId w:val="7"/>
  </w:num>
  <w:num w:numId="25">
    <w:abstractNumId w:val="17"/>
  </w:num>
  <w:num w:numId="26">
    <w:abstractNumId w:val="16"/>
  </w:num>
  <w:num w:numId="27">
    <w:abstractNumId w:val="19"/>
  </w:num>
  <w:num w:numId="28">
    <w:abstractNumId w:val="18"/>
  </w:num>
  <w:num w:numId="29">
    <w:abstractNumId w:val="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60"/>
    <w:rsid w:val="0000048C"/>
    <w:rsid w:val="00001896"/>
    <w:rsid w:val="00002580"/>
    <w:rsid w:val="00002CCE"/>
    <w:rsid w:val="00003D43"/>
    <w:rsid w:val="000042CF"/>
    <w:rsid w:val="00005933"/>
    <w:rsid w:val="0000632A"/>
    <w:rsid w:val="00006772"/>
    <w:rsid w:val="0000698B"/>
    <w:rsid w:val="00007AC2"/>
    <w:rsid w:val="0001053F"/>
    <w:rsid w:val="0001094C"/>
    <w:rsid w:val="00011C6F"/>
    <w:rsid w:val="000125C3"/>
    <w:rsid w:val="00012C45"/>
    <w:rsid w:val="000130D0"/>
    <w:rsid w:val="000138F4"/>
    <w:rsid w:val="00013918"/>
    <w:rsid w:val="00013F9F"/>
    <w:rsid w:val="00014401"/>
    <w:rsid w:val="000146BB"/>
    <w:rsid w:val="00015255"/>
    <w:rsid w:val="00017DE4"/>
    <w:rsid w:val="00017E13"/>
    <w:rsid w:val="00023B40"/>
    <w:rsid w:val="0002591F"/>
    <w:rsid w:val="00025934"/>
    <w:rsid w:val="0002600A"/>
    <w:rsid w:val="000260BC"/>
    <w:rsid w:val="00026578"/>
    <w:rsid w:val="00026E1E"/>
    <w:rsid w:val="00026F5C"/>
    <w:rsid w:val="00030CA6"/>
    <w:rsid w:val="0003195B"/>
    <w:rsid w:val="00034CE8"/>
    <w:rsid w:val="00034D66"/>
    <w:rsid w:val="00036051"/>
    <w:rsid w:val="00036B88"/>
    <w:rsid w:val="0003749D"/>
    <w:rsid w:val="00040CBD"/>
    <w:rsid w:val="00041330"/>
    <w:rsid w:val="00041B05"/>
    <w:rsid w:val="0004204F"/>
    <w:rsid w:val="00042459"/>
    <w:rsid w:val="000452D2"/>
    <w:rsid w:val="000452EE"/>
    <w:rsid w:val="0004611E"/>
    <w:rsid w:val="0005021D"/>
    <w:rsid w:val="00051384"/>
    <w:rsid w:val="00052E0C"/>
    <w:rsid w:val="00056F09"/>
    <w:rsid w:val="0006084B"/>
    <w:rsid w:val="000608D7"/>
    <w:rsid w:val="00060EC8"/>
    <w:rsid w:val="00061439"/>
    <w:rsid w:val="00061839"/>
    <w:rsid w:val="00062102"/>
    <w:rsid w:val="00062F82"/>
    <w:rsid w:val="0006328F"/>
    <w:rsid w:val="000636BA"/>
    <w:rsid w:val="00064641"/>
    <w:rsid w:val="00064A8C"/>
    <w:rsid w:val="00065067"/>
    <w:rsid w:val="00066572"/>
    <w:rsid w:val="00070C15"/>
    <w:rsid w:val="000711A5"/>
    <w:rsid w:val="00072C7E"/>
    <w:rsid w:val="00073298"/>
    <w:rsid w:val="00074B13"/>
    <w:rsid w:val="000750D7"/>
    <w:rsid w:val="000768B4"/>
    <w:rsid w:val="0008285A"/>
    <w:rsid w:val="00082D76"/>
    <w:rsid w:val="0008642E"/>
    <w:rsid w:val="00087415"/>
    <w:rsid w:val="00087ED6"/>
    <w:rsid w:val="00092305"/>
    <w:rsid w:val="0009264D"/>
    <w:rsid w:val="0009275E"/>
    <w:rsid w:val="00092CEE"/>
    <w:rsid w:val="00093FF8"/>
    <w:rsid w:val="00096245"/>
    <w:rsid w:val="00097FAE"/>
    <w:rsid w:val="000A0624"/>
    <w:rsid w:val="000A103D"/>
    <w:rsid w:val="000A226C"/>
    <w:rsid w:val="000A3DEB"/>
    <w:rsid w:val="000A6BAD"/>
    <w:rsid w:val="000A71A7"/>
    <w:rsid w:val="000A7780"/>
    <w:rsid w:val="000A7CFC"/>
    <w:rsid w:val="000B0F2B"/>
    <w:rsid w:val="000B1338"/>
    <w:rsid w:val="000B15D2"/>
    <w:rsid w:val="000B1EF0"/>
    <w:rsid w:val="000B5543"/>
    <w:rsid w:val="000B6D8B"/>
    <w:rsid w:val="000C1A57"/>
    <w:rsid w:val="000C253A"/>
    <w:rsid w:val="000C6B9F"/>
    <w:rsid w:val="000C7407"/>
    <w:rsid w:val="000C784D"/>
    <w:rsid w:val="000C7ED8"/>
    <w:rsid w:val="000D2130"/>
    <w:rsid w:val="000D3878"/>
    <w:rsid w:val="000D3B12"/>
    <w:rsid w:val="000D3CC1"/>
    <w:rsid w:val="000D4955"/>
    <w:rsid w:val="000D5935"/>
    <w:rsid w:val="000D6823"/>
    <w:rsid w:val="000D775D"/>
    <w:rsid w:val="000D77BB"/>
    <w:rsid w:val="000E0E57"/>
    <w:rsid w:val="000E19B2"/>
    <w:rsid w:val="000E2ECC"/>
    <w:rsid w:val="000E38C0"/>
    <w:rsid w:val="000E476C"/>
    <w:rsid w:val="000E6295"/>
    <w:rsid w:val="000E6913"/>
    <w:rsid w:val="000E7DF6"/>
    <w:rsid w:val="000F174A"/>
    <w:rsid w:val="000F5F63"/>
    <w:rsid w:val="000F6051"/>
    <w:rsid w:val="000F6384"/>
    <w:rsid w:val="001014A3"/>
    <w:rsid w:val="0010176E"/>
    <w:rsid w:val="001029E5"/>
    <w:rsid w:val="001046BE"/>
    <w:rsid w:val="001053D7"/>
    <w:rsid w:val="00106725"/>
    <w:rsid w:val="00107536"/>
    <w:rsid w:val="00107F66"/>
    <w:rsid w:val="001106C3"/>
    <w:rsid w:val="00110891"/>
    <w:rsid w:val="00111D23"/>
    <w:rsid w:val="00111F73"/>
    <w:rsid w:val="001131F8"/>
    <w:rsid w:val="00114232"/>
    <w:rsid w:val="00114D52"/>
    <w:rsid w:val="00115680"/>
    <w:rsid w:val="00116FFC"/>
    <w:rsid w:val="001173B4"/>
    <w:rsid w:val="0011755A"/>
    <w:rsid w:val="00117F7B"/>
    <w:rsid w:val="00120B7E"/>
    <w:rsid w:val="00122A7F"/>
    <w:rsid w:val="00123A32"/>
    <w:rsid w:val="00123C1F"/>
    <w:rsid w:val="001241ED"/>
    <w:rsid w:val="00125E52"/>
    <w:rsid w:val="00126B62"/>
    <w:rsid w:val="00126B84"/>
    <w:rsid w:val="00130C1D"/>
    <w:rsid w:val="00132542"/>
    <w:rsid w:val="001329CF"/>
    <w:rsid w:val="00132D09"/>
    <w:rsid w:val="00132EB1"/>
    <w:rsid w:val="00133120"/>
    <w:rsid w:val="00136E96"/>
    <w:rsid w:val="001401F1"/>
    <w:rsid w:val="00141240"/>
    <w:rsid w:val="0014309E"/>
    <w:rsid w:val="00145F6D"/>
    <w:rsid w:val="0015126A"/>
    <w:rsid w:val="001515FF"/>
    <w:rsid w:val="0015198A"/>
    <w:rsid w:val="00151DC7"/>
    <w:rsid w:val="00153847"/>
    <w:rsid w:val="00153D8F"/>
    <w:rsid w:val="00154B4C"/>
    <w:rsid w:val="00157CE0"/>
    <w:rsid w:val="00160B69"/>
    <w:rsid w:val="001630B3"/>
    <w:rsid w:val="00163241"/>
    <w:rsid w:val="00163361"/>
    <w:rsid w:val="00163571"/>
    <w:rsid w:val="001639ED"/>
    <w:rsid w:val="00163B86"/>
    <w:rsid w:val="00163F4C"/>
    <w:rsid w:val="00167251"/>
    <w:rsid w:val="0017117C"/>
    <w:rsid w:val="00171B22"/>
    <w:rsid w:val="00174747"/>
    <w:rsid w:val="00174FF7"/>
    <w:rsid w:val="00175DC4"/>
    <w:rsid w:val="001775F4"/>
    <w:rsid w:val="00177D42"/>
    <w:rsid w:val="001809C1"/>
    <w:rsid w:val="00181AEF"/>
    <w:rsid w:val="0018266A"/>
    <w:rsid w:val="001826B8"/>
    <w:rsid w:val="00183C24"/>
    <w:rsid w:val="00184748"/>
    <w:rsid w:val="00184BA9"/>
    <w:rsid w:val="00185872"/>
    <w:rsid w:val="00186026"/>
    <w:rsid w:val="0018604E"/>
    <w:rsid w:val="00186348"/>
    <w:rsid w:val="0018705F"/>
    <w:rsid w:val="0019099B"/>
    <w:rsid w:val="001912CA"/>
    <w:rsid w:val="0019284B"/>
    <w:rsid w:val="001939D8"/>
    <w:rsid w:val="001944AD"/>
    <w:rsid w:val="0019595D"/>
    <w:rsid w:val="0019698A"/>
    <w:rsid w:val="0019699F"/>
    <w:rsid w:val="00197FC4"/>
    <w:rsid w:val="001A0595"/>
    <w:rsid w:val="001A0EAE"/>
    <w:rsid w:val="001A1C44"/>
    <w:rsid w:val="001A339C"/>
    <w:rsid w:val="001A3FC4"/>
    <w:rsid w:val="001A4411"/>
    <w:rsid w:val="001A4807"/>
    <w:rsid w:val="001A51BC"/>
    <w:rsid w:val="001A54A0"/>
    <w:rsid w:val="001A78ED"/>
    <w:rsid w:val="001B0338"/>
    <w:rsid w:val="001B06EC"/>
    <w:rsid w:val="001B0F95"/>
    <w:rsid w:val="001B16C5"/>
    <w:rsid w:val="001B25A9"/>
    <w:rsid w:val="001B5909"/>
    <w:rsid w:val="001B606A"/>
    <w:rsid w:val="001B6C20"/>
    <w:rsid w:val="001C1065"/>
    <w:rsid w:val="001C2778"/>
    <w:rsid w:val="001C341A"/>
    <w:rsid w:val="001C4564"/>
    <w:rsid w:val="001C5BF2"/>
    <w:rsid w:val="001C75E1"/>
    <w:rsid w:val="001C7C16"/>
    <w:rsid w:val="001D0EB3"/>
    <w:rsid w:val="001D1B0C"/>
    <w:rsid w:val="001D2F58"/>
    <w:rsid w:val="001D4ADD"/>
    <w:rsid w:val="001D4B1E"/>
    <w:rsid w:val="001D4BB5"/>
    <w:rsid w:val="001D4BE4"/>
    <w:rsid w:val="001D51AC"/>
    <w:rsid w:val="001D57F5"/>
    <w:rsid w:val="001D64B7"/>
    <w:rsid w:val="001D6B85"/>
    <w:rsid w:val="001D6EEA"/>
    <w:rsid w:val="001E01B0"/>
    <w:rsid w:val="001E0BCA"/>
    <w:rsid w:val="001E10A7"/>
    <w:rsid w:val="001E2AE9"/>
    <w:rsid w:val="001E3730"/>
    <w:rsid w:val="001E3BBD"/>
    <w:rsid w:val="001E4610"/>
    <w:rsid w:val="001E47E5"/>
    <w:rsid w:val="001E4D4C"/>
    <w:rsid w:val="001E68D7"/>
    <w:rsid w:val="001E6943"/>
    <w:rsid w:val="001E7E2C"/>
    <w:rsid w:val="001F0824"/>
    <w:rsid w:val="001F200E"/>
    <w:rsid w:val="001F2285"/>
    <w:rsid w:val="001F27E4"/>
    <w:rsid w:val="001F2FFD"/>
    <w:rsid w:val="001F4B62"/>
    <w:rsid w:val="001F60A6"/>
    <w:rsid w:val="001F7110"/>
    <w:rsid w:val="00200384"/>
    <w:rsid w:val="00201358"/>
    <w:rsid w:val="00201391"/>
    <w:rsid w:val="00201B2D"/>
    <w:rsid w:val="00201D0F"/>
    <w:rsid w:val="002030D7"/>
    <w:rsid w:val="002031EF"/>
    <w:rsid w:val="00204AA4"/>
    <w:rsid w:val="0020562B"/>
    <w:rsid w:val="002129AA"/>
    <w:rsid w:val="00212E1C"/>
    <w:rsid w:val="002140E4"/>
    <w:rsid w:val="00214350"/>
    <w:rsid w:val="00216E6D"/>
    <w:rsid w:val="002210B5"/>
    <w:rsid w:val="00221161"/>
    <w:rsid w:val="00221317"/>
    <w:rsid w:val="002235EF"/>
    <w:rsid w:val="00225C22"/>
    <w:rsid w:val="00232271"/>
    <w:rsid w:val="00232F09"/>
    <w:rsid w:val="0023321F"/>
    <w:rsid w:val="0023396B"/>
    <w:rsid w:val="00234823"/>
    <w:rsid w:val="00240F9A"/>
    <w:rsid w:val="002413B1"/>
    <w:rsid w:val="002416FE"/>
    <w:rsid w:val="00241953"/>
    <w:rsid w:val="00244CCE"/>
    <w:rsid w:val="00245BB0"/>
    <w:rsid w:val="00246A64"/>
    <w:rsid w:val="00246F81"/>
    <w:rsid w:val="002510BF"/>
    <w:rsid w:val="00252B09"/>
    <w:rsid w:val="00254584"/>
    <w:rsid w:val="00254B49"/>
    <w:rsid w:val="0025770F"/>
    <w:rsid w:val="00261362"/>
    <w:rsid w:val="00261AC1"/>
    <w:rsid w:val="00261E27"/>
    <w:rsid w:val="00263D67"/>
    <w:rsid w:val="00263DE2"/>
    <w:rsid w:val="0026454F"/>
    <w:rsid w:val="002654F8"/>
    <w:rsid w:val="00265679"/>
    <w:rsid w:val="002657B7"/>
    <w:rsid w:val="00266379"/>
    <w:rsid w:val="00266E66"/>
    <w:rsid w:val="0026780E"/>
    <w:rsid w:val="00267B72"/>
    <w:rsid w:val="00270A95"/>
    <w:rsid w:val="00272EBA"/>
    <w:rsid w:val="002807F9"/>
    <w:rsid w:val="00280BA7"/>
    <w:rsid w:val="0028174B"/>
    <w:rsid w:val="00283583"/>
    <w:rsid w:val="00284859"/>
    <w:rsid w:val="00284B2B"/>
    <w:rsid w:val="00285AAD"/>
    <w:rsid w:val="002928C2"/>
    <w:rsid w:val="00293318"/>
    <w:rsid w:val="00293A29"/>
    <w:rsid w:val="0029423B"/>
    <w:rsid w:val="00294D99"/>
    <w:rsid w:val="00295CCB"/>
    <w:rsid w:val="0029607D"/>
    <w:rsid w:val="00297A80"/>
    <w:rsid w:val="00297DF2"/>
    <w:rsid w:val="002A0E0C"/>
    <w:rsid w:val="002A23D2"/>
    <w:rsid w:val="002A43EE"/>
    <w:rsid w:val="002A4B6D"/>
    <w:rsid w:val="002A5ACA"/>
    <w:rsid w:val="002A5B86"/>
    <w:rsid w:val="002B02FB"/>
    <w:rsid w:val="002B0946"/>
    <w:rsid w:val="002B0A19"/>
    <w:rsid w:val="002B0AF9"/>
    <w:rsid w:val="002B1222"/>
    <w:rsid w:val="002B2660"/>
    <w:rsid w:val="002B27E4"/>
    <w:rsid w:val="002B2CD5"/>
    <w:rsid w:val="002B2FBE"/>
    <w:rsid w:val="002B3D84"/>
    <w:rsid w:val="002B47F9"/>
    <w:rsid w:val="002B52CA"/>
    <w:rsid w:val="002B5667"/>
    <w:rsid w:val="002B64FB"/>
    <w:rsid w:val="002C133A"/>
    <w:rsid w:val="002C13C0"/>
    <w:rsid w:val="002C1FFD"/>
    <w:rsid w:val="002C24AF"/>
    <w:rsid w:val="002C3B40"/>
    <w:rsid w:val="002C4419"/>
    <w:rsid w:val="002C4A40"/>
    <w:rsid w:val="002C4AF0"/>
    <w:rsid w:val="002C4C11"/>
    <w:rsid w:val="002C60AC"/>
    <w:rsid w:val="002C6A1F"/>
    <w:rsid w:val="002C6C0A"/>
    <w:rsid w:val="002C770F"/>
    <w:rsid w:val="002C7AEB"/>
    <w:rsid w:val="002D025F"/>
    <w:rsid w:val="002D06A3"/>
    <w:rsid w:val="002D0829"/>
    <w:rsid w:val="002D0D24"/>
    <w:rsid w:val="002D3C7F"/>
    <w:rsid w:val="002D4BE0"/>
    <w:rsid w:val="002D56AA"/>
    <w:rsid w:val="002D5D09"/>
    <w:rsid w:val="002D6995"/>
    <w:rsid w:val="002D6AE9"/>
    <w:rsid w:val="002D6E46"/>
    <w:rsid w:val="002D70DC"/>
    <w:rsid w:val="002D7C7C"/>
    <w:rsid w:val="002D7FBC"/>
    <w:rsid w:val="002E217E"/>
    <w:rsid w:val="002E2B59"/>
    <w:rsid w:val="002E2C82"/>
    <w:rsid w:val="002E5E14"/>
    <w:rsid w:val="002E765C"/>
    <w:rsid w:val="002E7905"/>
    <w:rsid w:val="002E7BB8"/>
    <w:rsid w:val="002F1942"/>
    <w:rsid w:val="002F2AA8"/>
    <w:rsid w:val="002F3013"/>
    <w:rsid w:val="002F3D9A"/>
    <w:rsid w:val="002F49D2"/>
    <w:rsid w:val="002F4C13"/>
    <w:rsid w:val="002F5945"/>
    <w:rsid w:val="002F6255"/>
    <w:rsid w:val="002F73C4"/>
    <w:rsid w:val="002F7497"/>
    <w:rsid w:val="002F7823"/>
    <w:rsid w:val="00300652"/>
    <w:rsid w:val="00302A57"/>
    <w:rsid w:val="00303BEA"/>
    <w:rsid w:val="00304071"/>
    <w:rsid w:val="0030475E"/>
    <w:rsid w:val="003047DC"/>
    <w:rsid w:val="00304DEF"/>
    <w:rsid w:val="00305AB0"/>
    <w:rsid w:val="003074B4"/>
    <w:rsid w:val="00307983"/>
    <w:rsid w:val="00310530"/>
    <w:rsid w:val="00311A8A"/>
    <w:rsid w:val="003126C2"/>
    <w:rsid w:val="003126EC"/>
    <w:rsid w:val="003127C7"/>
    <w:rsid w:val="00312EFC"/>
    <w:rsid w:val="003131A9"/>
    <w:rsid w:val="00314C30"/>
    <w:rsid w:val="0031611E"/>
    <w:rsid w:val="00317203"/>
    <w:rsid w:val="00317D3E"/>
    <w:rsid w:val="0032058C"/>
    <w:rsid w:val="00321082"/>
    <w:rsid w:val="003213B6"/>
    <w:rsid w:val="00321E44"/>
    <w:rsid w:val="00321E84"/>
    <w:rsid w:val="003221D4"/>
    <w:rsid w:val="00323F63"/>
    <w:rsid w:val="003242BD"/>
    <w:rsid w:val="00325614"/>
    <w:rsid w:val="003258A7"/>
    <w:rsid w:val="0032644D"/>
    <w:rsid w:val="0033090D"/>
    <w:rsid w:val="00330D8E"/>
    <w:rsid w:val="003348FF"/>
    <w:rsid w:val="00335811"/>
    <w:rsid w:val="00335DC1"/>
    <w:rsid w:val="00335EAB"/>
    <w:rsid w:val="00335F45"/>
    <w:rsid w:val="00336B71"/>
    <w:rsid w:val="0033709E"/>
    <w:rsid w:val="0034055F"/>
    <w:rsid w:val="00340C15"/>
    <w:rsid w:val="00342422"/>
    <w:rsid w:val="00342BF0"/>
    <w:rsid w:val="003435C6"/>
    <w:rsid w:val="003440AE"/>
    <w:rsid w:val="00345B13"/>
    <w:rsid w:val="00346209"/>
    <w:rsid w:val="00346AE2"/>
    <w:rsid w:val="003477B7"/>
    <w:rsid w:val="00350EA3"/>
    <w:rsid w:val="00351099"/>
    <w:rsid w:val="00351805"/>
    <w:rsid w:val="00351CEF"/>
    <w:rsid w:val="00353A77"/>
    <w:rsid w:val="00353C67"/>
    <w:rsid w:val="003543C9"/>
    <w:rsid w:val="00355284"/>
    <w:rsid w:val="00357847"/>
    <w:rsid w:val="00357EEA"/>
    <w:rsid w:val="003611C5"/>
    <w:rsid w:val="00361351"/>
    <w:rsid w:val="00361845"/>
    <w:rsid w:val="00361D8A"/>
    <w:rsid w:val="00365897"/>
    <w:rsid w:val="0036636B"/>
    <w:rsid w:val="003719DA"/>
    <w:rsid w:val="0037240E"/>
    <w:rsid w:val="0037328F"/>
    <w:rsid w:val="003740A3"/>
    <w:rsid w:val="00374727"/>
    <w:rsid w:val="0037553B"/>
    <w:rsid w:val="003757D0"/>
    <w:rsid w:val="003758E4"/>
    <w:rsid w:val="003759B8"/>
    <w:rsid w:val="00380ABC"/>
    <w:rsid w:val="00381024"/>
    <w:rsid w:val="00381840"/>
    <w:rsid w:val="00382BBF"/>
    <w:rsid w:val="0038393A"/>
    <w:rsid w:val="00384F03"/>
    <w:rsid w:val="00385EE7"/>
    <w:rsid w:val="00387520"/>
    <w:rsid w:val="00387F0D"/>
    <w:rsid w:val="00390427"/>
    <w:rsid w:val="00391377"/>
    <w:rsid w:val="00391383"/>
    <w:rsid w:val="0039333F"/>
    <w:rsid w:val="00393587"/>
    <w:rsid w:val="003940E5"/>
    <w:rsid w:val="0039654B"/>
    <w:rsid w:val="003A0183"/>
    <w:rsid w:val="003A0E06"/>
    <w:rsid w:val="003A454F"/>
    <w:rsid w:val="003A4837"/>
    <w:rsid w:val="003A64C2"/>
    <w:rsid w:val="003A6589"/>
    <w:rsid w:val="003A7ED6"/>
    <w:rsid w:val="003B0B7C"/>
    <w:rsid w:val="003B270A"/>
    <w:rsid w:val="003B3D58"/>
    <w:rsid w:val="003B4176"/>
    <w:rsid w:val="003B52D1"/>
    <w:rsid w:val="003B5CB5"/>
    <w:rsid w:val="003C0DA8"/>
    <w:rsid w:val="003C0DB8"/>
    <w:rsid w:val="003C1E49"/>
    <w:rsid w:val="003C2A05"/>
    <w:rsid w:val="003C4F22"/>
    <w:rsid w:val="003C5244"/>
    <w:rsid w:val="003C75F0"/>
    <w:rsid w:val="003D1881"/>
    <w:rsid w:val="003D3576"/>
    <w:rsid w:val="003D38AC"/>
    <w:rsid w:val="003D3BA2"/>
    <w:rsid w:val="003D3C2B"/>
    <w:rsid w:val="003D4295"/>
    <w:rsid w:val="003D4821"/>
    <w:rsid w:val="003D56DE"/>
    <w:rsid w:val="003D7050"/>
    <w:rsid w:val="003D765C"/>
    <w:rsid w:val="003E085F"/>
    <w:rsid w:val="003E1A36"/>
    <w:rsid w:val="003E336D"/>
    <w:rsid w:val="003E34CF"/>
    <w:rsid w:val="003E39CA"/>
    <w:rsid w:val="003E6A98"/>
    <w:rsid w:val="003F043A"/>
    <w:rsid w:val="003F0554"/>
    <w:rsid w:val="003F06AF"/>
    <w:rsid w:val="003F0D05"/>
    <w:rsid w:val="003F1631"/>
    <w:rsid w:val="003F1C17"/>
    <w:rsid w:val="003F2075"/>
    <w:rsid w:val="003F41BA"/>
    <w:rsid w:val="003F5485"/>
    <w:rsid w:val="003F692B"/>
    <w:rsid w:val="003F7CD0"/>
    <w:rsid w:val="00401C04"/>
    <w:rsid w:val="004028BD"/>
    <w:rsid w:val="00404C7A"/>
    <w:rsid w:val="00405017"/>
    <w:rsid w:val="00407269"/>
    <w:rsid w:val="00407EAD"/>
    <w:rsid w:val="00410E68"/>
    <w:rsid w:val="0041111E"/>
    <w:rsid w:val="004129AF"/>
    <w:rsid w:val="00413448"/>
    <w:rsid w:val="00414247"/>
    <w:rsid w:val="0041486C"/>
    <w:rsid w:val="00415AA7"/>
    <w:rsid w:val="0041617B"/>
    <w:rsid w:val="004162B3"/>
    <w:rsid w:val="00416F3C"/>
    <w:rsid w:val="00417B6A"/>
    <w:rsid w:val="00417D15"/>
    <w:rsid w:val="00422493"/>
    <w:rsid w:val="00422672"/>
    <w:rsid w:val="00423A64"/>
    <w:rsid w:val="004240FD"/>
    <w:rsid w:val="00424237"/>
    <w:rsid w:val="00424666"/>
    <w:rsid w:val="00424AB2"/>
    <w:rsid w:val="00424FA9"/>
    <w:rsid w:val="00427C49"/>
    <w:rsid w:val="00430567"/>
    <w:rsid w:val="00431778"/>
    <w:rsid w:val="004317F4"/>
    <w:rsid w:val="0043468E"/>
    <w:rsid w:val="0043588F"/>
    <w:rsid w:val="00436DCB"/>
    <w:rsid w:val="00437F52"/>
    <w:rsid w:val="004401CF"/>
    <w:rsid w:val="00440CDC"/>
    <w:rsid w:val="00441271"/>
    <w:rsid w:val="00442FB4"/>
    <w:rsid w:val="004437BE"/>
    <w:rsid w:val="004442B2"/>
    <w:rsid w:val="00445669"/>
    <w:rsid w:val="00447CAB"/>
    <w:rsid w:val="004513D5"/>
    <w:rsid w:val="0045253C"/>
    <w:rsid w:val="00452E8C"/>
    <w:rsid w:val="004545C9"/>
    <w:rsid w:val="00454F54"/>
    <w:rsid w:val="00456B6D"/>
    <w:rsid w:val="00456D17"/>
    <w:rsid w:val="00456E69"/>
    <w:rsid w:val="00457124"/>
    <w:rsid w:val="0046153F"/>
    <w:rsid w:val="004623E3"/>
    <w:rsid w:val="004638F6"/>
    <w:rsid w:val="00465C8A"/>
    <w:rsid w:val="00466939"/>
    <w:rsid w:val="00467CED"/>
    <w:rsid w:val="004701D2"/>
    <w:rsid w:val="00472405"/>
    <w:rsid w:val="00472F1E"/>
    <w:rsid w:val="004742F2"/>
    <w:rsid w:val="00475A7A"/>
    <w:rsid w:val="00475CFF"/>
    <w:rsid w:val="00476046"/>
    <w:rsid w:val="0047681A"/>
    <w:rsid w:val="004773A8"/>
    <w:rsid w:val="00477997"/>
    <w:rsid w:val="00477B35"/>
    <w:rsid w:val="00477F14"/>
    <w:rsid w:val="00477F23"/>
    <w:rsid w:val="004805EB"/>
    <w:rsid w:val="004806C7"/>
    <w:rsid w:val="004832D4"/>
    <w:rsid w:val="004834A5"/>
    <w:rsid w:val="0048383F"/>
    <w:rsid w:val="0048516E"/>
    <w:rsid w:val="00486D76"/>
    <w:rsid w:val="004940EA"/>
    <w:rsid w:val="00494C7E"/>
    <w:rsid w:val="00496B3E"/>
    <w:rsid w:val="004971FF"/>
    <w:rsid w:val="004A0A9D"/>
    <w:rsid w:val="004A20E9"/>
    <w:rsid w:val="004A2648"/>
    <w:rsid w:val="004A2A1D"/>
    <w:rsid w:val="004A333C"/>
    <w:rsid w:val="004A38EA"/>
    <w:rsid w:val="004A3EE0"/>
    <w:rsid w:val="004A58F5"/>
    <w:rsid w:val="004A5A72"/>
    <w:rsid w:val="004A6EBA"/>
    <w:rsid w:val="004A7422"/>
    <w:rsid w:val="004A77EA"/>
    <w:rsid w:val="004B1671"/>
    <w:rsid w:val="004B1A86"/>
    <w:rsid w:val="004B21D0"/>
    <w:rsid w:val="004B4B05"/>
    <w:rsid w:val="004B5648"/>
    <w:rsid w:val="004B59ED"/>
    <w:rsid w:val="004B5C21"/>
    <w:rsid w:val="004B67E3"/>
    <w:rsid w:val="004C0236"/>
    <w:rsid w:val="004C15F1"/>
    <w:rsid w:val="004C3376"/>
    <w:rsid w:val="004C3E83"/>
    <w:rsid w:val="004C6BA3"/>
    <w:rsid w:val="004C6C3E"/>
    <w:rsid w:val="004C7355"/>
    <w:rsid w:val="004C7412"/>
    <w:rsid w:val="004D0ECD"/>
    <w:rsid w:val="004D5504"/>
    <w:rsid w:val="004D6235"/>
    <w:rsid w:val="004E2094"/>
    <w:rsid w:val="004E2FB2"/>
    <w:rsid w:val="004E34E4"/>
    <w:rsid w:val="004E44D8"/>
    <w:rsid w:val="004E4F0F"/>
    <w:rsid w:val="004E5529"/>
    <w:rsid w:val="004E6E89"/>
    <w:rsid w:val="004E7D0D"/>
    <w:rsid w:val="004F17BE"/>
    <w:rsid w:val="004F1BCD"/>
    <w:rsid w:val="004F306A"/>
    <w:rsid w:val="004F3684"/>
    <w:rsid w:val="004F3840"/>
    <w:rsid w:val="005006D2"/>
    <w:rsid w:val="00501272"/>
    <w:rsid w:val="00501B85"/>
    <w:rsid w:val="00504BF9"/>
    <w:rsid w:val="00504D6E"/>
    <w:rsid w:val="00506354"/>
    <w:rsid w:val="00506C46"/>
    <w:rsid w:val="00506EE8"/>
    <w:rsid w:val="00507227"/>
    <w:rsid w:val="005076E0"/>
    <w:rsid w:val="00507AC6"/>
    <w:rsid w:val="005106A1"/>
    <w:rsid w:val="00512F15"/>
    <w:rsid w:val="00513738"/>
    <w:rsid w:val="0051420F"/>
    <w:rsid w:val="00515193"/>
    <w:rsid w:val="005152FE"/>
    <w:rsid w:val="00515E74"/>
    <w:rsid w:val="0052084B"/>
    <w:rsid w:val="0052103D"/>
    <w:rsid w:val="00521B96"/>
    <w:rsid w:val="005258B2"/>
    <w:rsid w:val="00526B2A"/>
    <w:rsid w:val="00531AEB"/>
    <w:rsid w:val="00531FB3"/>
    <w:rsid w:val="00532752"/>
    <w:rsid w:val="00532D1A"/>
    <w:rsid w:val="0053368A"/>
    <w:rsid w:val="0053389A"/>
    <w:rsid w:val="00534B3C"/>
    <w:rsid w:val="00535CFB"/>
    <w:rsid w:val="00537696"/>
    <w:rsid w:val="00537734"/>
    <w:rsid w:val="00537E35"/>
    <w:rsid w:val="00541648"/>
    <w:rsid w:val="00542013"/>
    <w:rsid w:val="00542427"/>
    <w:rsid w:val="005424B6"/>
    <w:rsid w:val="00542D12"/>
    <w:rsid w:val="00542E98"/>
    <w:rsid w:val="00543128"/>
    <w:rsid w:val="0054389E"/>
    <w:rsid w:val="00544398"/>
    <w:rsid w:val="005461C1"/>
    <w:rsid w:val="00547409"/>
    <w:rsid w:val="00550CDC"/>
    <w:rsid w:val="005513D7"/>
    <w:rsid w:val="00551805"/>
    <w:rsid w:val="00551C28"/>
    <w:rsid w:val="00552754"/>
    <w:rsid w:val="0055397F"/>
    <w:rsid w:val="005555A1"/>
    <w:rsid w:val="00556F90"/>
    <w:rsid w:val="00557E22"/>
    <w:rsid w:val="00560ECA"/>
    <w:rsid w:val="005611E7"/>
    <w:rsid w:val="00562264"/>
    <w:rsid w:val="00563C7B"/>
    <w:rsid w:val="005640FE"/>
    <w:rsid w:val="005648C4"/>
    <w:rsid w:val="00564DCF"/>
    <w:rsid w:val="00565559"/>
    <w:rsid w:val="00565DFF"/>
    <w:rsid w:val="00565E89"/>
    <w:rsid w:val="005714A8"/>
    <w:rsid w:val="00571E16"/>
    <w:rsid w:val="00573D76"/>
    <w:rsid w:val="005756B4"/>
    <w:rsid w:val="00576969"/>
    <w:rsid w:val="00580004"/>
    <w:rsid w:val="00580240"/>
    <w:rsid w:val="005821A1"/>
    <w:rsid w:val="00582A5F"/>
    <w:rsid w:val="005836AE"/>
    <w:rsid w:val="005851D7"/>
    <w:rsid w:val="00585CDC"/>
    <w:rsid w:val="00585F6B"/>
    <w:rsid w:val="00587B27"/>
    <w:rsid w:val="00587BB2"/>
    <w:rsid w:val="00587DDF"/>
    <w:rsid w:val="00587E03"/>
    <w:rsid w:val="005907F7"/>
    <w:rsid w:val="00592171"/>
    <w:rsid w:val="0059363D"/>
    <w:rsid w:val="00593E4C"/>
    <w:rsid w:val="00595196"/>
    <w:rsid w:val="005965FF"/>
    <w:rsid w:val="00596FF6"/>
    <w:rsid w:val="00597AE7"/>
    <w:rsid w:val="005A0512"/>
    <w:rsid w:val="005A0D1B"/>
    <w:rsid w:val="005A10F4"/>
    <w:rsid w:val="005A11F4"/>
    <w:rsid w:val="005A26DB"/>
    <w:rsid w:val="005A5B6C"/>
    <w:rsid w:val="005A6AF0"/>
    <w:rsid w:val="005A6E8E"/>
    <w:rsid w:val="005A78CC"/>
    <w:rsid w:val="005B053E"/>
    <w:rsid w:val="005B0610"/>
    <w:rsid w:val="005B1AA4"/>
    <w:rsid w:val="005B336B"/>
    <w:rsid w:val="005B419C"/>
    <w:rsid w:val="005B5584"/>
    <w:rsid w:val="005B6695"/>
    <w:rsid w:val="005B788F"/>
    <w:rsid w:val="005C24E1"/>
    <w:rsid w:val="005C2651"/>
    <w:rsid w:val="005C2BBA"/>
    <w:rsid w:val="005C3F52"/>
    <w:rsid w:val="005C4869"/>
    <w:rsid w:val="005C52C4"/>
    <w:rsid w:val="005C57C7"/>
    <w:rsid w:val="005C57E7"/>
    <w:rsid w:val="005C6128"/>
    <w:rsid w:val="005C653D"/>
    <w:rsid w:val="005C7362"/>
    <w:rsid w:val="005C7503"/>
    <w:rsid w:val="005D01DB"/>
    <w:rsid w:val="005D0288"/>
    <w:rsid w:val="005D1D17"/>
    <w:rsid w:val="005D2952"/>
    <w:rsid w:val="005D2A1A"/>
    <w:rsid w:val="005D3989"/>
    <w:rsid w:val="005D565B"/>
    <w:rsid w:val="005D66CF"/>
    <w:rsid w:val="005D698C"/>
    <w:rsid w:val="005D6C7E"/>
    <w:rsid w:val="005D70C0"/>
    <w:rsid w:val="005E23A7"/>
    <w:rsid w:val="005E38F9"/>
    <w:rsid w:val="005E3D41"/>
    <w:rsid w:val="005E4989"/>
    <w:rsid w:val="005E5E41"/>
    <w:rsid w:val="005E73D3"/>
    <w:rsid w:val="005E76F1"/>
    <w:rsid w:val="005F0407"/>
    <w:rsid w:val="005F07F7"/>
    <w:rsid w:val="005F19D3"/>
    <w:rsid w:val="005F1AEE"/>
    <w:rsid w:val="005F250E"/>
    <w:rsid w:val="005F27FF"/>
    <w:rsid w:val="005F40FE"/>
    <w:rsid w:val="005F4C06"/>
    <w:rsid w:val="005F5194"/>
    <w:rsid w:val="005F6174"/>
    <w:rsid w:val="005F7CB3"/>
    <w:rsid w:val="00600409"/>
    <w:rsid w:val="0060275E"/>
    <w:rsid w:val="00602871"/>
    <w:rsid w:val="006034E8"/>
    <w:rsid w:val="0060377A"/>
    <w:rsid w:val="00605248"/>
    <w:rsid w:val="006119E0"/>
    <w:rsid w:val="0061203A"/>
    <w:rsid w:val="0061267D"/>
    <w:rsid w:val="0061394C"/>
    <w:rsid w:val="00614894"/>
    <w:rsid w:val="00615327"/>
    <w:rsid w:val="006167DF"/>
    <w:rsid w:val="00616A63"/>
    <w:rsid w:val="006173B7"/>
    <w:rsid w:val="00617462"/>
    <w:rsid w:val="006179C5"/>
    <w:rsid w:val="006204F3"/>
    <w:rsid w:val="00620602"/>
    <w:rsid w:val="00620AAE"/>
    <w:rsid w:val="00623246"/>
    <w:rsid w:val="00623566"/>
    <w:rsid w:val="0062432D"/>
    <w:rsid w:val="00624D2A"/>
    <w:rsid w:val="00624EA1"/>
    <w:rsid w:val="006262F6"/>
    <w:rsid w:val="00626C3E"/>
    <w:rsid w:val="00627BA6"/>
    <w:rsid w:val="00630F03"/>
    <w:rsid w:val="0063104F"/>
    <w:rsid w:val="00631409"/>
    <w:rsid w:val="0063317B"/>
    <w:rsid w:val="0063322A"/>
    <w:rsid w:val="00633588"/>
    <w:rsid w:val="00635B3B"/>
    <w:rsid w:val="00636013"/>
    <w:rsid w:val="00641360"/>
    <w:rsid w:val="00641E6C"/>
    <w:rsid w:val="00642F60"/>
    <w:rsid w:val="00644679"/>
    <w:rsid w:val="00645DB6"/>
    <w:rsid w:val="00647315"/>
    <w:rsid w:val="0064745F"/>
    <w:rsid w:val="0065043C"/>
    <w:rsid w:val="00650475"/>
    <w:rsid w:val="00650E82"/>
    <w:rsid w:val="00650F9C"/>
    <w:rsid w:val="0065296D"/>
    <w:rsid w:val="006530DF"/>
    <w:rsid w:val="00654169"/>
    <w:rsid w:val="006546DF"/>
    <w:rsid w:val="0065500E"/>
    <w:rsid w:val="00655DAF"/>
    <w:rsid w:val="006570BD"/>
    <w:rsid w:val="00660FBF"/>
    <w:rsid w:val="00661ACA"/>
    <w:rsid w:val="006634B3"/>
    <w:rsid w:val="006640EA"/>
    <w:rsid w:val="00665FAE"/>
    <w:rsid w:val="0066723A"/>
    <w:rsid w:val="00667535"/>
    <w:rsid w:val="00667C58"/>
    <w:rsid w:val="006726A5"/>
    <w:rsid w:val="00673C5E"/>
    <w:rsid w:val="006746F3"/>
    <w:rsid w:val="0067482D"/>
    <w:rsid w:val="00674ACE"/>
    <w:rsid w:val="00676390"/>
    <w:rsid w:val="0067680D"/>
    <w:rsid w:val="00676D5B"/>
    <w:rsid w:val="00681BF1"/>
    <w:rsid w:val="00682013"/>
    <w:rsid w:val="0068291B"/>
    <w:rsid w:val="006839E5"/>
    <w:rsid w:val="00683F77"/>
    <w:rsid w:val="00685090"/>
    <w:rsid w:val="00686AEB"/>
    <w:rsid w:val="00686BB6"/>
    <w:rsid w:val="00686C2E"/>
    <w:rsid w:val="00690812"/>
    <w:rsid w:val="00692DA7"/>
    <w:rsid w:val="00692F69"/>
    <w:rsid w:val="00693FEA"/>
    <w:rsid w:val="00695A7E"/>
    <w:rsid w:val="00695DEE"/>
    <w:rsid w:val="006973EA"/>
    <w:rsid w:val="006A0191"/>
    <w:rsid w:val="006A17D1"/>
    <w:rsid w:val="006A2609"/>
    <w:rsid w:val="006A5B26"/>
    <w:rsid w:val="006A7E12"/>
    <w:rsid w:val="006B0B75"/>
    <w:rsid w:val="006B2D3D"/>
    <w:rsid w:val="006B375C"/>
    <w:rsid w:val="006B450C"/>
    <w:rsid w:val="006B4F12"/>
    <w:rsid w:val="006B559D"/>
    <w:rsid w:val="006B5BDA"/>
    <w:rsid w:val="006B700D"/>
    <w:rsid w:val="006B7677"/>
    <w:rsid w:val="006C364F"/>
    <w:rsid w:val="006C536E"/>
    <w:rsid w:val="006C5CF3"/>
    <w:rsid w:val="006C6FCD"/>
    <w:rsid w:val="006D0482"/>
    <w:rsid w:val="006D310E"/>
    <w:rsid w:val="006D4123"/>
    <w:rsid w:val="006D4D01"/>
    <w:rsid w:val="006D6731"/>
    <w:rsid w:val="006D6BB2"/>
    <w:rsid w:val="006D7133"/>
    <w:rsid w:val="006D72E9"/>
    <w:rsid w:val="006E12A1"/>
    <w:rsid w:val="006E2046"/>
    <w:rsid w:val="006E2067"/>
    <w:rsid w:val="006E292A"/>
    <w:rsid w:val="006E2944"/>
    <w:rsid w:val="006E3FDF"/>
    <w:rsid w:val="006E434F"/>
    <w:rsid w:val="006E4A58"/>
    <w:rsid w:val="006E5B36"/>
    <w:rsid w:val="006E6505"/>
    <w:rsid w:val="006E6702"/>
    <w:rsid w:val="006F05E5"/>
    <w:rsid w:val="006F0EB5"/>
    <w:rsid w:val="006F1251"/>
    <w:rsid w:val="006F157B"/>
    <w:rsid w:val="006F2DD0"/>
    <w:rsid w:val="006F6C31"/>
    <w:rsid w:val="006F6C59"/>
    <w:rsid w:val="006F77B8"/>
    <w:rsid w:val="006F7C43"/>
    <w:rsid w:val="006F7FE3"/>
    <w:rsid w:val="00701E03"/>
    <w:rsid w:val="00701E73"/>
    <w:rsid w:val="00702A2E"/>
    <w:rsid w:val="007038EE"/>
    <w:rsid w:val="00704CCB"/>
    <w:rsid w:val="00706093"/>
    <w:rsid w:val="00706965"/>
    <w:rsid w:val="0070745C"/>
    <w:rsid w:val="00707E33"/>
    <w:rsid w:val="00711088"/>
    <w:rsid w:val="007135E8"/>
    <w:rsid w:val="00713819"/>
    <w:rsid w:val="00715413"/>
    <w:rsid w:val="007154AA"/>
    <w:rsid w:val="007156F0"/>
    <w:rsid w:val="007172D8"/>
    <w:rsid w:val="007176D5"/>
    <w:rsid w:val="00720D1B"/>
    <w:rsid w:val="00722009"/>
    <w:rsid w:val="007226D1"/>
    <w:rsid w:val="00723095"/>
    <w:rsid w:val="00723952"/>
    <w:rsid w:val="00725709"/>
    <w:rsid w:val="00726147"/>
    <w:rsid w:val="0072708C"/>
    <w:rsid w:val="007278D0"/>
    <w:rsid w:val="00727DDD"/>
    <w:rsid w:val="00727DF3"/>
    <w:rsid w:val="00730663"/>
    <w:rsid w:val="00730902"/>
    <w:rsid w:val="00730ECE"/>
    <w:rsid w:val="007310EE"/>
    <w:rsid w:val="00732396"/>
    <w:rsid w:val="00733000"/>
    <w:rsid w:val="007330F6"/>
    <w:rsid w:val="0073370E"/>
    <w:rsid w:val="007351CD"/>
    <w:rsid w:val="007356C5"/>
    <w:rsid w:val="00736199"/>
    <w:rsid w:val="00737407"/>
    <w:rsid w:val="00737D36"/>
    <w:rsid w:val="00740A69"/>
    <w:rsid w:val="00740B27"/>
    <w:rsid w:val="00740D22"/>
    <w:rsid w:val="00742646"/>
    <w:rsid w:val="0074274F"/>
    <w:rsid w:val="0074431B"/>
    <w:rsid w:val="00744493"/>
    <w:rsid w:val="00744A07"/>
    <w:rsid w:val="00744F4C"/>
    <w:rsid w:val="007474F0"/>
    <w:rsid w:val="00750A05"/>
    <w:rsid w:val="00751F41"/>
    <w:rsid w:val="0075222C"/>
    <w:rsid w:val="00754225"/>
    <w:rsid w:val="00754A69"/>
    <w:rsid w:val="00754CFF"/>
    <w:rsid w:val="00756879"/>
    <w:rsid w:val="00761C74"/>
    <w:rsid w:val="007634C2"/>
    <w:rsid w:val="007643DC"/>
    <w:rsid w:val="00764F84"/>
    <w:rsid w:val="00765417"/>
    <w:rsid w:val="00765B92"/>
    <w:rsid w:val="007675D9"/>
    <w:rsid w:val="007710F5"/>
    <w:rsid w:val="00772263"/>
    <w:rsid w:val="007739E9"/>
    <w:rsid w:val="007744F7"/>
    <w:rsid w:val="0077494B"/>
    <w:rsid w:val="00775B01"/>
    <w:rsid w:val="007770F1"/>
    <w:rsid w:val="007770F6"/>
    <w:rsid w:val="00777F26"/>
    <w:rsid w:val="00782D6F"/>
    <w:rsid w:val="00783859"/>
    <w:rsid w:val="00784E16"/>
    <w:rsid w:val="00786EEF"/>
    <w:rsid w:val="00791876"/>
    <w:rsid w:val="00791EA6"/>
    <w:rsid w:val="007931B1"/>
    <w:rsid w:val="0079332C"/>
    <w:rsid w:val="007962C3"/>
    <w:rsid w:val="007A0E4C"/>
    <w:rsid w:val="007A0FE3"/>
    <w:rsid w:val="007A153B"/>
    <w:rsid w:val="007A2214"/>
    <w:rsid w:val="007A2BC5"/>
    <w:rsid w:val="007A4485"/>
    <w:rsid w:val="007A4C8A"/>
    <w:rsid w:val="007A66F3"/>
    <w:rsid w:val="007A6807"/>
    <w:rsid w:val="007A6AC2"/>
    <w:rsid w:val="007A74B1"/>
    <w:rsid w:val="007B09B5"/>
    <w:rsid w:val="007B0F87"/>
    <w:rsid w:val="007B1024"/>
    <w:rsid w:val="007B3637"/>
    <w:rsid w:val="007B5F6C"/>
    <w:rsid w:val="007B6854"/>
    <w:rsid w:val="007B6B11"/>
    <w:rsid w:val="007C0D20"/>
    <w:rsid w:val="007C44F1"/>
    <w:rsid w:val="007C6B44"/>
    <w:rsid w:val="007C7475"/>
    <w:rsid w:val="007D0483"/>
    <w:rsid w:val="007D0922"/>
    <w:rsid w:val="007D1AAE"/>
    <w:rsid w:val="007D4353"/>
    <w:rsid w:val="007D4689"/>
    <w:rsid w:val="007D629B"/>
    <w:rsid w:val="007D65D9"/>
    <w:rsid w:val="007D6C9D"/>
    <w:rsid w:val="007E009B"/>
    <w:rsid w:val="007E1610"/>
    <w:rsid w:val="007E167B"/>
    <w:rsid w:val="007E6655"/>
    <w:rsid w:val="007E7E42"/>
    <w:rsid w:val="007F0561"/>
    <w:rsid w:val="007F109D"/>
    <w:rsid w:val="007F201B"/>
    <w:rsid w:val="007F202F"/>
    <w:rsid w:val="007F2059"/>
    <w:rsid w:val="007F2F18"/>
    <w:rsid w:val="007F5DC2"/>
    <w:rsid w:val="007F6ADB"/>
    <w:rsid w:val="007F6D1B"/>
    <w:rsid w:val="007F74E6"/>
    <w:rsid w:val="00800AA4"/>
    <w:rsid w:val="00800AB7"/>
    <w:rsid w:val="00800D7B"/>
    <w:rsid w:val="00801038"/>
    <w:rsid w:val="00801410"/>
    <w:rsid w:val="008015A1"/>
    <w:rsid w:val="0080264F"/>
    <w:rsid w:val="00803B20"/>
    <w:rsid w:val="00803B31"/>
    <w:rsid w:val="00803CB2"/>
    <w:rsid w:val="0080423E"/>
    <w:rsid w:val="00804E26"/>
    <w:rsid w:val="00804FE5"/>
    <w:rsid w:val="00805530"/>
    <w:rsid w:val="008067DC"/>
    <w:rsid w:val="0080724E"/>
    <w:rsid w:val="0081000C"/>
    <w:rsid w:val="00811084"/>
    <w:rsid w:val="00811FF8"/>
    <w:rsid w:val="00812D0B"/>
    <w:rsid w:val="00813CF5"/>
    <w:rsid w:val="00814503"/>
    <w:rsid w:val="00820989"/>
    <w:rsid w:val="008209AA"/>
    <w:rsid w:val="008209C9"/>
    <w:rsid w:val="00821954"/>
    <w:rsid w:val="008219A9"/>
    <w:rsid w:val="008219CC"/>
    <w:rsid w:val="00822288"/>
    <w:rsid w:val="00822E1A"/>
    <w:rsid w:val="00822F64"/>
    <w:rsid w:val="00824806"/>
    <w:rsid w:val="00826169"/>
    <w:rsid w:val="00826BB1"/>
    <w:rsid w:val="00826C2F"/>
    <w:rsid w:val="00826E9A"/>
    <w:rsid w:val="008331B4"/>
    <w:rsid w:val="00833653"/>
    <w:rsid w:val="00833D9D"/>
    <w:rsid w:val="00834D55"/>
    <w:rsid w:val="0083775E"/>
    <w:rsid w:val="00841567"/>
    <w:rsid w:val="0084346C"/>
    <w:rsid w:val="00845193"/>
    <w:rsid w:val="008453D1"/>
    <w:rsid w:val="00846E74"/>
    <w:rsid w:val="00850EF9"/>
    <w:rsid w:val="00851D06"/>
    <w:rsid w:val="00851F10"/>
    <w:rsid w:val="0085210C"/>
    <w:rsid w:val="0085336F"/>
    <w:rsid w:val="00853532"/>
    <w:rsid w:val="008535B2"/>
    <w:rsid w:val="00855F8E"/>
    <w:rsid w:val="0085619E"/>
    <w:rsid w:val="00856386"/>
    <w:rsid w:val="00856996"/>
    <w:rsid w:val="00857691"/>
    <w:rsid w:val="008579A1"/>
    <w:rsid w:val="00857F5E"/>
    <w:rsid w:val="00860DF9"/>
    <w:rsid w:val="00860EF8"/>
    <w:rsid w:val="00860F55"/>
    <w:rsid w:val="00862478"/>
    <w:rsid w:val="00862B1B"/>
    <w:rsid w:val="00862B97"/>
    <w:rsid w:val="00863105"/>
    <w:rsid w:val="00864321"/>
    <w:rsid w:val="00864E97"/>
    <w:rsid w:val="00864EB2"/>
    <w:rsid w:val="00866747"/>
    <w:rsid w:val="00867436"/>
    <w:rsid w:val="0086767B"/>
    <w:rsid w:val="008676A6"/>
    <w:rsid w:val="00867E3E"/>
    <w:rsid w:val="00872F08"/>
    <w:rsid w:val="008738DF"/>
    <w:rsid w:val="00873CA2"/>
    <w:rsid w:val="00874F35"/>
    <w:rsid w:val="00875EB9"/>
    <w:rsid w:val="00876D26"/>
    <w:rsid w:val="0088152B"/>
    <w:rsid w:val="008816DD"/>
    <w:rsid w:val="00882321"/>
    <w:rsid w:val="00882A7E"/>
    <w:rsid w:val="00882AA9"/>
    <w:rsid w:val="00883922"/>
    <w:rsid w:val="0088483C"/>
    <w:rsid w:val="00884BEA"/>
    <w:rsid w:val="00885AE8"/>
    <w:rsid w:val="00885C0C"/>
    <w:rsid w:val="0088690C"/>
    <w:rsid w:val="0088729F"/>
    <w:rsid w:val="00887A79"/>
    <w:rsid w:val="008901DC"/>
    <w:rsid w:val="008906FE"/>
    <w:rsid w:val="0089121D"/>
    <w:rsid w:val="00892A2C"/>
    <w:rsid w:val="008949E1"/>
    <w:rsid w:val="00894CAA"/>
    <w:rsid w:val="00895F84"/>
    <w:rsid w:val="00896441"/>
    <w:rsid w:val="00896A18"/>
    <w:rsid w:val="00897962"/>
    <w:rsid w:val="008A1A53"/>
    <w:rsid w:val="008A2598"/>
    <w:rsid w:val="008A2765"/>
    <w:rsid w:val="008A4B45"/>
    <w:rsid w:val="008A73DA"/>
    <w:rsid w:val="008B03C8"/>
    <w:rsid w:val="008B2984"/>
    <w:rsid w:val="008B3C37"/>
    <w:rsid w:val="008B57E6"/>
    <w:rsid w:val="008B5D69"/>
    <w:rsid w:val="008B62A5"/>
    <w:rsid w:val="008B7F9F"/>
    <w:rsid w:val="008C0697"/>
    <w:rsid w:val="008C0774"/>
    <w:rsid w:val="008C1EAF"/>
    <w:rsid w:val="008C1ED0"/>
    <w:rsid w:val="008C3209"/>
    <w:rsid w:val="008C36DE"/>
    <w:rsid w:val="008C37C7"/>
    <w:rsid w:val="008C3AEF"/>
    <w:rsid w:val="008C3FEA"/>
    <w:rsid w:val="008C4EB3"/>
    <w:rsid w:val="008C5394"/>
    <w:rsid w:val="008C57B9"/>
    <w:rsid w:val="008C598F"/>
    <w:rsid w:val="008D0564"/>
    <w:rsid w:val="008D05C3"/>
    <w:rsid w:val="008D110B"/>
    <w:rsid w:val="008D3D63"/>
    <w:rsid w:val="008D505F"/>
    <w:rsid w:val="008D666C"/>
    <w:rsid w:val="008D6AC3"/>
    <w:rsid w:val="008E23F0"/>
    <w:rsid w:val="008E27DF"/>
    <w:rsid w:val="008E3378"/>
    <w:rsid w:val="008E4367"/>
    <w:rsid w:val="008E4961"/>
    <w:rsid w:val="008E4C07"/>
    <w:rsid w:val="008E5596"/>
    <w:rsid w:val="008E7D12"/>
    <w:rsid w:val="008E7DC2"/>
    <w:rsid w:val="008F07EE"/>
    <w:rsid w:val="008F0AA9"/>
    <w:rsid w:val="008F2009"/>
    <w:rsid w:val="008F2C26"/>
    <w:rsid w:val="008F3E68"/>
    <w:rsid w:val="008F4883"/>
    <w:rsid w:val="008F61F1"/>
    <w:rsid w:val="008F6B7A"/>
    <w:rsid w:val="00900333"/>
    <w:rsid w:val="009006B9"/>
    <w:rsid w:val="00900C38"/>
    <w:rsid w:val="00900F00"/>
    <w:rsid w:val="009012A1"/>
    <w:rsid w:val="00902F12"/>
    <w:rsid w:val="0090332D"/>
    <w:rsid w:val="00903E86"/>
    <w:rsid w:val="00903F7F"/>
    <w:rsid w:val="0090581A"/>
    <w:rsid w:val="00905CB4"/>
    <w:rsid w:val="009107FE"/>
    <w:rsid w:val="00910BB3"/>
    <w:rsid w:val="00910BBC"/>
    <w:rsid w:val="0091161E"/>
    <w:rsid w:val="00912827"/>
    <w:rsid w:val="00914A1D"/>
    <w:rsid w:val="00914ECC"/>
    <w:rsid w:val="00915CBA"/>
    <w:rsid w:val="00917C61"/>
    <w:rsid w:val="0092045F"/>
    <w:rsid w:val="00921201"/>
    <w:rsid w:val="0092364C"/>
    <w:rsid w:val="00924084"/>
    <w:rsid w:val="009260DC"/>
    <w:rsid w:val="00926E8C"/>
    <w:rsid w:val="0093005A"/>
    <w:rsid w:val="00930E2F"/>
    <w:rsid w:val="00931017"/>
    <w:rsid w:val="00931FC7"/>
    <w:rsid w:val="00932F2D"/>
    <w:rsid w:val="00934BC8"/>
    <w:rsid w:val="00935359"/>
    <w:rsid w:val="009369D1"/>
    <w:rsid w:val="00940AD9"/>
    <w:rsid w:val="00940BE2"/>
    <w:rsid w:val="00941673"/>
    <w:rsid w:val="00941BBB"/>
    <w:rsid w:val="00942884"/>
    <w:rsid w:val="00943156"/>
    <w:rsid w:val="00943407"/>
    <w:rsid w:val="00943BE4"/>
    <w:rsid w:val="00943D86"/>
    <w:rsid w:val="00943E45"/>
    <w:rsid w:val="009441BE"/>
    <w:rsid w:val="00944C9E"/>
    <w:rsid w:val="00946180"/>
    <w:rsid w:val="00947190"/>
    <w:rsid w:val="00947279"/>
    <w:rsid w:val="00950AE9"/>
    <w:rsid w:val="00951559"/>
    <w:rsid w:val="00953062"/>
    <w:rsid w:val="009548E5"/>
    <w:rsid w:val="00956476"/>
    <w:rsid w:val="0095777F"/>
    <w:rsid w:val="00960185"/>
    <w:rsid w:val="00960B45"/>
    <w:rsid w:val="0096178F"/>
    <w:rsid w:val="009630AA"/>
    <w:rsid w:val="009657D2"/>
    <w:rsid w:val="00965CB3"/>
    <w:rsid w:val="00970312"/>
    <w:rsid w:val="00971579"/>
    <w:rsid w:val="0097267C"/>
    <w:rsid w:val="0097373B"/>
    <w:rsid w:val="00975298"/>
    <w:rsid w:val="009753FC"/>
    <w:rsid w:val="0097573B"/>
    <w:rsid w:val="009779B3"/>
    <w:rsid w:val="0098008A"/>
    <w:rsid w:val="00980427"/>
    <w:rsid w:val="009813B8"/>
    <w:rsid w:val="0098480C"/>
    <w:rsid w:val="00984CF2"/>
    <w:rsid w:val="00985ADB"/>
    <w:rsid w:val="009862C7"/>
    <w:rsid w:val="009870B9"/>
    <w:rsid w:val="00990D00"/>
    <w:rsid w:val="009925C9"/>
    <w:rsid w:val="00992A25"/>
    <w:rsid w:val="00992B8D"/>
    <w:rsid w:val="00995772"/>
    <w:rsid w:val="009959ED"/>
    <w:rsid w:val="00996E53"/>
    <w:rsid w:val="00996FD1"/>
    <w:rsid w:val="009A01B1"/>
    <w:rsid w:val="009A06D0"/>
    <w:rsid w:val="009A2DB8"/>
    <w:rsid w:val="009A4684"/>
    <w:rsid w:val="009A513C"/>
    <w:rsid w:val="009A5375"/>
    <w:rsid w:val="009B06BC"/>
    <w:rsid w:val="009B2183"/>
    <w:rsid w:val="009B3C31"/>
    <w:rsid w:val="009B3FC5"/>
    <w:rsid w:val="009B6FB4"/>
    <w:rsid w:val="009B7317"/>
    <w:rsid w:val="009B7998"/>
    <w:rsid w:val="009B7E6F"/>
    <w:rsid w:val="009C1F82"/>
    <w:rsid w:val="009C274C"/>
    <w:rsid w:val="009C35D9"/>
    <w:rsid w:val="009C39A1"/>
    <w:rsid w:val="009C43A9"/>
    <w:rsid w:val="009C5276"/>
    <w:rsid w:val="009C5574"/>
    <w:rsid w:val="009C6155"/>
    <w:rsid w:val="009C6503"/>
    <w:rsid w:val="009C6DDA"/>
    <w:rsid w:val="009D0211"/>
    <w:rsid w:val="009D0410"/>
    <w:rsid w:val="009D07C4"/>
    <w:rsid w:val="009D1028"/>
    <w:rsid w:val="009D121B"/>
    <w:rsid w:val="009D209B"/>
    <w:rsid w:val="009D2F26"/>
    <w:rsid w:val="009D334F"/>
    <w:rsid w:val="009D378D"/>
    <w:rsid w:val="009D672C"/>
    <w:rsid w:val="009D67AA"/>
    <w:rsid w:val="009D6F76"/>
    <w:rsid w:val="009D72E0"/>
    <w:rsid w:val="009D76F5"/>
    <w:rsid w:val="009D7ACE"/>
    <w:rsid w:val="009E040D"/>
    <w:rsid w:val="009E08CA"/>
    <w:rsid w:val="009E0DF2"/>
    <w:rsid w:val="009E2341"/>
    <w:rsid w:val="009E2E50"/>
    <w:rsid w:val="009E397A"/>
    <w:rsid w:val="009E5277"/>
    <w:rsid w:val="009F0433"/>
    <w:rsid w:val="009F068F"/>
    <w:rsid w:val="009F235F"/>
    <w:rsid w:val="009F4B89"/>
    <w:rsid w:val="009F5404"/>
    <w:rsid w:val="00A00CC8"/>
    <w:rsid w:val="00A017BC"/>
    <w:rsid w:val="00A01F63"/>
    <w:rsid w:val="00A03F09"/>
    <w:rsid w:val="00A04006"/>
    <w:rsid w:val="00A04B90"/>
    <w:rsid w:val="00A04C9B"/>
    <w:rsid w:val="00A05647"/>
    <w:rsid w:val="00A05925"/>
    <w:rsid w:val="00A06E06"/>
    <w:rsid w:val="00A10BA8"/>
    <w:rsid w:val="00A112BF"/>
    <w:rsid w:val="00A119FD"/>
    <w:rsid w:val="00A13F8C"/>
    <w:rsid w:val="00A141BA"/>
    <w:rsid w:val="00A14D9B"/>
    <w:rsid w:val="00A1668D"/>
    <w:rsid w:val="00A17991"/>
    <w:rsid w:val="00A17EE8"/>
    <w:rsid w:val="00A204BB"/>
    <w:rsid w:val="00A204D7"/>
    <w:rsid w:val="00A21EC2"/>
    <w:rsid w:val="00A22496"/>
    <w:rsid w:val="00A228F3"/>
    <w:rsid w:val="00A232C9"/>
    <w:rsid w:val="00A24470"/>
    <w:rsid w:val="00A25BCD"/>
    <w:rsid w:val="00A26668"/>
    <w:rsid w:val="00A30931"/>
    <w:rsid w:val="00A30A14"/>
    <w:rsid w:val="00A31081"/>
    <w:rsid w:val="00A316C7"/>
    <w:rsid w:val="00A32EA2"/>
    <w:rsid w:val="00A32EE3"/>
    <w:rsid w:val="00A3318E"/>
    <w:rsid w:val="00A353A4"/>
    <w:rsid w:val="00A35F15"/>
    <w:rsid w:val="00A3655A"/>
    <w:rsid w:val="00A3673C"/>
    <w:rsid w:val="00A37D25"/>
    <w:rsid w:val="00A408E9"/>
    <w:rsid w:val="00A41510"/>
    <w:rsid w:val="00A42D77"/>
    <w:rsid w:val="00A43A61"/>
    <w:rsid w:val="00A4474E"/>
    <w:rsid w:val="00A44D91"/>
    <w:rsid w:val="00A454C2"/>
    <w:rsid w:val="00A46AAA"/>
    <w:rsid w:val="00A47247"/>
    <w:rsid w:val="00A52F77"/>
    <w:rsid w:val="00A5427B"/>
    <w:rsid w:val="00A54303"/>
    <w:rsid w:val="00A544CE"/>
    <w:rsid w:val="00A55147"/>
    <w:rsid w:val="00A56211"/>
    <w:rsid w:val="00A57DE2"/>
    <w:rsid w:val="00A64B59"/>
    <w:rsid w:val="00A64D0C"/>
    <w:rsid w:val="00A66B8A"/>
    <w:rsid w:val="00A715BF"/>
    <w:rsid w:val="00A716B6"/>
    <w:rsid w:val="00A729C2"/>
    <w:rsid w:val="00A74DD5"/>
    <w:rsid w:val="00A76D8C"/>
    <w:rsid w:val="00A77695"/>
    <w:rsid w:val="00A77B07"/>
    <w:rsid w:val="00A801D7"/>
    <w:rsid w:val="00A827AE"/>
    <w:rsid w:val="00A829A2"/>
    <w:rsid w:val="00A82D19"/>
    <w:rsid w:val="00A84936"/>
    <w:rsid w:val="00A850C9"/>
    <w:rsid w:val="00A85324"/>
    <w:rsid w:val="00A863E9"/>
    <w:rsid w:val="00A872AA"/>
    <w:rsid w:val="00A90027"/>
    <w:rsid w:val="00A907E1"/>
    <w:rsid w:val="00A9117E"/>
    <w:rsid w:val="00A9128C"/>
    <w:rsid w:val="00A917FA"/>
    <w:rsid w:val="00A9379D"/>
    <w:rsid w:val="00A95330"/>
    <w:rsid w:val="00A95C67"/>
    <w:rsid w:val="00A9678B"/>
    <w:rsid w:val="00A96873"/>
    <w:rsid w:val="00A973BF"/>
    <w:rsid w:val="00A97799"/>
    <w:rsid w:val="00AA4585"/>
    <w:rsid w:val="00AA4B17"/>
    <w:rsid w:val="00AA60F0"/>
    <w:rsid w:val="00AA7D0E"/>
    <w:rsid w:val="00AB1B2A"/>
    <w:rsid w:val="00AB3336"/>
    <w:rsid w:val="00AB6495"/>
    <w:rsid w:val="00AB68AE"/>
    <w:rsid w:val="00AB6E87"/>
    <w:rsid w:val="00AC0A14"/>
    <w:rsid w:val="00AC2F5A"/>
    <w:rsid w:val="00AC37D9"/>
    <w:rsid w:val="00AC4C27"/>
    <w:rsid w:val="00AC7C45"/>
    <w:rsid w:val="00AD017C"/>
    <w:rsid w:val="00AD18AA"/>
    <w:rsid w:val="00AD216F"/>
    <w:rsid w:val="00AD2F2F"/>
    <w:rsid w:val="00AD40C9"/>
    <w:rsid w:val="00AD51A3"/>
    <w:rsid w:val="00AD66D1"/>
    <w:rsid w:val="00AD74E9"/>
    <w:rsid w:val="00AE02E4"/>
    <w:rsid w:val="00AE049B"/>
    <w:rsid w:val="00AE2F56"/>
    <w:rsid w:val="00AE5740"/>
    <w:rsid w:val="00AE7F2C"/>
    <w:rsid w:val="00AF0BFC"/>
    <w:rsid w:val="00AF1B1C"/>
    <w:rsid w:val="00AF24D2"/>
    <w:rsid w:val="00AF2DB7"/>
    <w:rsid w:val="00AF4859"/>
    <w:rsid w:val="00AF55B7"/>
    <w:rsid w:val="00AF5CFE"/>
    <w:rsid w:val="00AF6534"/>
    <w:rsid w:val="00B0002D"/>
    <w:rsid w:val="00B01500"/>
    <w:rsid w:val="00B03FD5"/>
    <w:rsid w:val="00B0403F"/>
    <w:rsid w:val="00B04BE2"/>
    <w:rsid w:val="00B05756"/>
    <w:rsid w:val="00B06EC5"/>
    <w:rsid w:val="00B106E8"/>
    <w:rsid w:val="00B10BF2"/>
    <w:rsid w:val="00B12DDD"/>
    <w:rsid w:val="00B12E70"/>
    <w:rsid w:val="00B13C5C"/>
    <w:rsid w:val="00B16519"/>
    <w:rsid w:val="00B1732D"/>
    <w:rsid w:val="00B21212"/>
    <w:rsid w:val="00B215DF"/>
    <w:rsid w:val="00B23CD0"/>
    <w:rsid w:val="00B2544D"/>
    <w:rsid w:val="00B26585"/>
    <w:rsid w:val="00B27855"/>
    <w:rsid w:val="00B3027D"/>
    <w:rsid w:val="00B31688"/>
    <w:rsid w:val="00B31D43"/>
    <w:rsid w:val="00B33C0A"/>
    <w:rsid w:val="00B34D84"/>
    <w:rsid w:val="00B35F96"/>
    <w:rsid w:val="00B37AEB"/>
    <w:rsid w:val="00B40600"/>
    <w:rsid w:val="00B41D2B"/>
    <w:rsid w:val="00B41F72"/>
    <w:rsid w:val="00B439A3"/>
    <w:rsid w:val="00B449A5"/>
    <w:rsid w:val="00B452CF"/>
    <w:rsid w:val="00B4632E"/>
    <w:rsid w:val="00B479E7"/>
    <w:rsid w:val="00B47B82"/>
    <w:rsid w:val="00B47DD5"/>
    <w:rsid w:val="00B50842"/>
    <w:rsid w:val="00B51D7E"/>
    <w:rsid w:val="00B5248B"/>
    <w:rsid w:val="00B524B7"/>
    <w:rsid w:val="00B53215"/>
    <w:rsid w:val="00B53BE2"/>
    <w:rsid w:val="00B53EFC"/>
    <w:rsid w:val="00B55395"/>
    <w:rsid w:val="00B56B99"/>
    <w:rsid w:val="00B578BC"/>
    <w:rsid w:val="00B60CD7"/>
    <w:rsid w:val="00B60E48"/>
    <w:rsid w:val="00B610A0"/>
    <w:rsid w:val="00B63727"/>
    <w:rsid w:val="00B645D2"/>
    <w:rsid w:val="00B64C36"/>
    <w:rsid w:val="00B651ED"/>
    <w:rsid w:val="00B65684"/>
    <w:rsid w:val="00B65748"/>
    <w:rsid w:val="00B657A1"/>
    <w:rsid w:val="00B661B9"/>
    <w:rsid w:val="00B70500"/>
    <w:rsid w:val="00B71077"/>
    <w:rsid w:val="00B71256"/>
    <w:rsid w:val="00B716C4"/>
    <w:rsid w:val="00B719D6"/>
    <w:rsid w:val="00B730C3"/>
    <w:rsid w:val="00B73673"/>
    <w:rsid w:val="00B747C3"/>
    <w:rsid w:val="00B751E6"/>
    <w:rsid w:val="00B75CF4"/>
    <w:rsid w:val="00B7614E"/>
    <w:rsid w:val="00B76B39"/>
    <w:rsid w:val="00B8075C"/>
    <w:rsid w:val="00B812A0"/>
    <w:rsid w:val="00B81650"/>
    <w:rsid w:val="00B8226F"/>
    <w:rsid w:val="00B82A94"/>
    <w:rsid w:val="00B84565"/>
    <w:rsid w:val="00B84FE1"/>
    <w:rsid w:val="00B8638F"/>
    <w:rsid w:val="00B867B3"/>
    <w:rsid w:val="00B86D8D"/>
    <w:rsid w:val="00B86E06"/>
    <w:rsid w:val="00B87251"/>
    <w:rsid w:val="00B90827"/>
    <w:rsid w:val="00B93E44"/>
    <w:rsid w:val="00B960A7"/>
    <w:rsid w:val="00B9669D"/>
    <w:rsid w:val="00B966AD"/>
    <w:rsid w:val="00B96C48"/>
    <w:rsid w:val="00B97ADD"/>
    <w:rsid w:val="00B97ADE"/>
    <w:rsid w:val="00BA0BE4"/>
    <w:rsid w:val="00BA1D97"/>
    <w:rsid w:val="00BA3171"/>
    <w:rsid w:val="00BA4198"/>
    <w:rsid w:val="00BA5B8E"/>
    <w:rsid w:val="00BA5BF7"/>
    <w:rsid w:val="00BA6AB9"/>
    <w:rsid w:val="00BA7906"/>
    <w:rsid w:val="00BA7B0C"/>
    <w:rsid w:val="00BB1C7A"/>
    <w:rsid w:val="00BB2A9E"/>
    <w:rsid w:val="00BB2ED5"/>
    <w:rsid w:val="00BB3916"/>
    <w:rsid w:val="00BB4DA4"/>
    <w:rsid w:val="00BB4E53"/>
    <w:rsid w:val="00BB4F5C"/>
    <w:rsid w:val="00BB73C9"/>
    <w:rsid w:val="00BB7E3F"/>
    <w:rsid w:val="00BC1AEF"/>
    <w:rsid w:val="00BC2A38"/>
    <w:rsid w:val="00BC326C"/>
    <w:rsid w:val="00BC32BD"/>
    <w:rsid w:val="00BC32F9"/>
    <w:rsid w:val="00BC37AA"/>
    <w:rsid w:val="00BC6354"/>
    <w:rsid w:val="00BC63DE"/>
    <w:rsid w:val="00BC7A93"/>
    <w:rsid w:val="00BD00E2"/>
    <w:rsid w:val="00BD0352"/>
    <w:rsid w:val="00BD0873"/>
    <w:rsid w:val="00BD20E8"/>
    <w:rsid w:val="00BD21B8"/>
    <w:rsid w:val="00BD2618"/>
    <w:rsid w:val="00BD2938"/>
    <w:rsid w:val="00BD3DAE"/>
    <w:rsid w:val="00BD434A"/>
    <w:rsid w:val="00BD6389"/>
    <w:rsid w:val="00BD6B88"/>
    <w:rsid w:val="00BD76DF"/>
    <w:rsid w:val="00BD7FDE"/>
    <w:rsid w:val="00BE0EE5"/>
    <w:rsid w:val="00BE22D7"/>
    <w:rsid w:val="00BE4410"/>
    <w:rsid w:val="00BE4991"/>
    <w:rsid w:val="00BE4CD8"/>
    <w:rsid w:val="00BE606D"/>
    <w:rsid w:val="00BE657A"/>
    <w:rsid w:val="00BE66B6"/>
    <w:rsid w:val="00BE68F4"/>
    <w:rsid w:val="00BE69F2"/>
    <w:rsid w:val="00BE720B"/>
    <w:rsid w:val="00BE7238"/>
    <w:rsid w:val="00BE7D5C"/>
    <w:rsid w:val="00BF19AB"/>
    <w:rsid w:val="00BF2BF4"/>
    <w:rsid w:val="00BF2C6B"/>
    <w:rsid w:val="00BF3F1C"/>
    <w:rsid w:val="00BF637F"/>
    <w:rsid w:val="00C00018"/>
    <w:rsid w:val="00C014E2"/>
    <w:rsid w:val="00C01B71"/>
    <w:rsid w:val="00C01F5D"/>
    <w:rsid w:val="00C03FC9"/>
    <w:rsid w:val="00C0443F"/>
    <w:rsid w:val="00C05E87"/>
    <w:rsid w:val="00C077C3"/>
    <w:rsid w:val="00C07909"/>
    <w:rsid w:val="00C07D62"/>
    <w:rsid w:val="00C100C7"/>
    <w:rsid w:val="00C110DC"/>
    <w:rsid w:val="00C1118A"/>
    <w:rsid w:val="00C12BD0"/>
    <w:rsid w:val="00C13185"/>
    <w:rsid w:val="00C13781"/>
    <w:rsid w:val="00C143BA"/>
    <w:rsid w:val="00C14C97"/>
    <w:rsid w:val="00C14CEA"/>
    <w:rsid w:val="00C16292"/>
    <w:rsid w:val="00C165C1"/>
    <w:rsid w:val="00C16AC7"/>
    <w:rsid w:val="00C17A3D"/>
    <w:rsid w:val="00C200C7"/>
    <w:rsid w:val="00C22544"/>
    <w:rsid w:val="00C22A74"/>
    <w:rsid w:val="00C24B66"/>
    <w:rsid w:val="00C24BC6"/>
    <w:rsid w:val="00C2515A"/>
    <w:rsid w:val="00C26282"/>
    <w:rsid w:val="00C269B8"/>
    <w:rsid w:val="00C272A4"/>
    <w:rsid w:val="00C278BC"/>
    <w:rsid w:val="00C3090B"/>
    <w:rsid w:val="00C32624"/>
    <w:rsid w:val="00C34987"/>
    <w:rsid w:val="00C35608"/>
    <w:rsid w:val="00C41B68"/>
    <w:rsid w:val="00C42C79"/>
    <w:rsid w:val="00C43D8D"/>
    <w:rsid w:val="00C44543"/>
    <w:rsid w:val="00C452F1"/>
    <w:rsid w:val="00C45E44"/>
    <w:rsid w:val="00C46A71"/>
    <w:rsid w:val="00C46C98"/>
    <w:rsid w:val="00C50B21"/>
    <w:rsid w:val="00C53597"/>
    <w:rsid w:val="00C53A5F"/>
    <w:rsid w:val="00C5427C"/>
    <w:rsid w:val="00C548B9"/>
    <w:rsid w:val="00C56882"/>
    <w:rsid w:val="00C613AF"/>
    <w:rsid w:val="00C6148A"/>
    <w:rsid w:val="00C64483"/>
    <w:rsid w:val="00C6779A"/>
    <w:rsid w:val="00C67DB7"/>
    <w:rsid w:val="00C700EB"/>
    <w:rsid w:val="00C705A2"/>
    <w:rsid w:val="00C70C79"/>
    <w:rsid w:val="00C714D9"/>
    <w:rsid w:val="00C71D5A"/>
    <w:rsid w:val="00C72154"/>
    <w:rsid w:val="00C735E7"/>
    <w:rsid w:val="00C736D0"/>
    <w:rsid w:val="00C7587B"/>
    <w:rsid w:val="00C75E6F"/>
    <w:rsid w:val="00C766D4"/>
    <w:rsid w:val="00C76B14"/>
    <w:rsid w:val="00C8033E"/>
    <w:rsid w:val="00C8042D"/>
    <w:rsid w:val="00C8071D"/>
    <w:rsid w:val="00C80CE6"/>
    <w:rsid w:val="00C818EF"/>
    <w:rsid w:val="00C821E0"/>
    <w:rsid w:val="00C86142"/>
    <w:rsid w:val="00C86E76"/>
    <w:rsid w:val="00C90BA0"/>
    <w:rsid w:val="00C92ECC"/>
    <w:rsid w:val="00C92F28"/>
    <w:rsid w:val="00C96CCA"/>
    <w:rsid w:val="00C9711A"/>
    <w:rsid w:val="00C97DA5"/>
    <w:rsid w:val="00CA0150"/>
    <w:rsid w:val="00CA3404"/>
    <w:rsid w:val="00CA39F9"/>
    <w:rsid w:val="00CA531A"/>
    <w:rsid w:val="00CA559C"/>
    <w:rsid w:val="00CA56E4"/>
    <w:rsid w:val="00CA6C16"/>
    <w:rsid w:val="00CA7369"/>
    <w:rsid w:val="00CB0666"/>
    <w:rsid w:val="00CB0B7D"/>
    <w:rsid w:val="00CB2F25"/>
    <w:rsid w:val="00CB3AD9"/>
    <w:rsid w:val="00CB4231"/>
    <w:rsid w:val="00CB451F"/>
    <w:rsid w:val="00CB5CF0"/>
    <w:rsid w:val="00CB617A"/>
    <w:rsid w:val="00CB6478"/>
    <w:rsid w:val="00CB64AD"/>
    <w:rsid w:val="00CB6AD6"/>
    <w:rsid w:val="00CC0573"/>
    <w:rsid w:val="00CC3A7E"/>
    <w:rsid w:val="00CC3B35"/>
    <w:rsid w:val="00CC4674"/>
    <w:rsid w:val="00CC5143"/>
    <w:rsid w:val="00CC5957"/>
    <w:rsid w:val="00CD0FE9"/>
    <w:rsid w:val="00CD403E"/>
    <w:rsid w:val="00CD4CC0"/>
    <w:rsid w:val="00CD508F"/>
    <w:rsid w:val="00CD53A1"/>
    <w:rsid w:val="00CD5497"/>
    <w:rsid w:val="00CD578A"/>
    <w:rsid w:val="00CD7529"/>
    <w:rsid w:val="00CD7548"/>
    <w:rsid w:val="00CE2053"/>
    <w:rsid w:val="00CE4424"/>
    <w:rsid w:val="00CE5163"/>
    <w:rsid w:val="00CE5682"/>
    <w:rsid w:val="00CE709D"/>
    <w:rsid w:val="00CE75D7"/>
    <w:rsid w:val="00CE7ACF"/>
    <w:rsid w:val="00CF0B3B"/>
    <w:rsid w:val="00CF1AA7"/>
    <w:rsid w:val="00CF1E8E"/>
    <w:rsid w:val="00CF2949"/>
    <w:rsid w:val="00CF2B5E"/>
    <w:rsid w:val="00CF3812"/>
    <w:rsid w:val="00CF3DEF"/>
    <w:rsid w:val="00CF59C3"/>
    <w:rsid w:val="00CF5F60"/>
    <w:rsid w:val="00CF6087"/>
    <w:rsid w:val="00D00CC3"/>
    <w:rsid w:val="00D0151B"/>
    <w:rsid w:val="00D03219"/>
    <w:rsid w:val="00D04F5D"/>
    <w:rsid w:val="00D06272"/>
    <w:rsid w:val="00D064CE"/>
    <w:rsid w:val="00D10332"/>
    <w:rsid w:val="00D1165B"/>
    <w:rsid w:val="00D11831"/>
    <w:rsid w:val="00D12BD9"/>
    <w:rsid w:val="00D140E7"/>
    <w:rsid w:val="00D149E7"/>
    <w:rsid w:val="00D16FF9"/>
    <w:rsid w:val="00D1782F"/>
    <w:rsid w:val="00D17CC0"/>
    <w:rsid w:val="00D20372"/>
    <w:rsid w:val="00D21100"/>
    <w:rsid w:val="00D21344"/>
    <w:rsid w:val="00D222F0"/>
    <w:rsid w:val="00D23508"/>
    <w:rsid w:val="00D2478F"/>
    <w:rsid w:val="00D252C8"/>
    <w:rsid w:val="00D25EC6"/>
    <w:rsid w:val="00D262F9"/>
    <w:rsid w:val="00D26881"/>
    <w:rsid w:val="00D30377"/>
    <w:rsid w:val="00D3119C"/>
    <w:rsid w:val="00D32203"/>
    <w:rsid w:val="00D32509"/>
    <w:rsid w:val="00D3366A"/>
    <w:rsid w:val="00D342A4"/>
    <w:rsid w:val="00D3432A"/>
    <w:rsid w:val="00D34EEF"/>
    <w:rsid w:val="00D35D7E"/>
    <w:rsid w:val="00D35DF9"/>
    <w:rsid w:val="00D40CF7"/>
    <w:rsid w:val="00D4248F"/>
    <w:rsid w:val="00D42A94"/>
    <w:rsid w:val="00D42C08"/>
    <w:rsid w:val="00D43CA2"/>
    <w:rsid w:val="00D43E32"/>
    <w:rsid w:val="00D4411D"/>
    <w:rsid w:val="00D449AF"/>
    <w:rsid w:val="00D45054"/>
    <w:rsid w:val="00D453C8"/>
    <w:rsid w:val="00D4568E"/>
    <w:rsid w:val="00D45918"/>
    <w:rsid w:val="00D4621C"/>
    <w:rsid w:val="00D469E2"/>
    <w:rsid w:val="00D47925"/>
    <w:rsid w:val="00D506F7"/>
    <w:rsid w:val="00D5186D"/>
    <w:rsid w:val="00D51C19"/>
    <w:rsid w:val="00D51D5D"/>
    <w:rsid w:val="00D52FAE"/>
    <w:rsid w:val="00D5371C"/>
    <w:rsid w:val="00D53A66"/>
    <w:rsid w:val="00D55E08"/>
    <w:rsid w:val="00D57F28"/>
    <w:rsid w:val="00D60613"/>
    <w:rsid w:val="00D60CA5"/>
    <w:rsid w:val="00D61E24"/>
    <w:rsid w:val="00D6209E"/>
    <w:rsid w:val="00D64357"/>
    <w:rsid w:val="00D65A92"/>
    <w:rsid w:val="00D679F8"/>
    <w:rsid w:val="00D72209"/>
    <w:rsid w:val="00D727BA"/>
    <w:rsid w:val="00D74D24"/>
    <w:rsid w:val="00D7506C"/>
    <w:rsid w:val="00D806DE"/>
    <w:rsid w:val="00D8073A"/>
    <w:rsid w:val="00D80761"/>
    <w:rsid w:val="00D80F4F"/>
    <w:rsid w:val="00D81CC3"/>
    <w:rsid w:val="00D82B64"/>
    <w:rsid w:val="00D82F63"/>
    <w:rsid w:val="00D854A8"/>
    <w:rsid w:val="00D85BC2"/>
    <w:rsid w:val="00D90002"/>
    <w:rsid w:val="00D913F8"/>
    <w:rsid w:val="00D92953"/>
    <w:rsid w:val="00D92CFD"/>
    <w:rsid w:val="00D93505"/>
    <w:rsid w:val="00D943AD"/>
    <w:rsid w:val="00D946EB"/>
    <w:rsid w:val="00D9530F"/>
    <w:rsid w:val="00D95612"/>
    <w:rsid w:val="00D95647"/>
    <w:rsid w:val="00D963A8"/>
    <w:rsid w:val="00D9697F"/>
    <w:rsid w:val="00D97404"/>
    <w:rsid w:val="00D97CEB"/>
    <w:rsid w:val="00DA1B0D"/>
    <w:rsid w:val="00DA1ED4"/>
    <w:rsid w:val="00DA3A21"/>
    <w:rsid w:val="00DA3FFF"/>
    <w:rsid w:val="00DA495F"/>
    <w:rsid w:val="00DA65E0"/>
    <w:rsid w:val="00DA6E08"/>
    <w:rsid w:val="00DA6FE7"/>
    <w:rsid w:val="00DB0C6E"/>
    <w:rsid w:val="00DB1639"/>
    <w:rsid w:val="00DB1F8C"/>
    <w:rsid w:val="00DB205E"/>
    <w:rsid w:val="00DB3A58"/>
    <w:rsid w:val="00DB4966"/>
    <w:rsid w:val="00DB4A55"/>
    <w:rsid w:val="00DB58CA"/>
    <w:rsid w:val="00DB6B06"/>
    <w:rsid w:val="00DC0D78"/>
    <w:rsid w:val="00DC2A55"/>
    <w:rsid w:val="00DC337A"/>
    <w:rsid w:val="00DC3CFA"/>
    <w:rsid w:val="00DC4587"/>
    <w:rsid w:val="00DC531E"/>
    <w:rsid w:val="00DC539D"/>
    <w:rsid w:val="00DC62F1"/>
    <w:rsid w:val="00DC65AF"/>
    <w:rsid w:val="00DC69CA"/>
    <w:rsid w:val="00DC6E4C"/>
    <w:rsid w:val="00DC758E"/>
    <w:rsid w:val="00DD02FC"/>
    <w:rsid w:val="00DD06B2"/>
    <w:rsid w:val="00DD0CAB"/>
    <w:rsid w:val="00DD176A"/>
    <w:rsid w:val="00DD1DD1"/>
    <w:rsid w:val="00DD1F26"/>
    <w:rsid w:val="00DD3544"/>
    <w:rsid w:val="00DD3A13"/>
    <w:rsid w:val="00DE09C7"/>
    <w:rsid w:val="00DE131B"/>
    <w:rsid w:val="00DE213B"/>
    <w:rsid w:val="00DE240A"/>
    <w:rsid w:val="00DE26A5"/>
    <w:rsid w:val="00DE2837"/>
    <w:rsid w:val="00DE34B3"/>
    <w:rsid w:val="00DE358C"/>
    <w:rsid w:val="00DE4A9A"/>
    <w:rsid w:val="00DE4B78"/>
    <w:rsid w:val="00DE6A6D"/>
    <w:rsid w:val="00DE6D8D"/>
    <w:rsid w:val="00DE75A7"/>
    <w:rsid w:val="00DF341D"/>
    <w:rsid w:val="00DF47B6"/>
    <w:rsid w:val="00DF5635"/>
    <w:rsid w:val="00DF5D61"/>
    <w:rsid w:val="00DF5DAC"/>
    <w:rsid w:val="00DF6308"/>
    <w:rsid w:val="00DF6EA1"/>
    <w:rsid w:val="00E00638"/>
    <w:rsid w:val="00E013A2"/>
    <w:rsid w:val="00E016A9"/>
    <w:rsid w:val="00E01B85"/>
    <w:rsid w:val="00E02481"/>
    <w:rsid w:val="00E04F0F"/>
    <w:rsid w:val="00E050F1"/>
    <w:rsid w:val="00E05BE8"/>
    <w:rsid w:val="00E06407"/>
    <w:rsid w:val="00E06C88"/>
    <w:rsid w:val="00E07E5C"/>
    <w:rsid w:val="00E11D09"/>
    <w:rsid w:val="00E12743"/>
    <w:rsid w:val="00E12A80"/>
    <w:rsid w:val="00E1354A"/>
    <w:rsid w:val="00E14A31"/>
    <w:rsid w:val="00E1535E"/>
    <w:rsid w:val="00E15A70"/>
    <w:rsid w:val="00E16DB3"/>
    <w:rsid w:val="00E2054C"/>
    <w:rsid w:val="00E206E6"/>
    <w:rsid w:val="00E22900"/>
    <w:rsid w:val="00E22A82"/>
    <w:rsid w:val="00E22E88"/>
    <w:rsid w:val="00E235BC"/>
    <w:rsid w:val="00E249A2"/>
    <w:rsid w:val="00E30660"/>
    <w:rsid w:val="00E312CE"/>
    <w:rsid w:val="00E3195A"/>
    <w:rsid w:val="00E31EB2"/>
    <w:rsid w:val="00E33364"/>
    <w:rsid w:val="00E3512A"/>
    <w:rsid w:val="00E36633"/>
    <w:rsid w:val="00E37224"/>
    <w:rsid w:val="00E37E6F"/>
    <w:rsid w:val="00E441C0"/>
    <w:rsid w:val="00E463A4"/>
    <w:rsid w:val="00E4692D"/>
    <w:rsid w:val="00E46BDC"/>
    <w:rsid w:val="00E46EE5"/>
    <w:rsid w:val="00E47AE5"/>
    <w:rsid w:val="00E508AD"/>
    <w:rsid w:val="00E515D8"/>
    <w:rsid w:val="00E5366C"/>
    <w:rsid w:val="00E53795"/>
    <w:rsid w:val="00E53B96"/>
    <w:rsid w:val="00E54A81"/>
    <w:rsid w:val="00E57512"/>
    <w:rsid w:val="00E612E4"/>
    <w:rsid w:val="00E61933"/>
    <w:rsid w:val="00E61BA3"/>
    <w:rsid w:val="00E62950"/>
    <w:rsid w:val="00E6416A"/>
    <w:rsid w:val="00E647C7"/>
    <w:rsid w:val="00E65564"/>
    <w:rsid w:val="00E657BD"/>
    <w:rsid w:val="00E66369"/>
    <w:rsid w:val="00E667A4"/>
    <w:rsid w:val="00E67347"/>
    <w:rsid w:val="00E70269"/>
    <w:rsid w:val="00E70583"/>
    <w:rsid w:val="00E706A6"/>
    <w:rsid w:val="00E70B1B"/>
    <w:rsid w:val="00E72C49"/>
    <w:rsid w:val="00E730CA"/>
    <w:rsid w:val="00E74BB7"/>
    <w:rsid w:val="00E765F3"/>
    <w:rsid w:val="00E77201"/>
    <w:rsid w:val="00E81BFA"/>
    <w:rsid w:val="00E8238B"/>
    <w:rsid w:val="00E826BA"/>
    <w:rsid w:val="00E82B07"/>
    <w:rsid w:val="00E83FF6"/>
    <w:rsid w:val="00E85D41"/>
    <w:rsid w:val="00E87C84"/>
    <w:rsid w:val="00E87D2E"/>
    <w:rsid w:val="00E90EC4"/>
    <w:rsid w:val="00E92ADE"/>
    <w:rsid w:val="00E92F95"/>
    <w:rsid w:val="00E930A3"/>
    <w:rsid w:val="00E93592"/>
    <w:rsid w:val="00E93CED"/>
    <w:rsid w:val="00E93F24"/>
    <w:rsid w:val="00E9472D"/>
    <w:rsid w:val="00E95684"/>
    <w:rsid w:val="00E96619"/>
    <w:rsid w:val="00E96CEE"/>
    <w:rsid w:val="00E96D53"/>
    <w:rsid w:val="00E97BF6"/>
    <w:rsid w:val="00EA002F"/>
    <w:rsid w:val="00EA02AC"/>
    <w:rsid w:val="00EA0561"/>
    <w:rsid w:val="00EA1A5B"/>
    <w:rsid w:val="00EA2827"/>
    <w:rsid w:val="00EA2A69"/>
    <w:rsid w:val="00EA439A"/>
    <w:rsid w:val="00EA450A"/>
    <w:rsid w:val="00EA4963"/>
    <w:rsid w:val="00EA500A"/>
    <w:rsid w:val="00EA587D"/>
    <w:rsid w:val="00EA7350"/>
    <w:rsid w:val="00EA7AA1"/>
    <w:rsid w:val="00EB0CAA"/>
    <w:rsid w:val="00EB2195"/>
    <w:rsid w:val="00EB43BF"/>
    <w:rsid w:val="00EB47AD"/>
    <w:rsid w:val="00EB59D7"/>
    <w:rsid w:val="00EB5A62"/>
    <w:rsid w:val="00EB5E1E"/>
    <w:rsid w:val="00EB6A67"/>
    <w:rsid w:val="00EB734D"/>
    <w:rsid w:val="00EC0336"/>
    <w:rsid w:val="00EC1189"/>
    <w:rsid w:val="00EC12D7"/>
    <w:rsid w:val="00EC2C5F"/>
    <w:rsid w:val="00EC2FBD"/>
    <w:rsid w:val="00EC35D5"/>
    <w:rsid w:val="00EC3CCE"/>
    <w:rsid w:val="00EC40B1"/>
    <w:rsid w:val="00EC66BF"/>
    <w:rsid w:val="00EC6C61"/>
    <w:rsid w:val="00EC6F63"/>
    <w:rsid w:val="00EC75A0"/>
    <w:rsid w:val="00ED1D13"/>
    <w:rsid w:val="00ED7CEA"/>
    <w:rsid w:val="00ED7F8F"/>
    <w:rsid w:val="00EE0126"/>
    <w:rsid w:val="00EE1617"/>
    <w:rsid w:val="00EE1E10"/>
    <w:rsid w:val="00EE29D1"/>
    <w:rsid w:val="00EE2D03"/>
    <w:rsid w:val="00EE3E1E"/>
    <w:rsid w:val="00EE44BA"/>
    <w:rsid w:val="00EE498A"/>
    <w:rsid w:val="00EE6E0F"/>
    <w:rsid w:val="00EE6F85"/>
    <w:rsid w:val="00EF14A7"/>
    <w:rsid w:val="00EF172A"/>
    <w:rsid w:val="00EF1CAA"/>
    <w:rsid w:val="00EF7279"/>
    <w:rsid w:val="00EF7AF2"/>
    <w:rsid w:val="00EF7F4D"/>
    <w:rsid w:val="00F01AAC"/>
    <w:rsid w:val="00F03E24"/>
    <w:rsid w:val="00F056B6"/>
    <w:rsid w:val="00F06453"/>
    <w:rsid w:val="00F06769"/>
    <w:rsid w:val="00F06ABE"/>
    <w:rsid w:val="00F10BC0"/>
    <w:rsid w:val="00F10C90"/>
    <w:rsid w:val="00F11ACC"/>
    <w:rsid w:val="00F11AF7"/>
    <w:rsid w:val="00F13F3C"/>
    <w:rsid w:val="00F14134"/>
    <w:rsid w:val="00F149D9"/>
    <w:rsid w:val="00F15CD3"/>
    <w:rsid w:val="00F15FF7"/>
    <w:rsid w:val="00F22A2B"/>
    <w:rsid w:val="00F22DDE"/>
    <w:rsid w:val="00F25EC4"/>
    <w:rsid w:val="00F26BCD"/>
    <w:rsid w:val="00F27992"/>
    <w:rsid w:val="00F30BB1"/>
    <w:rsid w:val="00F317BB"/>
    <w:rsid w:val="00F31F46"/>
    <w:rsid w:val="00F32C3D"/>
    <w:rsid w:val="00F3341A"/>
    <w:rsid w:val="00F33E48"/>
    <w:rsid w:val="00F352C2"/>
    <w:rsid w:val="00F35FEF"/>
    <w:rsid w:val="00F36331"/>
    <w:rsid w:val="00F36650"/>
    <w:rsid w:val="00F36863"/>
    <w:rsid w:val="00F37628"/>
    <w:rsid w:val="00F40198"/>
    <w:rsid w:val="00F42191"/>
    <w:rsid w:val="00F448AD"/>
    <w:rsid w:val="00F452BB"/>
    <w:rsid w:val="00F455C7"/>
    <w:rsid w:val="00F45E3E"/>
    <w:rsid w:val="00F46892"/>
    <w:rsid w:val="00F47047"/>
    <w:rsid w:val="00F47928"/>
    <w:rsid w:val="00F50154"/>
    <w:rsid w:val="00F53591"/>
    <w:rsid w:val="00F5368F"/>
    <w:rsid w:val="00F542DE"/>
    <w:rsid w:val="00F54BAB"/>
    <w:rsid w:val="00F56D88"/>
    <w:rsid w:val="00F576A5"/>
    <w:rsid w:val="00F6122A"/>
    <w:rsid w:val="00F62D6C"/>
    <w:rsid w:val="00F6367B"/>
    <w:rsid w:val="00F67E00"/>
    <w:rsid w:val="00F7045C"/>
    <w:rsid w:val="00F71B48"/>
    <w:rsid w:val="00F71C66"/>
    <w:rsid w:val="00F71DEF"/>
    <w:rsid w:val="00F72957"/>
    <w:rsid w:val="00F732AC"/>
    <w:rsid w:val="00F732F3"/>
    <w:rsid w:val="00F733AF"/>
    <w:rsid w:val="00F7390B"/>
    <w:rsid w:val="00F74BE1"/>
    <w:rsid w:val="00F76839"/>
    <w:rsid w:val="00F77252"/>
    <w:rsid w:val="00F77750"/>
    <w:rsid w:val="00F80D30"/>
    <w:rsid w:val="00F80DA6"/>
    <w:rsid w:val="00F81504"/>
    <w:rsid w:val="00F81BC1"/>
    <w:rsid w:val="00F8212E"/>
    <w:rsid w:val="00F83FCF"/>
    <w:rsid w:val="00F85452"/>
    <w:rsid w:val="00F85A71"/>
    <w:rsid w:val="00F85D7C"/>
    <w:rsid w:val="00F91386"/>
    <w:rsid w:val="00F91619"/>
    <w:rsid w:val="00F9202B"/>
    <w:rsid w:val="00F926E4"/>
    <w:rsid w:val="00F92DE0"/>
    <w:rsid w:val="00F94EB1"/>
    <w:rsid w:val="00F95332"/>
    <w:rsid w:val="00F95EFB"/>
    <w:rsid w:val="00F97235"/>
    <w:rsid w:val="00F976E1"/>
    <w:rsid w:val="00FA1780"/>
    <w:rsid w:val="00FA1A40"/>
    <w:rsid w:val="00FA1F19"/>
    <w:rsid w:val="00FA2989"/>
    <w:rsid w:val="00FA2B0D"/>
    <w:rsid w:val="00FA493A"/>
    <w:rsid w:val="00FA57FF"/>
    <w:rsid w:val="00FA61F9"/>
    <w:rsid w:val="00FA6744"/>
    <w:rsid w:val="00FA6DD8"/>
    <w:rsid w:val="00FA72C9"/>
    <w:rsid w:val="00FA7763"/>
    <w:rsid w:val="00FA7D81"/>
    <w:rsid w:val="00FB0285"/>
    <w:rsid w:val="00FB0BB8"/>
    <w:rsid w:val="00FB146D"/>
    <w:rsid w:val="00FB20EA"/>
    <w:rsid w:val="00FB3804"/>
    <w:rsid w:val="00FB3C8F"/>
    <w:rsid w:val="00FB4619"/>
    <w:rsid w:val="00FB479F"/>
    <w:rsid w:val="00FB57D4"/>
    <w:rsid w:val="00FB5876"/>
    <w:rsid w:val="00FB618B"/>
    <w:rsid w:val="00FB7698"/>
    <w:rsid w:val="00FB7AD6"/>
    <w:rsid w:val="00FC11C4"/>
    <w:rsid w:val="00FC4826"/>
    <w:rsid w:val="00FC4B60"/>
    <w:rsid w:val="00FD31C7"/>
    <w:rsid w:val="00FD5480"/>
    <w:rsid w:val="00FD5A32"/>
    <w:rsid w:val="00FD5B26"/>
    <w:rsid w:val="00FD5D26"/>
    <w:rsid w:val="00FD6946"/>
    <w:rsid w:val="00FD6C74"/>
    <w:rsid w:val="00FE0185"/>
    <w:rsid w:val="00FE26EF"/>
    <w:rsid w:val="00FE2DDD"/>
    <w:rsid w:val="00FE3357"/>
    <w:rsid w:val="00FE4AA4"/>
    <w:rsid w:val="00FE5810"/>
    <w:rsid w:val="00FF23DD"/>
    <w:rsid w:val="00FF3901"/>
    <w:rsid w:val="00FF6F8F"/>
    <w:rsid w:val="00FF78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NECG) Footnote Reference,Appel note de bas de p,FR,Footnote Reference/,Footnote Reference1,Style 12,Style 124,Style 13,Style 17,Style 3,Style 34,Style 4,Style 6,Style 7,Style 9,fr,o"/>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FB618B"/>
    <w:pPr>
      <w:widowControl w:val="0"/>
    </w:pPr>
    <w:rPr>
      <w:snapToGrid w:val="0"/>
      <w:color w:val="000000"/>
      <w:kern w:val="28"/>
      <w:sz w:val="22"/>
      <w:szCs w:val="22"/>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