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C2EE3" w14:paraId="325BDD61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0948A051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423B013E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6CAB7BBE" w14:textId="77777777"/>
    <w:p w:rsidR="004C2EE3" w:rsidP="0070224F" w14:paraId="09B70829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747E50D6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4DC0C22B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76E5CB1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7115F7" w:rsidP="007115F7" w14:paraId="68ACA7D6" w14:textId="6CC1175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t>Modernizing Unbundling and Resale Requirements in an Era of Next-Generation Networks and Services</w:t>
            </w:r>
          </w:p>
        </w:tc>
        <w:tc>
          <w:tcPr>
            <w:tcW w:w="630" w:type="dxa"/>
          </w:tcPr>
          <w:p w:rsidR="004C2EE3" w14:paraId="42AFBA6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A8EA5F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D82809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128C5570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2CB653E0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9BC75F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E066A6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572D044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509F23A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14:paraId="199EA47E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76192E57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3F13C521" w14:textId="73467AF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19-308</w:t>
            </w:r>
          </w:p>
        </w:tc>
      </w:tr>
    </w:tbl>
    <w:p w:rsidR="004C2EE3" w:rsidP="0070224F" w14:paraId="2CF01762" w14:textId="77777777"/>
    <w:p w:rsidR="00841AB1" w:rsidP="00F021FA" w14:paraId="11BDC4F9" w14:textId="634127C7">
      <w:pPr>
        <w:pStyle w:val="StyleBoldCentered"/>
      </w:pPr>
      <w:r>
        <w:t>Order</w:t>
      </w:r>
    </w:p>
    <w:p w:rsidR="004C2EE3" w14:paraId="383A4B0A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2F5D9C85" w14:textId="2EDB25C3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5A4F5B">
        <w:rPr>
          <w:b/>
          <w:spacing w:val="-2"/>
        </w:rPr>
        <w:t>February 20, 2020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5A4F5B">
        <w:rPr>
          <w:b/>
          <w:spacing w:val="-2"/>
        </w:rPr>
        <w:t>February 20, 2020</w:t>
      </w:r>
    </w:p>
    <w:p w:rsidR="00822CE0" w14:paraId="354A64A5" w14:textId="77777777"/>
    <w:p w:rsidR="004C2EE3" w14:paraId="0203EEFA" w14:textId="0BBBFC29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2A4718">
        <w:rPr>
          <w:spacing w:val="-2"/>
        </w:rPr>
        <w:t>Chief, Wireline Competition Bureau</w:t>
      </w:r>
      <w:r>
        <w:rPr>
          <w:spacing w:val="-2"/>
        </w:rPr>
        <w:t>:</w:t>
      </w:r>
    </w:p>
    <w:p w:rsidR="00822CE0" w14:paraId="6BF3A8E9" w14:textId="77777777">
      <w:pPr>
        <w:rPr>
          <w:spacing w:val="-2"/>
        </w:rPr>
      </w:pPr>
    </w:p>
    <w:p w:rsidR="00412FC5" w:rsidP="00C36B4C" w14:paraId="7DA3E668" w14:textId="69309795">
      <w:pPr>
        <w:pStyle w:val="Heading1"/>
      </w:pPr>
      <w:r>
        <w:t>introduction</w:t>
      </w:r>
    </w:p>
    <w:p w:rsidR="002A4718" w:rsidP="002A4718" w14:paraId="08340FF1" w14:textId="53BE5E59">
      <w:pPr>
        <w:pStyle w:val="ParaNum"/>
      </w:pPr>
      <w:r>
        <w:t xml:space="preserve">In this Order, the Wireline Competition Bureau (Bureau) grants </w:t>
      </w:r>
      <w:r w:rsidR="001C74A9">
        <w:t xml:space="preserve">in part </w:t>
      </w:r>
      <w:r w:rsidR="00BB0609">
        <w:t xml:space="preserve">a </w:t>
      </w:r>
      <w:r>
        <w:t xml:space="preserve">request for an extension of time to file reply comments in </w:t>
      </w:r>
      <w:r w:rsidR="00B026C6">
        <w:t>the above-captioned proceeding.</w:t>
      </w:r>
      <w:r>
        <w:rPr>
          <w:rStyle w:val="FootnoteReference"/>
        </w:rPr>
        <w:footnoteReference w:id="3"/>
      </w:r>
      <w:r>
        <w:t xml:space="preserve">  Based on the record before us, we find that good cause exists to grant a 14-day extension of time for commenters to file reply comments in this proceeding.</w:t>
      </w:r>
    </w:p>
    <w:p w:rsidR="00D77B60" w:rsidP="00AA39F0" w14:paraId="29CEAFC0" w14:textId="790F7784">
      <w:pPr>
        <w:pStyle w:val="ParaNum"/>
        <w:widowControl/>
      </w:pPr>
      <w:r w:rsidRPr="00D77B60">
        <w:t xml:space="preserve">On January 6, 2020, the </w:t>
      </w:r>
      <w:r w:rsidRPr="00D77B60">
        <w:rPr>
          <w:i/>
          <w:iCs/>
        </w:rPr>
        <w:t>Notice</w:t>
      </w:r>
      <w:r w:rsidRPr="00D77B60">
        <w:t xml:space="preserve"> </w:t>
      </w:r>
      <w:r w:rsidRPr="005A4F5B" w:rsidR="00E83F2A">
        <w:rPr>
          <w:i/>
          <w:iCs/>
        </w:rPr>
        <w:t>of Proposed Rulemaking</w:t>
      </w:r>
      <w:r w:rsidR="00E83F2A">
        <w:t xml:space="preserve"> in this proceeding </w:t>
      </w:r>
      <w:r w:rsidRPr="00D77B60">
        <w:t>was published in the Federal Register announcing a February 5, 2020 deadline to file comments and a March 6, 2020 deadline to file reply comments.</w:t>
      </w:r>
      <w:r>
        <w:rPr>
          <w:rStyle w:val="FootnoteReference"/>
        </w:rPr>
        <w:footnoteReference w:id="4"/>
      </w:r>
      <w:r w:rsidRPr="00D77B60">
        <w:t xml:space="preserve">  </w:t>
      </w:r>
      <w:r w:rsidR="0076253A">
        <w:t>On February</w:t>
      </w:r>
      <w:r w:rsidRPr="0076253A" w:rsidR="0076253A">
        <w:t xml:space="preserve"> </w:t>
      </w:r>
      <w:r w:rsidR="00F63087">
        <w:t xml:space="preserve">18, 2020, </w:t>
      </w:r>
      <w:r w:rsidRPr="0076253A" w:rsidR="0076253A">
        <w:t xml:space="preserve">INCOMPAS </w:t>
      </w:r>
      <w:r w:rsidR="001C74A9">
        <w:t xml:space="preserve">filed a letter </w:t>
      </w:r>
      <w:r w:rsidR="00F63087">
        <w:t>request</w:t>
      </w:r>
      <w:r w:rsidR="001C74A9">
        <w:t xml:space="preserve">ing </w:t>
      </w:r>
      <w:r w:rsidRPr="0076253A" w:rsidR="0076253A">
        <w:t xml:space="preserve">that the Commission </w:t>
      </w:r>
      <w:r w:rsidRPr="001C74A9" w:rsidR="001C74A9">
        <w:t xml:space="preserve">issue a protective order </w:t>
      </w:r>
      <w:r w:rsidR="005E0715">
        <w:t xml:space="preserve">in the above-captioned proceeding </w:t>
      </w:r>
      <w:r w:rsidR="001C74A9">
        <w:t xml:space="preserve">and </w:t>
      </w:r>
      <w:r w:rsidRPr="0076253A" w:rsidR="0076253A">
        <w:t xml:space="preserve">extend the deadline for filing reply comments to </w:t>
      </w:r>
      <w:r w:rsidR="00910FC2">
        <w:t>“</w:t>
      </w:r>
      <w:r w:rsidRPr="0076253A" w:rsidR="0076253A">
        <w:t>30 days</w:t>
      </w:r>
      <w:r w:rsidRPr="00AA39F0" w:rsidR="00AA39F0">
        <w:t xml:space="preserve"> after the earliest date that a party could receive access to the nonredacted record under the protective order’s terms</w:t>
      </w:r>
      <w:r w:rsidRPr="0076253A" w:rsidR="0076253A">
        <w:t>.</w:t>
      </w:r>
      <w:r w:rsidR="00910FC2">
        <w:t>”</w:t>
      </w:r>
      <w:r>
        <w:rPr>
          <w:rStyle w:val="FootnoteReference"/>
        </w:rPr>
        <w:footnoteReference w:id="5"/>
      </w:r>
    </w:p>
    <w:p w:rsidR="00D77B60" w:rsidP="002A4718" w14:paraId="62DAAEDC" w14:textId="65B66A90">
      <w:pPr>
        <w:pStyle w:val="ParaNum"/>
        <w:widowControl/>
      </w:pPr>
      <w:r w:rsidRPr="007C06B5">
        <w:t xml:space="preserve">Section 1.46 of the Commission’s rules provides </w:t>
      </w:r>
      <w:r>
        <w:t xml:space="preserve">that “[i]t is the policy of the </w:t>
      </w:r>
      <w:r w:rsidRPr="007C06B5">
        <w:t>Commission that extensions of time are not</w:t>
      </w:r>
      <w:r>
        <w:t xml:space="preserve"> routinely granted.”</w:t>
      </w:r>
      <w:r>
        <w:rPr>
          <w:rStyle w:val="FootnoteReference"/>
        </w:rPr>
        <w:footnoteReference w:id="6"/>
      </w:r>
      <w:r w:rsidRPr="007C06B5">
        <w:t xml:space="preserve">  </w:t>
      </w:r>
      <w:r w:rsidRPr="00AA39F0" w:rsidR="00AA39F0">
        <w:t>We find, however, that there is good cause to extend the due date for filing reply comments in response to</w:t>
      </w:r>
      <w:r w:rsidR="00AA39F0">
        <w:t xml:space="preserve"> the </w:t>
      </w:r>
      <w:r w:rsidR="00AA39F0">
        <w:rPr>
          <w:i/>
          <w:iCs/>
        </w:rPr>
        <w:t>Notice</w:t>
      </w:r>
      <w:r w:rsidRPr="00AA39F0" w:rsidR="00AA39F0">
        <w:t>.  Extending the reply comment deadline by 1</w:t>
      </w:r>
      <w:r w:rsidR="00AA39F0">
        <w:t>4</w:t>
      </w:r>
      <w:r w:rsidRPr="00AA39F0" w:rsidR="00AA39F0">
        <w:t xml:space="preserve"> days will provide interested parties additional time to </w:t>
      </w:r>
      <w:r w:rsidR="00D027B3">
        <w:t xml:space="preserve">access, </w:t>
      </w:r>
      <w:r w:rsidRPr="00AA39F0" w:rsidR="00AA39F0">
        <w:t xml:space="preserve">review and respond to the </w:t>
      </w:r>
      <w:r w:rsidR="00FB080E">
        <w:t xml:space="preserve">confidential and highly confidential material contained in the initial comments filed in response to </w:t>
      </w:r>
      <w:r w:rsidRPr="00AA39F0" w:rsidR="00AA39F0">
        <w:t>the</w:t>
      </w:r>
      <w:r w:rsidR="00AA39F0">
        <w:t xml:space="preserve"> </w:t>
      </w:r>
      <w:r w:rsidRPr="00910FC2" w:rsidR="00AA39F0">
        <w:rPr>
          <w:i/>
          <w:iCs/>
        </w:rPr>
        <w:t>Notice</w:t>
      </w:r>
      <w:r w:rsidRPr="00AA39F0" w:rsidR="00AA39F0">
        <w:t>.</w:t>
      </w:r>
      <w:r w:rsidRPr="00FB080E" w:rsidR="00FB080E">
        <w:rPr>
          <w:rStyle w:val="FootnoteReference"/>
        </w:rPr>
        <w:t xml:space="preserve"> </w:t>
      </w:r>
      <w:r>
        <w:rPr>
          <w:rStyle w:val="FootnoteReference"/>
        </w:rPr>
        <w:footnoteReference w:id="7"/>
      </w:r>
      <w:r w:rsidR="00FB080E">
        <w:t xml:space="preserve"> </w:t>
      </w:r>
      <w:r w:rsidRPr="00AA39F0" w:rsidR="00AA39F0">
        <w:t xml:space="preserve"> </w:t>
      </w:r>
      <w:r w:rsidR="00FB080E">
        <w:t>We therefore grant  INCOMPAS’s request in part and establish a new reply comment deadline of March 20, 20</w:t>
      </w:r>
      <w:r w:rsidR="00A546C8">
        <w:t>20</w:t>
      </w:r>
      <w:r w:rsidR="00FB080E">
        <w:t>.</w:t>
      </w:r>
      <w:r w:rsidRPr="00AA39F0" w:rsidR="00FB080E">
        <w:t xml:space="preserve"> </w:t>
      </w:r>
      <w:r w:rsidR="00FB080E">
        <w:t xml:space="preserve"> </w:t>
      </w:r>
      <w:r w:rsidRPr="00AA39F0" w:rsidR="00AA39F0">
        <w:t xml:space="preserve">We expect that this extension will:  (1) allow commenters sufficient time to prepare reply comments; </w:t>
      </w:r>
      <w:r w:rsidR="00AA39F0">
        <w:t xml:space="preserve">and </w:t>
      </w:r>
      <w:r w:rsidRPr="00AA39F0" w:rsidR="00AA39F0">
        <w:t>(2) result in a more robust record to inform the Commission’s decision-making in this proceeding</w:t>
      </w:r>
      <w:r w:rsidR="00AA39F0">
        <w:t>.</w:t>
      </w:r>
      <w:r>
        <w:rPr>
          <w:rStyle w:val="FootnoteReference"/>
        </w:rPr>
        <w:footnoteReference w:id="8"/>
      </w:r>
    </w:p>
    <w:p w:rsidR="002A4718" w:rsidP="002A4718" w14:paraId="565F9FC7" w14:textId="0BFDFC8F">
      <w:pPr>
        <w:pStyle w:val="ParaNum"/>
        <w:widowControl/>
      </w:pPr>
      <w:r>
        <w:t xml:space="preserve">ACCORDINGLY, IT IS ORDERED, </w:t>
      </w:r>
      <w:r w:rsidRPr="009A5859">
        <w:t xml:space="preserve">pursuant to sections 4(i), 4(j), and 5(c) of the Communications Act, as amended, 47 U.S.C. §§ 154(i), 154(j), and 155(c), and sections 0.91, 0.291, </w:t>
      </w:r>
      <w:r>
        <w:t xml:space="preserve">and </w:t>
      </w:r>
      <w:r w:rsidRPr="009A5859">
        <w:t xml:space="preserve">1.46 of the Commission’s rules, 47 CFR §§ 0.91, 0.291, </w:t>
      </w:r>
      <w:r>
        <w:t xml:space="preserve">and </w:t>
      </w:r>
      <w:r w:rsidRPr="009A5859">
        <w:t xml:space="preserve">1.46 that the </w:t>
      </w:r>
      <w:r>
        <w:t>Request for Extension of Time IS GRANTED, and the deadline for filing reply comments in WC Docket No. 19-308 is extended until March 20, 2020.</w:t>
      </w:r>
    </w:p>
    <w:p w:rsidR="002A4718" w:rsidP="002A4718" w14:paraId="2D816BD6" w14:textId="77777777">
      <w:pPr>
        <w:pStyle w:val="ParaNum"/>
        <w:numPr>
          <w:ilvl w:val="0"/>
          <w:numId w:val="0"/>
        </w:numPr>
        <w:ind w:left="720"/>
      </w:pPr>
    </w:p>
    <w:p w:rsidR="002A4718" w:rsidP="002A4718" w14:paraId="5912C2B6" w14:textId="77777777">
      <w:pPr>
        <w:pStyle w:val="ParaNum"/>
        <w:numPr>
          <w:ilvl w:val="0"/>
          <w:numId w:val="0"/>
        </w:numPr>
        <w:spacing w:after="0"/>
        <w:ind w:left="3600" w:firstLine="720"/>
      </w:pPr>
      <w:r>
        <w:t>FEDERAL COMMUNICATIONS COMMISSION</w:t>
      </w:r>
    </w:p>
    <w:p w:rsidR="002A4718" w:rsidP="002A4718" w14:paraId="3FC4B561" w14:textId="77777777">
      <w:pPr>
        <w:pStyle w:val="ParaNum"/>
        <w:numPr>
          <w:ilvl w:val="0"/>
          <w:numId w:val="0"/>
        </w:numPr>
        <w:spacing w:after="0"/>
        <w:ind w:left="3600"/>
      </w:pPr>
    </w:p>
    <w:p w:rsidR="002A4718" w:rsidP="002A4718" w14:paraId="786F2E57" w14:textId="77777777">
      <w:pPr>
        <w:pStyle w:val="ParaNum"/>
        <w:numPr>
          <w:ilvl w:val="0"/>
          <w:numId w:val="0"/>
        </w:numPr>
        <w:spacing w:after="0"/>
        <w:ind w:left="3600"/>
      </w:pPr>
    </w:p>
    <w:p w:rsidR="002A4718" w:rsidP="002A4718" w14:paraId="5C51B338" w14:textId="77777777">
      <w:pPr>
        <w:pStyle w:val="ParaNum"/>
        <w:numPr>
          <w:ilvl w:val="0"/>
          <w:numId w:val="0"/>
        </w:numPr>
        <w:spacing w:after="0"/>
        <w:ind w:left="3600" w:firstLine="720"/>
      </w:pPr>
      <w:r>
        <w:t>Kris Anne Monteith</w:t>
      </w:r>
    </w:p>
    <w:p w:rsidR="002A4718" w:rsidP="002A4718" w14:paraId="45554FAC" w14:textId="77777777">
      <w:pPr>
        <w:pStyle w:val="ParaNum"/>
        <w:numPr>
          <w:ilvl w:val="0"/>
          <w:numId w:val="0"/>
        </w:numPr>
        <w:spacing w:after="0"/>
        <w:ind w:left="3600" w:firstLine="720"/>
      </w:pPr>
      <w:r>
        <w:t>Chief</w:t>
      </w:r>
    </w:p>
    <w:p w:rsidR="002A4718" w:rsidRPr="002A4718" w:rsidP="002A4718" w14:paraId="6CFBFE81" w14:textId="74DE5BA3">
      <w:pPr>
        <w:pStyle w:val="ParaNum"/>
        <w:numPr>
          <w:ilvl w:val="0"/>
          <w:numId w:val="0"/>
        </w:numPr>
        <w:ind w:left="3600" w:firstLine="720"/>
      </w:pPr>
      <w:r>
        <w:t>Wireline</w:t>
      </w:r>
      <w:bookmarkStart w:id="0" w:name="_GoBack"/>
      <w:bookmarkEnd w:id="0"/>
      <w:r>
        <w:t xml:space="preserve"> Competition Bureau</w:t>
      </w: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A4FCDC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52971A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A4F5B" w14:paraId="695E7590" w14:textId="68763E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0F0A8F33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F6D8A" w14:paraId="122EAD7B" w14:textId="77777777">
      <w:r>
        <w:separator/>
      </w:r>
    </w:p>
  </w:footnote>
  <w:footnote w:type="continuationSeparator" w:id="1">
    <w:p w:rsidR="001F6D8A" w:rsidP="00C721AC" w14:paraId="650F1714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1F6D8A" w:rsidP="00C721AC" w14:paraId="755D421C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2A4718" w:rsidRPr="002A4718" w14:paraId="4CD788E1" w14:textId="61690E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 Modernizing Unbundling Resale Requirements in an Era of Next-Generation Networks and Services</w:t>
      </w:r>
      <w:r>
        <w:t>, WC Docket No. 19-308, Notice of Proposed Rulemaking, 34 FCC Rcd 11290 (2019) (</w:t>
      </w:r>
      <w:r>
        <w:rPr>
          <w:i/>
          <w:iCs/>
        </w:rPr>
        <w:t>Notice</w:t>
      </w:r>
      <w:r w:rsidR="00E83F2A">
        <w:rPr>
          <w:i/>
          <w:iCs/>
        </w:rPr>
        <w:t xml:space="preserve"> of Proposed Rulemaking or Notice</w:t>
      </w:r>
      <w:r>
        <w:t>)</w:t>
      </w:r>
      <w:r w:rsidR="00B026C6">
        <w:t xml:space="preserve"> (</w:t>
      </w:r>
      <w:r w:rsidRPr="002A4718" w:rsidR="00B026C6">
        <w:t xml:space="preserve">seeking comment on proposals to modernize unbundling and resale obligations applicable to incumbent local exchange carriers </w:t>
      </w:r>
      <w:r w:rsidR="00E83F2A">
        <w:t>in light of</w:t>
      </w:r>
      <w:r w:rsidRPr="002A4718" w:rsidR="00B026C6">
        <w:t xml:space="preserve"> changes in the communications landscape</w:t>
      </w:r>
      <w:r w:rsidR="00B026C6">
        <w:t>).</w:t>
      </w:r>
    </w:p>
  </w:footnote>
  <w:footnote w:id="4">
    <w:p w:rsidR="00D77B60" w14:paraId="2EC8C28D" w14:textId="6ADEA0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Notice</w:t>
      </w:r>
      <w:r>
        <w:t xml:space="preserve">, Proposed Rules, 85 Fed. Reg. 472 (Jan. 6, 2020), </w:t>
      </w:r>
      <w:hyperlink r:id="rId1" w:history="1">
        <w:r>
          <w:rPr>
            <w:rStyle w:val="Hyperlink"/>
          </w:rPr>
          <w:t>https://www.federalregister.gov/documents/2020/01/06/2019-27607/modernizing-unbundling-and-resale-requirements-in-an-era-of-next-generation-networks-and-services</w:t>
        </w:r>
      </w:hyperlink>
      <w:r>
        <w:t xml:space="preserve"> (Federal Register Notice).</w:t>
      </w:r>
    </w:p>
  </w:footnote>
  <w:footnote w:id="5">
    <w:p w:rsidR="00F63087" w14:paraId="43911086" w14:textId="165733F0">
      <w:pPr>
        <w:pStyle w:val="FootnoteText"/>
      </w:pPr>
      <w:r>
        <w:rPr>
          <w:rStyle w:val="FootnoteReference"/>
        </w:rPr>
        <w:footnoteRef/>
      </w:r>
      <w:r>
        <w:t xml:space="preserve"> L</w:t>
      </w:r>
      <w:r w:rsidRPr="00F63087">
        <w:t xml:space="preserve">etter from </w:t>
      </w:r>
      <w:r>
        <w:t>John Nakahata and Mengy</w:t>
      </w:r>
      <w:r w:rsidR="00AA39F0">
        <w:t>u</w:t>
      </w:r>
      <w:r>
        <w:t xml:space="preserve"> Hua</w:t>
      </w:r>
      <w:r w:rsidR="00AA39F0">
        <w:t>ng</w:t>
      </w:r>
      <w:r w:rsidRPr="00F63087">
        <w:t xml:space="preserve">, </w:t>
      </w:r>
      <w:r w:rsidR="00AA39F0">
        <w:t>Counsel to INCOMPAS</w:t>
      </w:r>
      <w:r w:rsidRPr="00F63087">
        <w:t>, to Marlene H. Dortch, Secretary, FCC, WC Docket No. 1</w:t>
      </w:r>
      <w:r>
        <w:t>9</w:t>
      </w:r>
      <w:r w:rsidRPr="00F63087">
        <w:t>-</w:t>
      </w:r>
      <w:r>
        <w:t>308</w:t>
      </w:r>
      <w:r w:rsidR="00910FC2">
        <w:t>, at 1</w:t>
      </w:r>
      <w:r w:rsidRPr="00F63087">
        <w:t xml:space="preserve"> (filed </w:t>
      </w:r>
      <w:r>
        <w:t>Feb. 18</w:t>
      </w:r>
      <w:r w:rsidRPr="00F63087">
        <w:t>, 20</w:t>
      </w:r>
      <w:r>
        <w:t>20</w:t>
      </w:r>
      <w:r w:rsidRPr="00F63087">
        <w:t>)</w:t>
      </w:r>
      <w:r w:rsidR="00910FC2">
        <w:t xml:space="preserve"> (INCOMPAS Extension Request)</w:t>
      </w:r>
      <w:r>
        <w:t>.</w:t>
      </w:r>
      <w:r w:rsidRPr="005E0715" w:rsidR="005E0715">
        <w:t xml:space="preserve"> </w:t>
      </w:r>
      <w:r w:rsidR="005E0715">
        <w:t xml:space="preserve"> INCOMPAS </w:t>
      </w:r>
      <w:r w:rsidR="00C73003">
        <w:t xml:space="preserve">asserts </w:t>
      </w:r>
      <w:r w:rsidR="005E0715">
        <w:t xml:space="preserve">that the requested 30-day extension is necessary to give interested parties </w:t>
      </w:r>
      <w:r w:rsidR="00D027B3">
        <w:t xml:space="preserve">sufficient time to access and </w:t>
      </w:r>
      <w:r w:rsidRPr="005E0715" w:rsidR="005E0715">
        <w:t xml:space="preserve">analyze </w:t>
      </w:r>
      <w:r w:rsidR="00D027B3">
        <w:t xml:space="preserve">redacted </w:t>
      </w:r>
      <w:r w:rsidRPr="005E0715" w:rsidR="005E0715">
        <w:t xml:space="preserve">data </w:t>
      </w:r>
      <w:r w:rsidR="00D027B3">
        <w:t xml:space="preserve">filed on February 5, 2020, once the protective order is released.  </w:t>
      </w:r>
      <w:r w:rsidRPr="00474CAC" w:rsidR="00D027B3">
        <w:rPr>
          <w:i/>
          <w:iCs/>
        </w:rPr>
        <w:t>Id</w:t>
      </w:r>
      <w:r w:rsidR="00D027B3">
        <w:t xml:space="preserve"> at 2</w:t>
      </w:r>
      <w:r w:rsidRPr="005E0715" w:rsidR="005E0715">
        <w:t>.</w:t>
      </w:r>
    </w:p>
  </w:footnote>
  <w:footnote w:id="6">
    <w:p w:rsidR="00D77B60" w:rsidP="00D77B60" w14:paraId="69E8CCCA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 1.46.</w:t>
      </w:r>
    </w:p>
  </w:footnote>
  <w:footnote w:id="7">
    <w:p w:rsidR="00FB080E" w:rsidRPr="00683278" w:rsidP="00683278" w14:paraId="28F50FD1" w14:textId="5E925A9C">
      <w:pPr>
        <w:pStyle w:val="Default"/>
        <w:spacing w:after="12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75521" w:rsidR="00F9100F">
        <w:rPr>
          <w:sz w:val="20"/>
          <w:szCs w:val="20"/>
        </w:rPr>
        <w:t xml:space="preserve">Two </w:t>
      </w:r>
      <w:r w:rsidR="00700799">
        <w:rPr>
          <w:sz w:val="20"/>
          <w:szCs w:val="20"/>
        </w:rPr>
        <w:t xml:space="preserve">parties </w:t>
      </w:r>
      <w:r w:rsidRPr="00975521" w:rsidR="00F9100F">
        <w:rPr>
          <w:sz w:val="20"/>
          <w:szCs w:val="20"/>
        </w:rPr>
        <w:t>submitted redacted</w:t>
      </w:r>
      <w:r w:rsidR="00700799">
        <w:rPr>
          <w:sz w:val="20"/>
          <w:szCs w:val="20"/>
        </w:rPr>
        <w:t>,</w:t>
      </w:r>
      <w:r w:rsidRPr="00975521" w:rsidR="00F9100F">
        <w:rPr>
          <w:sz w:val="20"/>
          <w:szCs w:val="20"/>
        </w:rPr>
        <w:t xml:space="preserve"> </w:t>
      </w:r>
      <w:r w:rsidR="00700799">
        <w:rPr>
          <w:sz w:val="20"/>
          <w:szCs w:val="20"/>
        </w:rPr>
        <w:t>but limited</w:t>
      </w:r>
      <w:r w:rsidR="007923C0">
        <w:rPr>
          <w:sz w:val="20"/>
          <w:szCs w:val="20"/>
        </w:rPr>
        <w:t>,</w:t>
      </w:r>
      <w:r w:rsidR="00700799">
        <w:rPr>
          <w:sz w:val="20"/>
          <w:szCs w:val="20"/>
        </w:rPr>
        <w:t xml:space="preserve"> </w:t>
      </w:r>
      <w:r w:rsidRPr="00975521" w:rsidR="00F9100F">
        <w:rPr>
          <w:sz w:val="20"/>
          <w:szCs w:val="20"/>
        </w:rPr>
        <w:t>material</w:t>
      </w:r>
      <w:r w:rsidR="007923C0">
        <w:rPr>
          <w:sz w:val="20"/>
          <w:szCs w:val="20"/>
        </w:rPr>
        <w:t xml:space="preserve"> </w:t>
      </w:r>
      <w:r w:rsidRPr="00975521" w:rsidR="00F9100F">
        <w:rPr>
          <w:sz w:val="20"/>
          <w:szCs w:val="20"/>
        </w:rPr>
        <w:t>in their initial comments.</w:t>
      </w:r>
      <w:r w:rsidR="00F9100F">
        <w:t xml:space="preserve">  </w:t>
      </w:r>
      <w:r w:rsidRPr="00683278" w:rsidR="00683278">
        <w:rPr>
          <w:i/>
          <w:iCs/>
          <w:sz w:val="20"/>
          <w:szCs w:val="20"/>
        </w:rPr>
        <w:t xml:space="preserve">See </w:t>
      </w:r>
      <w:r w:rsidR="00C1755F">
        <w:rPr>
          <w:i/>
          <w:iCs/>
          <w:sz w:val="20"/>
          <w:szCs w:val="20"/>
        </w:rPr>
        <w:t xml:space="preserve">generally </w:t>
      </w:r>
      <w:r w:rsidR="005035BB">
        <w:rPr>
          <w:sz w:val="20"/>
          <w:szCs w:val="20"/>
        </w:rPr>
        <w:t xml:space="preserve">Verizon </w:t>
      </w:r>
      <w:r w:rsidR="00683278">
        <w:rPr>
          <w:sz w:val="20"/>
          <w:szCs w:val="20"/>
        </w:rPr>
        <w:t>Comments</w:t>
      </w:r>
      <w:r w:rsidR="00C1755F">
        <w:rPr>
          <w:sz w:val="20"/>
          <w:szCs w:val="20"/>
        </w:rPr>
        <w:t xml:space="preserve">; </w:t>
      </w:r>
      <w:r w:rsidR="00C1755F">
        <w:rPr>
          <w:sz w:val="20"/>
          <w:szCs w:val="20"/>
        </w:rPr>
        <w:t>TeleGuam</w:t>
      </w:r>
      <w:r w:rsidR="00C1755F">
        <w:rPr>
          <w:sz w:val="20"/>
          <w:szCs w:val="20"/>
        </w:rPr>
        <w:t xml:space="preserve"> Holdings, LLC (GTA) Comments</w:t>
      </w:r>
      <w:r w:rsidR="00F9100F">
        <w:rPr>
          <w:sz w:val="20"/>
          <w:szCs w:val="20"/>
        </w:rPr>
        <w:t>.</w:t>
      </w:r>
    </w:p>
  </w:footnote>
  <w:footnote w:id="8">
    <w:p w:rsidR="00910FC2" w:rsidRPr="00910FC2" w:rsidP="00683278" w14:paraId="4A5E728E" w14:textId="316BB69C">
      <w:pPr>
        <w:pStyle w:val="FootnoteText"/>
      </w:pPr>
      <w:r w:rsidRPr="00683278">
        <w:rPr>
          <w:rStyle w:val="FootnoteReference"/>
        </w:rPr>
        <w:footnoteRef/>
      </w:r>
      <w:r w:rsidRPr="00683278">
        <w:t xml:space="preserve"> </w:t>
      </w:r>
      <w:r w:rsidRPr="00683278" w:rsidR="00FB080E">
        <w:t xml:space="preserve">INCOMPAS Extension Request </w:t>
      </w:r>
      <w:r w:rsidRPr="00683278">
        <w:t>at 2-3.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6F62477" w14:textId="2410309C">
    <w:pPr>
      <w:pStyle w:val="Header"/>
      <w:rPr>
        <w:b w:val="0"/>
      </w:rPr>
    </w:pPr>
    <w:r>
      <w:tab/>
      <w:t>Federal Communications Commission</w:t>
    </w:r>
    <w:r>
      <w:tab/>
    </w:r>
    <w:r w:rsidR="005A4F5B">
      <w:t>DA 20-181</w:t>
    </w:r>
  </w:p>
  <w:p w:rsidR="00D25FB5" w:rsidRPr="005A4F5B" w:rsidP="005A4F5B" w14:paraId="014A012B" w14:textId="1C25929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5736C889" w14:textId="4E9474CD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5A4F5B">
      <w:rPr>
        <w:spacing w:val="-2"/>
      </w:rPr>
      <w:t>DA 20-181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18"/>
    <w:rsid w:val="000357C7"/>
    <w:rsid w:val="00036039"/>
    <w:rsid w:val="00037F90"/>
    <w:rsid w:val="000875BF"/>
    <w:rsid w:val="00096D8C"/>
    <w:rsid w:val="000B68C1"/>
    <w:rsid w:val="000C0B65"/>
    <w:rsid w:val="000D3C56"/>
    <w:rsid w:val="000E05FE"/>
    <w:rsid w:val="000E3D42"/>
    <w:rsid w:val="00122BD5"/>
    <w:rsid w:val="00133F79"/>
    <w:rsid w:val="00194A66"/>
    <w:rsid w:val="001C74A9"/>
    <w:rsid w:val="001D6BCF"/>
    <w:rsid w:val="001E01CA"/>
    <w:rsid w:val="001F6D8A"/>
    <w:rsid w:val="00275CF5"/>
    <w:rsid w:val="0028301F"/>
    <w:rsid w:val="002839AD"/>
    <w:rsid w:val="00285017"/>
    <w:rsid w:val="002A2D2E"/>
    <w:rsid w:val="002A4718"/>
    <w:rsid w:val="002C00E8"/>
    <w:rsid w:val="00343749"/>
    <w:rsid w:val="003660ED"/>
    <w:rsid w:val="003B0550"/>
    <w:rsid w:val="003B694F"/>
    <w:rsid w:val="003E0A56"/>
    <w:rsid w:val="003E1656"/>
    <w:rsid w:val="003F171C"/>
    <w:rsid w:val="00412FC5"/>
    <w:rsid w:val="00422276"/>
    <w:rsid w:val="004242F1"/>
    <w:rsid w:val="004420DD"/>
    <w:rsid w:val="00445A00"/>
    <w:rsid w:val="00451B0F"/>
    <w:rsid w:val="00474CAC"/>
    <w:rsid w:val="004C2EE3"/>
    <w:rsid w:val="004E4A22"/>
    <w:rsid w:val="005035BB"/>
    <w:rsid w:val="00511968"/>
    <w:rsid w:val="0055614C"/>
    <w:rsid w:val="00566D06"/>
    <w:rsid w:val="005A4F5B"/>
    <w:rsid w:val="005B5F24"/>
    <w:rsid w:val="005D2EB0"/>
    <w:rsid w:val="005E0715"/>
    <w:rsid w:val="005E14C2"/>
    <w:rsid w:val="00607BA5"/>
    <w:rsid w:val="0061180A"/>
    <w:rsid w:val="00626EB6"/>
    <w:rsid w:val="00655D03"/>
    <w:rsid w:val="00683278"/>
    <w:rsid w:val="00683388"/>
    <w:rsid w:val="00683F84"/>
    <w:rsid w:val="006A6A81"/>
    <w:rsid w:val="006F7393"/>
    <w:rsid w:val="00700799"/>
    <w:rsid w:val="0070224F"/>
    <w:rsid w:val="007115F7"/>
    <w:rsid w:val="0076253A"/>
    <w:rsid w:val="00785689"/>
    <w:rsid w:val="007923C0"/>
    <w:rsid w:val="0079754B"/>
    <w:rsid w:val="007A1E6D"/>
    <w:rsid w:val="007B0EB2"/>
    <w:rsid w:val="007C06B5"/>
    <w:rsid w:val="007C5FE3"/>
    <w:rsid w:val="00810B6F"/>
    <w:rsid w:val="00822CE0"/>
    <w:rsid w:val="0084184E"/>
    <w:rsid w:val="00841AB1"/>
    <w:rsid w:val="008C68F1"/>
    <w:rsid w:val="00910FC2"/>
    <w:rsid w:val="00921803"/>
    <w:rsid w:val="00926503"/>
    <w:rsid w:val="009726D8"/>
    <w:rsid w:val="00975521"/>
    <w:rsid w:val="009A5859"/>
    <w:rsid w:val="009D7308"/>
    <w:rsid w:val="009F76DB"/>
    <w:rsid w:val="00A32C3B"/>
    <w:rsid w:val="00A45F4F"/>
    <w:rsid w:val="00A546C8"/>
    <w:rsid w:val="00A600A9"/>
    <w:rsid w:val="00AA39F0"/>
    <w:rsid w:val="00AA55B7"/>
    <w:rsid w:val="00AA5B9E"/>
    <w:rsid w:val="00AB2407"/>
    <w:rsid w:val="00AB53DF"/>
    <w:rsid w:val="00B026C6"/>
    <w:rsid w:val="00B07E5C"/>
    <w:rsid w:val="00B20899"/>
    <w:rsid w:val="00B811F7"/>
    <w:rsid w:val="00BA5DC6"/>
    <w:rsid w:val="00BA6196"/>
    <w:rsid w:val="00BB0609"/>
    <w:rsid w:val="00BC6D8C"/>
    <w:rsid w:val="00C1755F"/>
    <w:rsid w:val="00C34006"/>
    <w:rsid w:val="00C36B4C"/>
    <w:rsid w:val="00C426B1"/>
    <w:rsid w:val="00C66160"/>
    <w:rsid w:val="00C721AC"/>
    <w:rsid w:val="00C72FF9"/>
    <w:rsid w:val="00C73003"/>
    <w:rsid w:val="00C90D6A"/>
    <w:rsid w:val="00CA247E"/>
    <w:rsid w:val="00CA6D21"/>
    <w:rsid w:val="00CC72B6"/>
    <w:rsid w:val="00D0218D"/>
    <w:rsid w:val="00D027B3"/>
    <w:rsid w:val="00D25FB5"/>
    <w:rsid w:val="00D44223"/>
    <w:rsid w:val="00D77B60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56D88"/>
    <w:rsid w:val="00E83F2A"/>
    <w:rsid w:val="00E85A83"/>
    <w:rsid w:val="00EE6488"/>
    <w:rsid w:val="00EF5827"/>
    <w:rsid w:val="00F021FA"/>
    <w:rsid w:val="00F62E97"/>
    <w:rsid w:val="00F63087"/>
    <w:rsid w:val="00F64209"/>
    <w:rsid w:val="00F9100F"/>
    <w:rsid w:val="00F93BF5"/>
    <w:rsid w:val="00FB080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A9A2756-52E9-4992-96E9-C50AC8D1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ALTS FOOTNOTE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customStyle="1" w:styleId="FootnoteTextChar">
    <w:name w:val="Footnote Text Char"/>
    <w:aliases w:val="ALTS FOOTNOTE Char"/>
    <w:link w:val="FootnoteText"/>
    <w:rsid w:val="00D77B60"/>
  </w:style>
  <w:style w:type="character" w:styleId="CommentReference">
    <w:name w:val="annotation reference"/>
    <w:rsid w:val="00F63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087"/>
    <w:rPr>
      <w:sz w:val="20"/>
    </w:rPr>
  </w:style>
  <w:style w:type="character" w:customStyle="1" w:styleId="CommentTextChar">
    <w:name w:val="Comment Text Char"/>
    <w:link w:val="CommentText"/>
    <w:rsid w:val="00F63087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63087"/>
    <w:rPr>
      <w:b/>
      <w:bCs/>
    </w:rPr>
  </w:style>
  <w:style w:type="character" w:customStyle="1" w:styleId="CommentSubjectChar">
    <w:name w:val="Comment Subject Char"/>
    <w:link w:val="CommentSubject"/>
    <w:rsid w:val="00F63087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F63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3087"/>
    <w:rPr>
      <w:rFonts w:ascii="Segoe UI" w:hAnsi="Segoe UI" w:cs="Segoe UI"/>
      <w:snapToGrid w:val="0"/>
      <w:kern w:val="28"/>
      <w:sz w:val="18"/>
      <w:szCs w:val="18"/>
    </w:rPr>
  </w:style>
  <w:style w:type="paragraph" w:customStyle="1" w:styleId="Default">
    <w:name w:val="Default"/>
    <w:rsid w:val="006832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federalregister.gov/documents/2020/01/06/2019-27607/modernizing-unbundling-and-resale-requirements-in-an-era-of-next-generation-networks-and-services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