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F45B1" w:rsidRPr="00B20363" w:rsidP="000F45B1" w14:paraId="0979E0B2" w14:textId="0069DCC4">
      <w:pPr>
        <w:jc w:val="right"/>
        <w:rPr>
          <w:b/>
          <w:sz w:val="24"/>
        </w:rPr>
      </w:pPr>
      <w:bookmarkStart w:id="0" w:name="_Hlk30515138"/>
      <w:r>
        <w:rPr>
          <w:b/>
          <w:sz w:val="24"/>
        </w:rPr>
        <w:t>DA No. 20-</w:t>
      </w:r>
      <w:r w:rsidR="00B14211">
        <w:rPr>
          <w:b/>
          <w:sz w:val="24"/>
        </w:rPr>
        <w:t>187</w:t>
      </w:r>
    </w:p>
    <w:p w:rsidR="000F45B1" w:rsidRPr="00B20363" w:rsidP="000F45B1" w14:paraId="23ADBDE5" w14:textId="631B12C2">
      <w:pPr>
        <w:spacing w:before="60"/>
        <w:jc w:val="right"/>
        <w:rPr>
          <w:b/>
          <w:sz w:val="24"/>
        </w:rPr>
      </w:pPr>
      <w:r>
        <w:rPr>
          <w:b/>
          <w:sz w:val="24"/>
        </w:rPr>
        <w:t xml:space="preserve">Released:  </w:t>
      </w:r>
      <w:r w:rsidR="00865786">
        <w:rPr>
          <w:b/>
          <w:sz w:val="24"/>
        </w:rPr>
        <w:t>February</w:t>
      </w:r>
      <w:r>
        <w:rPr>
          <w:b/>
          <w:sz w:val="24"/>
        </w:rPr>
        <w:t xml:space="preserve"> </w:t>
      </w:r>
      <w:r w:rsidR="00D74240">
        <w:rPr>
          <w:b/>
          <w:sz w:val="24"/>
        </w:rPr>
        <w:t>25</w:t>
      </w:r>
      <w:r>
        <w:rPr>
          <w:b/>
          <w:sz w:val="24"/>
        </w:rPr>
        <w:t>, 2020</w:t>
      </w:r>
    </w:p>
    <w:p w:rsidR="000F45B1" w:rsidP="000F45B1" w14:paraId="5B5ABAA1" w14:textId="77777777">
      <w:pPr>
        <w:jc w:val="right"/>
        <w:rPr>
          <w:sz w:val="24"/>
        </w:rPr>
      </w:pPr>
    </w:p>
    <w:p w:rsidR="000F45B1" w:rsidP="000F45B1" w14:paraId="42B6946B" w14:textId="2175FE38">
      <w:pPr>
        <w:spacing w:after="240"/>
        <w:jc w:val="center"/>
        <w:rPr>
          <w:b/>
          <w:szCs w:val="18"/>
        </w:rPr>
      </w:pPr>
      <w:r>
        <w:rPr>
          <w:b/>
          <w:szCs w:val="18"/>
        </w:rPr>
        <w:t>IHEARTMEDIA, INC. SEEKS FOREIGN OWNERSHIP RULING PURSUANT TO SECTION 310(b)(4) OF THE COMMUNICATIONS ACT OF 1934, AS AMENDED</w:t>
      </w:r>
    </w:p>
    <w:p w:rsidR="000F45B1" w:rsidRPr="00B20363" w:rsidP="000F45B1" w14:paraId="7168B638" w14:textId="77777777">
      <w:pPr>
        <w:spacing w:after="240"/>
        <w:jc w:val="center"/>
        <w:rPr>
          <w:rFonts w:ascii="Times New Roman Bold" w:hAnsi="Times New Roman Bold"/>
          <w:b/>
          <w:caps/>
          <w:sz w:val="24"/>
        </w:rPr>
      </w:pPr>
      <w:r>
        <w:rPr>
          <w:b/>
          <w:szCs w:val="18"/>
        </w:rPr>
        <w:t>PLEADING CYCLE ESTABLISHED</w:t>
      </w:r>
    </w:p>
    <w:p w:rsidR="000F45B1" w:rsidP="000F45B1" w14:paraId="59236B04" w14:textId="478F0185">
      <w:pPr>
        <w:jc w:val="center"/>
        <w:rPr>
          <w:b/>
          <w:sz w:val="24"/>
        </w:rPr>
      </w:pPr>
      <w:r>
        <w:rPr>
          <w:b/>
          <w:sz w:val="24"/>
        </w:rPr>
        <w:t>MB Docket No. 20-</w:t>
      </w:r>
      <w:r w:rsidR="00B14211">
        <w:rPr>
          <w:b/>
          <w:sz w:val="24"/>
        </w:rPr>
        <w:t>51</w:t>
      </w:r>
    </w:p>
    <w:p w:rsidR="000F45B1" w:rsidP="000F45B1" w14:paraId="3ECD6F37" w14:textId="77777777">
      <w:pPr>
        <w:rPr>
          <w:sz w:val="24"/>
        </w:rPr>
      </w:pPr>
    </w:p>
    <w:p w:rsidR="000F45B1" w:rsidRPr="00B53F9E" w:rsidP="000F45B1" w14:paraId="6A3066FF" w14:textId="3FF99B10">
      <w:pPr>
        <w:rPr>
          <w:b/>
          <w:szCs w:val="18"/>
        </w:rPr>
      </w:pPr>
      <w:r w:rsidRPr="00B53F9E">
        <w:rPr>
          <w:b/>
          <w:szCs w:val="18"/>
        </w:rPr>
        <w:t xml:space="preserve">Comment Date: </w:t>
      </w:r>
      <w:r>
        <w:rPr>
          <w:b/>
          <w:szCs w:val="18"/>
        </w:rPr>
        <w:t xml:space="preserve"> March</w:t>
      </w:r>
      <w:r w:rsidR="00E54B41">
        <w:rPr>
          <w:b/>
          <w:szCs w:val="18"/>
        </w:rPr>
        <w:t xml:space="preserve"> 26</w:t>
      </w:r>
      <w:r>
        <w:rPr>
          <w:b/>
          <w:szCs w:val="18"/>
        </w:rPr>
        <w:t>, 2020</w:t>
      </w:r>
    </w:p>
    <w:p w:rsidR="000F45B1" w:rsidP="000F45B1" w14:paraId="5DEC328E" w14:textId="25A0EF5E">
      <w:pPr>
        <w:rPr>
          <w:szCs w:val="18"/>
        </w:rPr>
      </w:pPr>
      <w:r w:rsidRPr="00B53F9E">
        <w:rPr>
          <w:b/>
          <w:szCs w:val="18"/>
        </w:rPr>
        <w:t xml:space="preserve">Reply Date: </w:t>
      </w:r>
      <w:r>
        <w:rPr>
          <w:b/>
          <w:szCs w:val="18"/>
        </w:rPr>
        <w:t xml:space="preserve"> </w:t>
      </w:r>
      <w:r w:rsidR="00A111EF">
        <w:rPr>
          <w:b/>
          <w:szCs w:val="18"/>
        </w:rPr>
        <w:t>April</w:t>
      </w:r>
      <w:r>
        <w:rPr>
          <w:b/>
          <w:szCs w:val="18"/>
        </w:rPr>
        <w:t xml:space="preserve"> </w:t>
      </w:r>
      <w:r w:rsidR="00E54B41">
        <w:rPr>
          <w:b/>
          <w:szCs w:val="18"/>
        </w:rPr>
        <w:t>10</w:t>
      </w:r>
      <w:r>
        <w:rPr>
          <w:b/>
          <w:szCs w:val="18"/>
        </w:rPr>
        <w:t>, 2020</w:t>
      </w:r>
    </w:p>
    <w:p w:rsidR="000F45B1" w:rsidP="000F45B1" w14:paraId="495C5D55" w14:textId="77777777">
      <w:pPr>
        <w:rPr>
          <w:szCs w:val="18"/>
        </w:rPr>
      </w:pPr>
    </w:p>
    <w:p w:rsidR="000F45B1" w:rsidP="000F45B1" w14:paraId="7775675C" w14:textId="1189409A">
      <w:pPr>
        <w:rPr>
          <w:szCs w:val="18"/>
        </w:rPr>
      </w:pPr>
      <w:r>
        <w:rPr>
          <w:szCs w:val="18"/>
        </w:rPr>
        <w:tab/>
        <w:t>iHeartMedia, Inc. (</w:t>
      </w:r>
      <w:r>
        <w:rPr>
          <w:szCs w:val="18"/>
        </w:rPr>
        <w:t>iHeart</w:t>
      </w:r>
      <w:r>
        <w:rPr>
          <w:szCs w:val="18"/>
        </w:rPr>
        <w:t xml:space="preserve"> or Petitioner) has filed a petition for declaratory ruling</w:t>
      </w:r>
      <w:r>
        <w:rPr>
          <w:rStyle w:val="FootnoteReference"/>
          <w:szCs w:val="18"/>
        </w:rPr>
        <w:footnoteReference w:id="3"/>
      </w:r>
      <w:r>
        <w:rPr>
          <w:szCs w:val="18"/>
        </w:rPr>
        <w:t xml:space="preserve"> asking the Federal Communications Commission to find, pursuant to section 310(b)(4) of the Communications Act of 1934, as amended</w:t>
      </w:r>
      <w:r w:rsidR="00BE4DE1">
        <w:rPr>
          <w:szCs w:val="18"/>
        </w:rPr>
        <w:t xml:space="preserve">, </w:t>
      </w:r>
      <w:r w:rsidR="00BE4DE1">
        <w:rPr>
          <w:szCs w:val="22"/>
        </w:rPr>
        <w:t>(Act)</w:t>
      </w:r>
      <w:r>
        <w:rPr>
          <w:rStyle w:val="FootnoteReference"/>
          <w:szCs w:val="22"/>
        </w:rPr>
        <w:footnoteReference w:id="4"/>
      </w:r>
      <w:r w:rsidR="007C6484">
        <w:rPr>
          <w:szCs w:val="22"/>
        </w:rPr>
        <w:t xml:space="preserve"> and </w:t>
      </w:r>
      <w:r w:rsidR="00816754">
        <w:rPr>
          <w:szCs w:val="22"/>
        </w:rPr>
        <w:t>s</w:t>
      </w:r>
      <w:r w:rsidR="007C6484">
        <w:rPr>
          <w:szCs w:val="22"/>
        </w:rPr>
        <w:t>ection 1.5000(a)(1) of the Commission’s rules</w:t>
      </w:r>
      <w:r w:rsidR="00BE4DE1">
        <w:rPr>
          <w:szCs w:val="22"/>
        </w:rPr>
        <w:t xml:space="preserve"> (Rules)</w:t>
      </w:r>
      <w:r w:rsidR="007C6484">
        <w:rPr>
          <w:szCs w:val="22"/>
        </w:rPr>
        <w:t>,</w:t>
      </w:r>
      <w:r>
        <w:rPr>
          <w:rStyle w:val="FootnoteReference"/>
          <w:szCs w:val="22"/>
        </w:rPr>
        <w:footnoteReference w:id="5"/>
      </w:r>
      <w:r w:rsidR="007C6484">
        <w:rPr>
          <w:szCs w:val="22"/>
        </w:rPr>
        <w:t xml:space="preserve"> </w:t>
      </w:r>
      <w:r w:rsidRPr="00E75BAA" w:rsidR="007C6484">
        <w:rPr>
          <w:szCs w:val="22"/>
        </w:rPr>
        <w:t>that</w:t>
      </w:r>
      <w:r w:rsidRPr="00B039CF" w:rsidR="007C6484">
        <w:rPr>
          <w:szCs w:val="22"/>
        </w:rPr>
        <w:t xml:space="preserve"> it would serve the public interest to </w:t>
      </w:r>
      <w:r>
        <w:rPr>
          <w:szCs w:val="18"/>
        </w:rPr>
        <w:t>allow it to accept foreign investment in excess of the 25</w:t>
      </w:r>
      <w:r w:rsidR="00BE7B1C">
        <w:rPr>
          <w:szCs w:val="18"/>
        </w:rPr>
        <w:t>%</w:t>
      </w:r>
      <w:r>
        <w:rPr>
          <w:szCs w:val="18"/>
        </w:rPr>
        <w:t xml:space="preserve"> benchm</w:t>
      </w:r>
      <w:bookmarkStart w:id="1" w:name="_GoBack"/>
      <w:bookmarkEnd w:id="1"/>
      <w:r>
        <w:rPr>
          <w:szCs w:val="18"/>
        </w:rPr>
        <w:t>ark set forth in section 310(b)(4).</w:t>
      </w:r>
      <w:r>
        <w:rPr>
          <w:rStyle w:val="FootnoteReference"/>
          <w:szCs w:val="18"/>
        </w:rPr>
        <w:footnoteReference w:id="6"/>
      </w:r>
      <w:r>
        <w:rPr>
          <w:szCs w:val="18"/>
        </w:rPr>
        <w:t xml:space="preserve">  Specifically, </w:t>
      </w:r>
      <w:r w:rsidR="00452C75">
        <w:rPr>
          <w:szCs w:val="18"/>
        </w:rPr>
        <w:t>iHeart</w:t>
      </w:r>
      <w:r>
        <w:rPr>
          <w:szCs w:val="18"/>
        </w:rPr>
        <w:t xml:space="preserve"> seeks Commission authorization for foreign investors to own up to 100</w:t>
      </w:r>
      <w:r w:rsidR="00F615B8">
        <w:rPr>
          <w:szCs w:val="18"/>
        </w:rPr>
        <w:t>%</w:t>
      </w:r>
      <w:r>
        <w:rPr>
          <w:szCs w:val="18"/>
        </w:rPr>
        <w:t xml:space="preserve"> of its equity and voting interests, and specific approval</w:t>
      </w:r>
      <w:r>
        <w:rPr>
          <w:rStyle w:val="FootnoteReference"/>
          <w:szCs w:val="18"/>
        </w:rPr>
        <w:footnoteReference w:id="7"/>
      </w:r>
      <w:r>
        <w:rPr>
          <w:szCs w:val="18"/>
        </w:rPr>
        <w:t xml:space="preserve"> for certain foreign investors that seek to directly or indirectly hold more than 10</w:t>
      </w:r>
      <w:r w:rsidR="00F615B8">
        <w:rPr>
          <w:szCs w:val="18"/>
        </w:rPr>
        <w:t>%</w:t>
      </w:r>
      <w:r>
        <w:rPr>
          <w:szCs w:val="18"/>
        </w:rPr>
        <w:t xml:space="preserve"> of the company’s equity, and/or hold equity interests that will cause them to </w:t>
      </w:r>
      <w:r>
        <w:rPr>
          <w:szCs w:val="18"/>
        </w:rPr>
        <w:t>be deemed to hold more than 10</w:t>
      </w:r>
      <w:r w:rsidR="00F615B8">
        <w:rPr>
          <w:szCs w:val="18"/>
        </w:rPr>
        <w:t>%</w:t>
      </w:r>
      <w:r>
        <w:rPr>
          <w:szCs w:val="18"/>
        </w:rPr>
        <w:t xml:space="preserve"> of </w:t>
      </w:r>
      <w:r w:rsidR="00452C75">
        <w:rPr>
          <w:szCs w:val="18"/>
        </w:rPr>
        <w:t>iHeart</w:t>
      </w:r>
      <w:r>
        <w:rPr>
          <w:szCs w:val="18"/>
        </w:rPr>
        <w:t>’s</w:t>
      </w:r>
      <w:r>
        <w:rPr>
          <w:szCs w:val="18"/>
        </w:rPr>
        <w:t xml:space="preserve"> voting rights.</w:t>
      </w:r>
      <w:r>
        <w:rPr>
          <w:rStyle w:val="FootnoteReference"/>
          <w:szCs w:val="18"/>
        </w:rPr>
        <w:footnoteReference w:id="8"/>
      </w:r>
      <w:r>
        <w:rPr>
          <w:szCs w:val="18"/>
        </w:rPr>
        <w:t xml:space="preserve">  </w:t>
      </w:r>
      <w:r w:rsidR="00452C75">
        <w:rPr>
          <w:szCs w:val="22"/>
        </w:rPr>
        <w:t>iHeart</w:t>
      </w:r>
      <w:r w:rsidR="00452C75">
        <w:rPr>
          <w:szCs w:val="22"/>
        </w:rPr>
        <w:t xml:space="preserve"> filed t</w:t>
      </w:r>
      <w:r w:rsidRPr="00B039CF" w:rsidR="00452C75">
        <w:rPr>
          <w:szCs w:val="22"/>
        </w:rPr>
        <w:t xml:space="preserve">he Petition </w:t>
      </w:r>
      <w:r w:rsidR="00452C75">
        <w:rPr>
          <w:szCs w:val="22"/>
        </w:rPr>
        <w:t xml:space="preserve">on behalf of itself and each of its direct and indirect subsidiaries </w:t>
      </w:r>
      <w:r w:rsidR="00687CCB">
        <w:rPr>
          <w:szCs w:val="22"/>
        </w:rPr>
        <w:t xml:space="preserve">that </w:t>
      </w:r>
      <w:r w:rsidR="00452C75">
        <w:rPr>
          <w:szCs w:val="22"/>
        </w:rPr>
        <w:t>hold Commission broadcast licenses.</w:t>
      </w:r>
      <w:r>
        <w:rPr>
          <w:rStyle w:val="FootnoteReference"/>
          <w:szCs w:val="22"/>
        </w:rPr>
        <w:footnoteReference w:id="9"/>
      </w:r>
      <w:r w:rsidR="00452C75">
        <w:rPr>
          <w:szCs w:val="22"/>
        </w:rPr>
        <w:t xml:space="preserve">  </w:t>
      </w:r>
    </w:p>
    <w:p w:rsidR="000F45B1" w:rsidP="000F45B1" w14:paraId="6E0B1A52" w14:textId="77777777">
      <w:pPr>
        <w:rPr>
          <w:szCs w:val="18"/>
        </w:rPr>
      </w:pPr>
    </w:p>
    <w:p w:rsidR="00A13BCF" w:rsidP="000F45B1" w14:paraId="3AFDBD31" w14:textId="67BDF8F6">
      <w:pPr>
        <w:ind w:firstLine="720"/>
        <w:rPr>
          <w:szCs w:val="18"/>
        </w:rPr>
      </w:pPr>
      <w:r>
        <w:rPr>
          <w:szCs w:val="18"/>
        </w:rPr>
        <w:t>iHeart</w:t>
      </w:r>
      <w:r w:rsidRPr="000E1A31" w:rsidR="000F45B1">
        <w:rPr>
          <w:szCs w:val="18"/>
        </w:rPr>
        <w:t xml:space="preserve"> </w:t>
      </w:r>
      <w:r w:rsidR="003059EF">
        <w:rPr>
          <w:szCs w:val="18"/>
        </w:rPr>
        <w:t xml:space="preserve">seeks this declaratory ruling due to changes in its ownership structure that are an outgrowth of </w:t>
      </w:r>
      <w:r>
        <w:rPr>
          <w:szCs w:val="18"/>
        </w:rPr>
        <w:t>the</w:t>
      </w:r>
      <w:r w:rsidR="000F45B1">
        <w:rPr>
          <w:szCs w:val="18"/>
        </w:rPr>
        <w:t xml:space="preserve"> recent bankruptcy reorganization</w:t>
      </w:r>
      <w:r w:rsidR="00780EB5">
        <w:rPr>
          <w:szCs w:val="18"/>
        </w:rPr>
        <w:t xml:space="preserve"> of</w:t>
      </w:r>
      <w:r>
        <w:rPr>
          <w:szCs w:val="18"/>
        </w:rPr>
        <w:t xml:space="preserve"> </w:t>
      </w:r>
      <w:r>
        <w:rPr>
          <w:szCs w:val="18"/>
        </w:rPr>
        <w:t>iHeart</w:t>
      </w:r>
      <w:r>
        <w:rPr>
          <w:szCs w:val="18"/>
        </w:rPr>
        <w:t xml:space="preserve"> and all of its</w:t>
      </w:r>
      <w:r w:rsidR="00712F46">
        <w:rPr>
          <w:szCs w:val="18"/>
        </w:rPr>
        <w:t xml:space="preserve"> </w:t>
      </w:r>
      <w:r>
        <w:rPr>
          <w:szCs w:val="18"/>
        </w:rPr>
        <w:t xml:space="preserve">subsidiaries </w:t>
      </w:r>
      <w:r w:rsidRPr="001D6414" w:rsidR="00712F46">
        <w:rPr>
          <w:szCs w:val="18"/>
        </w:rPr>
        <w:t>which</w:t>
      </w:r>
      <w:r w:rsidRPr="001D6414">
        <w:rPr>
          <w:szCs w:val="18"/>
        </w:rPr>
        <w:t xml:space="preserve"> hold broadcast licenses</w:t>
      </w:r>
      <w:r w:rsidRPr="001D6414" w:rsidR="000F45B1">
        <w:rPr>
          <w:szCs w:val="18"/>
        </w:rPr>
        <w:t>.</w:t>
      </w:r>
      <w:r>
        <w:rPr>
          <w:rStyle w:val="FootnoteReference"/>
          <w:szCs w:val="18"/>
        </w:rPr>
        <w:footnoteReference w:id="10"/>
      </w:r>
      <w:r w:rsidR="000F45B1">
        <w:rPr>
          <w:szCs w:val="18"/>
        </w:rPr>
        <w:t xml:space="preserve">  </w:t>
      </w:r>
      <w:r w:rsidR="009178A2">
        <w:rPr>
          <w:szCs w:val="18"/>
        </w:rPr>
        <w:t xml:space="preserve">To facilitate its emergence from bankruptcy, </w:t>
      </w:r>
      <w:r w:rsidR="009178A2">
        <w:rPr>
          <w:szCs w:val="18"/>
        </w:rPr>
        <w:t>iHeart</w:t>
      </w:r>
      <w:r w:rsidR="009178A2">
        <w:rPr>
          <w:szCs w:val="18"/>
        </w:rPr>
        <w:t xml:space="preserve"> issued to certain owners “(</w:t>
      </w:r>
      <w:r w:rsidR="009178A2">
        <w:rPr>
          <w:szCs w:val="18"/>
        </w:rPr>
        <w:t>i</w:t>
      </w:r>
      <w:r w:rsidR="009178A2">
        <w:rPr>
          <w:szCs w:val="18"/>
        </w:rPr>
        <w:t xml:space="preserve">) new common stock, including voting Class A Common Stock and/or limited voting Class B Common Stock, and/or (ii) Special Warrants, which are exercisable for common stock of </w:t>
      </w:r>
      <w:r w:rsidR="009178A2">
        <w:rPr>
          <w:szCs w:val="18"/>
        </w:rPr>
        <w:t>iHeart</w:t>
      </w:r>
      <w:r w:rsidR="009178A2">
        <w:rPr>
          <w:szCs w:val="18"/>
        </w:rPr>
        <w:t xml:space="preserve"> subject to certain conditions.”</w:t>
      </w:r>
      <w:r>
        <w:rPr>
          <w:rStyle w:val="FootnoteReference"/>
          <w:szCs w:val="18"/>
        </w:rPr>
        <w:footnoteReference w:id="11"/>
      </w:r>
      <w:r w:rsidR="009178A2">
        <w:rPr>
          <w:szCs w:val="18"/>
        </w:rPr>
        <w:t xml:space="preserve">  </w:t>
      </w:r>
      <w:r w:rsidR="009F56BE">
        <w:rPr>
          <w:szCs w:val="18"/>
        </w:rPr>
        <w:t>Petitioner states that t</w:t>
      </w:r>
      <w:r w:rsidR="009178A2">
        <w:rPr>
          <w:szCs w:val="18"/>
        </w:rPr>
        <w:t xml:space="preserve">hese instruments were intended to reduce </w:t>
      </w:r>
      <w:r w:rsidR="009178A2">
        <w:rPr>
          <w:szCs w:val="18"/>
        </w:rPr>
        <w:t>iHeart’s</w:t>
      </w:r>
      <w:r w:rsidR="009178A2">
        <w:rPr>
          <w:szCs w:val="18"/>
        </w:rPr>
        <w:t xml:space="preserve"> aggregate foreign voting and equity interests below 22.5</w:t>
      </w:r>
      <w:r w:rsidR="00BE7B1C">
        <w:rPr>
          <w:szCs w:val="18"/>
        </w:rPr>
        <w:t>%</w:t>
      </w:r>
      <w:r w:rsidR="009178A2">
        <w:rPr>
          <w:szCs w:val="18"/>
        </w:rPr>
        <w:t>.</w:t>
      </w:r>
      <w:r>
        <w:rPr>
          <w:rStyle w:val="FootnoteReference"/>
          <w:szCs w:val="18"/>
        </w:rPr>
        <w:footnoteReference w:id="12"/>
      </w:r>
      <w:r w:rsidR="003059EF">
        <w:rPr>
          <w:szCs w:val="18"/>
        </w:rPr>
        <w:t xml:space="preserve">  </w:t>
      </w:r>
      <w:r w:rsidR="003059EF">
        <w:rPr>
          <w:szCs w:val="18"/>
        </w:rPr>
        <w:t>iHeart’s</w:t>
      </w:r>
      <w:r w:rsidR="003059EF">
        <w:rPr>
          <w:szCs w:val="18"/>
        </w:rPr>
        <w:t xml:space="preserve"> plan to emerge from bankruptcy also required </w:t>
      </w:r>
      <w:r w:rsidR="003059EF">
        <w:rPr>
          <w:szCs w:val="18"/>
        </w:rPr>
        <w:t>iHeart</w:t>
      </w:r>
      <w:r w:rsidR="003059EF">
        <w:rPr>
          <w:szCs w:val="18"/>
        </w:rPr>
        <w:t xml:space="preserve"> to seek FCC approval for foreign ownership above the </w:t>
      </w:r>
      <w:r w:rsidR="00883F46">
        <w:rPr>
          <w:szCs w:val="18"/>
        </w:rPr>
        <w:t>25</w:t>
      </w:r>
      <w:r w:rsidR="00BE7B1C">
        <w:rPr>
          <w:szCs w:val="18"/>
        </w:rPr>
        <w:t xml:space="preserve">% </w:t>
      </w:r>
      <w:r w:rsidR="00883F46">
        <w:rPr>
          <w:szCs w:val="18"/>
        </w:rPr>
        <w:t>benchmark in 310(b)(4)</w:t>
      </w:r>
      <w:r w:rsidR="003059EF">
        <w:rPr>
          <w:szCs w:val="18"/>
        </w:rPr>
        <w:t xml:space="preserve"> to permit foreign entities</w:t>
      </w:r>
      <w:r w:rsidR="00780EB5">
        <w:rPr>
          <w:szCs w:val="18"/>
        </w:rPr>
        <w:t xml:space="preserve"> that hold</w:t>
      </w:r>
      <w:r w:rsidR="003059EF">
        <w:rPr>
          <w:szCs w:val="18"/>
        </w:rPr>
        <w:t xml:space="preserve"> Special Warrants to exercise those warrants in return for Class A or Class B Common Stock.</w:t>
      </w:r>
      <w:r>
        <w:rPr>
          <w:rStyle w:val="FootnoteReference"/>
          <w:szCs w:val="18"/>
        </w:rPr>
        <w:footnoteReference w:id="13"/>
      </w:r>
      <w:r w:rsidR="003059EF">
        <w:rPr>
          <w:szCs w:val="18"/>
        </w:rPr>
        <w:t xml:space="preserve">  </w:t>
      </w:r>
      <w:r w:rsidR="00B03AA1">
        <w:rPr>
          <w:szCs w:val="18"/>
        </w:rPr>
        <w:t>iHeart</w:t>
      </w:r>
      <w:r w:rsidR="00B03AA1">
        <w:rPr>
          <w:szCs w:val="18"/>
        </w:rPr>
        <w:t xml:space="preserve"> </w:t>
      </w:r>
      <w:r w:rsidR="00D905BB">
        <w:rPr>
          <w:szCs w:val="18"/>
        </w:rPr>
        <w:t xml:space="preserve">states that it </w:t>
      </w:r>
      <w:r w:rsidR="003B7E49">
        <w:rPr>
          <w:szCs w:val="18"/>
        </w:rPr>
        <w:t>also seeks this approval to address concern</w:t>
      </w:r>
      <w:r w:rsidR="00A45675">
        <w:rPr>
          <w:szCs w:val="18"/>
        </w:rPr>
        <w:t>s</w:t>
      </w:r>
      <w:r w:rsidR="003B7E49">
        <w:rPr>
          <w:szCs w:val="18"/>
        </w:rPr>
        <w:t xml:space="preserve"> that public trading of its stock </w:t>
      </w:r>
      <w:r w:rsidR="00B03AA1">
        <w:rPr>
          <w:szCs w:val="18"/>
        </w:rPr>
        <w:t xml:space="preserve">may result in additional foreign ownership that would exceed the </w:t>
      </w:r>
      <w:r w:rsidR="007D435C">
        <w:rPr>
          <w:szCs w:val="18"/>
        </w:rPr>
        <w:t>25</w:t>
      </w:r>
      <w:r w:rsidR="00780EB5">
        <w:rPr>
          <w:szCs w:val="18"/>
        </w:rPr>
        <w:t>%</w:t>
      </w:r>
      <w:r w:rsidR="00883F46">
        <w:rPr>
          <w:szCs w:val="18"/>
        </w:rPr>
        <w:t xml:space="preserve"> statutory</w:t>
      </w:r>
      <w:r w:rsidR="00B03AA1">
        <w:rPr>
          <w:szCs w:val="18"/>
        </w:rPr>
        <w:t xml:space="preserve"> </w:t>
      </w:r>
      <w:r w:rsidR="00883F46">
        <w:rPr>
          <w:szCs w:val="18"/>
        </w:rPr>
        <w:t>benchmark</w:t>
      </w:r>
      <w:r w:rsidR="00B03AA1">
        <w:rPr>
          <w:szCs w:val="18"/>
        </w:rPr>
        <w:t>.</w:t>
      </w:r>
    </w:p>
    <w:p w:rsidR="00A13BCF" w:rsidP="000F45B1" w14:paraId="334FCEF4" w14:textId="77777777">
      <w:pPr>
        <w:ind w:firstLine="720"/>
        <w:rPr>
          <w:szCs w:val="18"/>
        </w:rPr>
      </w:pPr>
    </w:p>
    <w:p w:rsidR="00BD22A3" w:rsidP="000F45B1" w14:paraId="17C32B6D" w14:textId="518B6650">
      <w:pPr>
        <w:ind w:firstLine="720"/>
        <w:rPr>
          <w:szCs w:val="18"/>
        </w:rPr>
      </w:pPr>
      <w:r>
        <w:rPr>
          <w:szCs w:val="18"/>
        </w:rPr>
        <w:t>In fact, a</w:t>
      </w:r>
      <w:r w:rsidR="00BC1896">
        <w:rPr>
          <w:szCs w:val="18"/>
        </w:rPr>
        <w:t xml:space="preserve">fter it emerged from bankruptcy, </w:t>
      </w:r>
      <w:r w:rsidR="00BC1896">
        <w:rPr>
          <w:szCs w:val="18"/>
        </w:rPr>
        <w:t>iHeart</w:t>
      </w:r>
      <w:r w:rsidR="00BC1896">
        <w:rPr>
          <w:szCs w:val="18"/>
        </w:rPr>
        <w:t xml:space="preserve"> learned that </w:t>
      </w:r>
      <w:r w:rsidR="003B7E49">
        <w:rPr>
          <w:szCs w:val="18"/>
        </w:rPr>
        <w:t xml:space="preserve">changes in its ownership outside its control had impacted </w:t>
      </w:r>
      <w:r w:rsidR="003B7E49">
        <w:rPr>
          <w:szCs w:val="18"/>
        </w:rPr>
        <w:t>iHeart’s</w:t>
      </w:r>
      <w:r w:rsidR="003B7E49">
        <w:rPr>
          <w:szCs w:val="18"/>
        </w:rPr>
        <w:t xml:space="preserve"> foreign ownership.  </w:t>
      </w:r>
      <w:r w:rsidR="00BC1896">
        <w:rPr>
          <w:szCs w:val="18"/>
        </w:rPr>
        <w:t xml:space="preserve">Invesco Ltd. (Invesco), a limited company organized under the laws of Bermuda, acquired </w:t>
      </w:r>
      <w:r w:rsidR="00BC1896">
        <w:rPr>
          <w:szCs w:val="18"/>
        </w:rPr>
        <w:t>OppenheimerFunds</w:t>
      </w:r>
      <w:r w:rsidR="00BC1896">
        <w:rPr>
          <w:szCs w:val="18"/>
        </w:rPr>
        <w:t>, Inc. (Oppenheimer), “the ultimate parent company of the investment adviser of various U.S.-organized mutual funds that collectively receive</w:t>
      </w:r>
      <w:r w:rsidR="00BE4DE1">
        <w:rPr>
          <w:szCs w:val="18"/>
        </w:rPr>
        <w:t>d</w:t>
      </w:r>
      <w:r w:rsidR="00BC1896">
        <w:rPr>
          <w:szCs w:val="18"/>
        </w:rPr>
        <w:t xml:space="preserve"> approximately 9.4</w:t>
      </w:r>
      <w:r w:rsidR="006915EE">
        <w:rPr>
          <w:szCs w:val="18"/>
        </w:rPr>
        <w:t>%</w:t>
      </w:r>
      <w:r w:rsidR="00BC1896">
        <w:rPr>
          <w:szCs w:val="18"/>
        </w:rPr>
        <w:t xml:space="preserve"> of </w:t>
      </w:r>
      <w:r w:rsidR="00BC1896">
        <w:rPr>
          <w:szCs w:val="18"/>
        </w:rPr>
        <w:t>iHeart’s</w:t>
      </w:r>
      <w:r w:rsidR="00BC1896">
        <w:rPr>
          <w:szCs w:val="18"/>
        </w:rPr>
        <w:t xml:space="preserve"> Class A Common Stock.</w:t>
      </w:r>
      <w:r w:rsidR="00BE4DE1">
        <w:rPr>
          <w:szCs w:val="18"/>
        </w:rPr>
        <w:t>”</w:t>
      </w:r>
      <w:r>
        <w:rPr>
          <w:rStyle w:val="FootnoteReference"/>
          <w:szCs w:val="18"/>
        </w:rPr>
        <w:footnoteReference w:id="14"/>
      </w:r>
      <w:r w:rsidR="00BE4DE1">
        <w:rPr>
          <w:szCs w:val="18"/>
        </w:rPr>
        <w:t xml:space="preserve">  </w:t>
      </w:r>
      <w:r>
        <w:rPr>
          <w:szCs w:val="18"/>
        </w:rPr>
        <w:t>In its</w:t>
      </w:r>
      <w:r w:rsidR="007047D8">
        <w:rPr>
          <w:szCs w:val="18"/>
        </w:rPr>
        <w:t xml:space="preserve"> </w:t>
      </w:r>
      <w:r>
        <w:rPr>
          <w:szCs w:val="18"/>
        </w:rPr>
        <w:t xml:space="preserve">initial calculation </w:t>
      </w:r>
      <w:r w:rsidR="007E392C">
        <w:rPr>
          <w:szCs w:val="18"/>
        </w:rPr>
        <w:t xml:space="preserve">of </w:t>
      </w:r>
      <w:r>
        <w:rPr>
          <w:szCs w:val="18"/>
        </w:rPr>
        <w:t>aggregate foreign ownership</w:t>
      </w:r>
      <w:r w:rsidR="00FA3AA3">
        <w:rPr>
          <w:szCs w:val="18"/>
        </w:rPr>
        <w:t>,</w:t>
      </w:r>
      <w:r>
        <w:rPr>
          <w:szCs w:val="18"/>
        </w:rPr>
        <w:t xml:space="preserve"> </w:t>
      </w:r>
      <w:r>
        <w:rPr>
          <w:szCs w:val="18"/>
        </w:rPr>
        <w:t>iHeart</w:t>
      </w:r>
      <w:r>
        <w:rPr>
          <w:szCs w:val="18"/>
        </w:rPr>
        <w:t xml:space="preserve"> had classified these Oppenheimer control</w:t>
      </w:r>
      <w:r w:rsidR="003B7E49">
        <w:rPr>
          <w:szCs w:val="18"/>
        </w:rPr>
        <w:t>led</w:t>
      </w:r>
      <w:r>
        <w:rPr>
          <w:szCs w:val="18"/>
        </w:rPr>
        <w:t xml:space="preserve"> Class A Common Stock shares as </w:t>
      </w:r>
      <w:r w:rsidR="000D033E">
        <w:rPr>
          <w:szCs w:val="18"/>
        </w:rPr>
        <w:t>held by</w:t>
      </w:r>
      <w:r>
        <w:rPr>
          <w:szCs w:val="18"/>
        </w:rPr>
        <w:t xml:space="preserve"> U.S. </w:t>
      </w:r>
      <w:r w:rsidR="000D033E">
        <w:rPr>
          <w:szCs w:val="18"/>
        </w:rPr>
        <w:t>entities</w:t>
      </w:r>
      <w:r>
        <w:rPr>
          <w:szCs w:val="18"/>
        </w:rPr>
        <w:t xml:space="preserve">.  Upon Invesco assuming </w:t>
      </w:r>
      <w:r w:rsidR="007E392C">
        <w:rPr>
          <w:szCs w:val="18"/>
        </w:rPr>
        <w:t xml:space="preserve">voting </w:t>
      </w:r>
      <w:r>
        <w:rPr>
          <w:szCs w:val="18"/>
        </w:rPr>
        <w:t xml:space="preserve">control of these shares, </w:t>
      </w:r>
      <w:r>
        <w:rPr>
          <w:szCs w:val="18"/>
        </w:rPr>
        <w:t>iHeart</w:t>
      </w:r>
      <w:r>
        <w:rPr>
          <w:szCs w:val="18"/>
        </w:rPr>
        <w:t xml:space="preserve"> determined that </w:t>
      </w:r>
      <w:r w:rsidR="007E392C">
        <w:rPr>
          <w:szCs w:val="18"/>
        </w:rPr>
        <w:t xml:space="preserve">these shares should be considered foreign for purposes of calculating </w:t>
      </w:r>
      <w:r>
        <w:rPr>
          <w:szCs w:val="18"/>
        </w:rPr>
        <w:t>its foreign</w:t>
      </w:r>
      <w:r w:rsidR="007E392C">
        <w:rPr>
          <w:szCs w:val="18"/>
        </w:rPr>
        <w:t xml:space="preserve"> voting</w:t>
      </w:r>
      <w:r>
        <w:rPr>
          <w:szCs w:val="18"/>
        </w:rPr>
        <w:t xml:space="preserve"> ownership </w:t>
      </w:r>
      <w:r w:rsidR="007E392C">
        <w:rPr>
          <w:szCs w:val="18"/>
        </w:rPr>
        <w:t>under</w:t>
      </w:r>
      <w:r w:rsidR="005F30B3">
        <w:rPr>
          <w:szCs w:val="18"/>
        </w:rPr>
        <w:t xml:space="preserve"> </w:t>
      </w:r>
      <w:r w:rsidR="006431F3">
        <w:rPr>
          <w:szCs w:val="18"/>
        </w:rPr>
        <w:t>section 310(b)(4)</w:t>
      </w:r>
      <w:r>
        <w:rPr>
          <w:szCs w:val="18"/>
        </w:rPr>
        <w:t xml:space="preserve">.  </w:t>
      </w:r>
      <w:r w:rsidR="00BE4DE1">
        <w:rPr>
          <w:szCs w:val="18"/>
        </w:rPr>
        <w:t>iHeart</w:t>
      </w:r>
      <w:r w:rsidR="00BE4DE1">
        <w:rPr>
          <w:szCs w:val="18"/>
        </w:rPr>
        <w:t xml:space="preserve"> informed the Commission of this </w:t>
      </w:r>
      <w:r w:rsidR="00BD6286">
        <w:rPr>
          <w:szCs w:val="18"/>
        </w:rPr>
        <w:t>development</w:t>
      </w:r>
      <w:r w:rsidR="00BE4DE1">
        <w:rPr>
          <w:szCs w:val="18"/>
        </w:rPr>
        <w:t xml:space="preserve"> in a July 3, 2019</w:t>
      </w:r>
      <w:r w:rsidR="00816754">
        <w:rPr>
          <w:szCs w:val="18"/>
        </w:rPr>
        <w:t>,</w:t>
      </w:r>
      <w:r w:rsidR="00BE4DE1">
        <w:rPr>
          <w:szCs w:val="18"/>
        </w:rPr>
        <w:t xml:space="preserve"> letter</w:t>
      </w:r>
      <w:r>
        <w:rPr>
          <w:rStyle w:val="FootnoteReference"/>
          <w:szCs w:val="18"/>
        </w:rPr>
        <w:footnoteReference w:id="15"/>
      </w:r>
      <w:r>
        <w:rPr>
          <w:szCs w:val="18"/>
        </w:rPr>
        <w:t xml:space="preserve"> and filed the present remedial Petition within thirty days of that letter as required by section 1.5004(f)(3)</w:t>
      </w:r>
      <w:r w:rsidR="00BD6286">
        <w:rPr>
          <w:szCs w:val="18"/>
        </w:rPr>
        <w:t xml:space="preserve"> of the Rules</w:t>
      </w:r>
      <w:r>
        <w:rPr>
          <w:szCs w:val="18"/>
        </w:rPr>
        <w:t>.</w:t>
      </w:r>
      <w:r>
        <w:rPr>
          <w:rStyle w:val="FootnoteReference"/>
          <w:szCs w:val="18"/>
        </w:rPr>
        <w:footnoteReference w:id="16"/>
      </w:r>
      <w:r w:rsidR="00726A80">
        <w:rPr>
          <w:szCs w:val="18"/>
        </w:rPr>
        <w:t xml:space="preserve">  </w:t>
      </w:r>
      <w:r w:rsidR="005F30B3">
        <w:rPr>
          <w:szCs w:val="18"/>
        </w:rPr>
        <w:t>T</w:t>
      </w:r>
      <w:r w:rsidR="00ED0BED">
        <w:rPr>
          <w:szCs w:val="18"/>
        </w:rPr>
        <w:t>he</w:t>
      </w:r>
      <w:r w:rsidR="00726A80">
        <w:rPr>
          <w:szCs w:val="18"/>
        </w:rPr>
        <w:t xml:space="preserve"> Media Bureau deemed </w:t>
      </w:r>
      <w:r w:rsidR="00726A80">
        <w:rPr>
          <w:szCs w:val="18"/>
        </w:rPr>
        <w:t>iHeart</w:t>
      </w:r>
      <w:r w:rsidR="00726A80">
        <w:rPr>
          <w:szCs w:val="18"/>
        </w:rPr>
        <w:t xml:space="preserve"> to be in compliance with the Commission’s foreign ownership reporting rules on an interim basis pending a final decision on the Petition.</w:t>
      </w:r>
      <w:r>
        <w:rPr>
          <w:rStyle w:val="FootnoteReference"/>
          <w:szCs w:val="18"/>
        </w:rPr>
        <w:footnoteReference w:id="17"/>
      </w:r>
    </w:p>
    <w:p w:rsidR="00BD22A3" w:rsidP="000F45B1" w14:paraId="3565C4B2" w14:textId="77777777">
      <w:pPr>
        <w:ind w:firstLine="720"/>
        <w:rPr>
          <w:szCs w:val="18"/>
        </w:rPr>
      </w:pPr>
    </w:p>
    <w:p w:rsidR="00E94D02" w:rsidP="00F63BE7" w14:paraId="1C37C12D" w14:textId="7C6991AD">
      <w:pPr>
        <w:ind w:firstLine="720"/>
        <w:rPr>
          <w:szCs w:val="18"/>
        </w:rPr>
      </w:pPr>
      <w:r>
        <w:rPr>
          <w:szCs w:val="18"/>
        </w:rPr>
        <w:t>iHeart</w:t>
      </w:r>
      <w:r w:rsidR="00BD6286">
        <w:rPr>
          <w:szCs w:val="18"/>
        </w:rPr>
        <w:t>’s</w:t>
      </w:r>
      <w:r>
        <w:rPr>
          <w:szCs w:val="18"/>
        </w:rPr>
        <w:t xml:space="preserve"> </w:t>
      </w:r>
      <w:r w:rsidR="000F45B1">
        <w:rPr>
          <w:szCs w:val="18"/>
        </w:rPr>
        <w:t>Petition</w:t>
      </w:r>
      <w:r>
        <w:rPr>
          <w:szCs w:val="18"/>
        </w:rPr>
        <w:t xml:space="preserve"> seek</w:t>
      </w:r>
      <w:r w:rsidR="00BD6286">
        <w:rPr>
          <w:szCs w:val="18"/>
        </w:rPr>
        <w:t>s</w:t>
      </w:r>
      <w:r>
        <w:rPr>
          <w:szCs w:val="18"/>
        </w:rPr>
        <w:t xml:space="preserve"> authorization for up to 100</w:t>
      </w:r>
      <w:r w:rsidR="006915EE">
        <w:rPr>
          <w:szCs w:val="18"/>
        </w:rPr>
        <w:t>%</w:t>
      </w:r>
      <w:r>
        <w:rPr>
          <w:szCs w:val="18"/>
        </w:rPr>
        <w:t xml:space="preserve"> aggregate voting and equity foreign investment.  </w:t>
      </w:r>
      <w:r w:rsidR="00603115">
        <w:rPr>
          <w:szCs w:val="18"/>
        </w:rPr>
        <w:t>iHeart</w:t>
      </w:r>
      <w:r w:rsidR="00603115">
        <w:rPr>
          <w:szCs w:val="18"/>
        </w:rPr>
        <w:t xml:space="preserve"> estimates that if the Commission were to grant the Petition and the Special Warrants</w:t>
      </w:r>
      <w:r w:rsidR="00B83E9D">
        <w:rPr>
          <w:szCs w:val="18"/>
        </w:rPr>
        <w:t xml:space="preserve"> are fully </w:t>
      </w:r>
      <w:r w:rsidR="00B83E9D">
        <w:rPr>
          <w:szCs w:val="18"/>
        </w:rPr>
        <w:t>exercised</w:t>
      </w:r>
      <w:r w:rsidR="00603115">
        <w:rPr>
          <w:szCs w:val="18"/>
        </w:rPr>
        <w:t>, it would have foreign ownership of approximately 70.5</w:t>
      </w:r>
      <w:r w:rsidR="006915EE">
        <w:rPr>
          <w:szCs w:val="18"/>
        </w:rPr>
        <w:t>%</w:t>
      </w:r>
      <w:r w:rsidR="00603115">
        <w:rPr>
          <w:szCs w:val="18"/>
        </w:rPr>
        <w:t xml:space="preserve"> of its voting interest and 63.9</w:t>
      </w:r>
      <w:r w:rsidR="006915EE">
        <w:rPr>
          <w:szCs w:val="18"/>
        </w:rPr>
        <w:t>%</w:t>
      </w:r>
      <w:r w:rsidR="00603115">
        <w:rPr>
          <w:szCs w:val="18"/>
        </w:rPr>
        <w:t xml:space="preserve"> of its equity interest.</w:t>
      </w:r>
      <w:r>
        <w:rPr>
          <w:rStyle w:val="FootnoteReference"/>
          <w:szCs w:val="18"/>
        </w:rPr>
        <w:footnoteReference w:id="18"/>
      </w:r>
      <w:r w:rsidR="00603115">
        <w:rPr>
          <w:szCs w:val="18"/>
        </w:rPr>
        <w:t xml:space="preserve">  </w:t>
      </w:r>
    </w:p>
    <w:p w:rsidR="00E94D02" w:rsidP="00F63BE7" w14:paraId="21FA8D07" w14:textId="77777777">
      <w:pPr>
        <w:ind w:firstLine="720"/>
        <w:rPr>
          <w:szCs w:val="18"/>
        </w:rPr>
      </w:pPr>
    </w:p>
    <w:p w:rsidR="00F63BE7" w:rsidP="00F63BE7" w14:paraId="2401096E" w14:textId="2BF9D7C4">
      <w:pPr>
        <w:ind w:firstLine="720"/>
        <w:rPr>
          <w:szCs w:val="18"/>
        </w:rPr>
      </w:pPr>
      <w:r>
        <w:rPr>
          <w:szCs w:val="18"/>
        </w:rPr>
        <w:t>iHeart</w:t>
      </w:r>
      <w:r>
        <w:rPr>
          <w:szCs w:val="18"/>
        </w:rPr>
        <w:t xml:space="preserve"> </w:t>
      </w:r>
      <w:r w:rsidR="00603115">
        <w:rPr>
          <w:szCs w:val="18"/>
        </w:rPr>
        <w:t xml:space="preserve">also </w:t>
      </w:r>
      <w:r>
        <w:rPr>
          <w:szCs w:val="18"/>
        </w:rPr>
        <w:t>seeks specific approval for two groups of foreign entities that will hold more than 5</w:t>
      </w:r>
      <w:r w:rsidR="006915EE">
        <w:rPr>
          <w:szCs w:val="18"/>
        </w:rPr>
        <w:t>%</w:t>
      </w:r>
      <w:r>
        <w:rPr>
          <w:szCs w:val="18"/>
        </w:rPr>
        <w:t xml:space="preserve"> of </w:t>
      </w:r>
      <w:r>
        <w:rPr>
          <w:szCs w:val="18"/>
        </w:rPr>
        <w:t>iHeart’s</w:t>
      </w:r>
      <w:r>
        <w:rPr>
          <w:szCs w:val="18"/>
        </w:rPr>
        <w:t xml:space="preserve"> voting or 10</w:t>
      </w:r>
      <w:r w:rsidR="006915EE">
        <w:rPr>
          <w:szCs w:val="18"/>
        </w:rPr>
        <w:t>%</w:t>
      </w:r>
      <w:r>
        <w:rPr>
          <w:szCs w:val="18"/>
        </w:rPr>
        <w:t xml:space="preserve"> of </w:t>
      </w:r>
      <w:r>
        <w:rPr>
          <w:szCs w:val="18"/>
        </w:rPr>
        <w:t>iHeart’s</w:t>
      </w:r>
      <w:r>
        <w:rPr>
          <w:szCs w:val="18"/>
        </w:rPr>
        <w:t xml:space="preserve"> equity interests.  The first group </w:t>
      </w:r>
      <w:r w:rsidR="0050762D">
        <w:rPr>
          <w:szCs w:val="18"/>
        </w:rPr>
        <w:t xml:space="preserve">(PIMCO Group) </w:t>
      </w:r>
      <w:r>
        <w:rPr>
          <w:szCs w:val="18"/>
        </w:rPr>
        <w:t>includes funds and accounts associated with Pacific Investment Management Company LLC (PIMCO</w:t>
      </w:r>
      <w:r w:rsidR="0050762D">
        <w:rPr>
          <w:szCs w:val="18"/>
        </w:rPr>
        <w:t xml:space="preserve"> LLC</w:t>
      </w:r>
      <w:r>
        <w:rPr>
          <w:szCs w:val="18"/>
        </w:rPr>
        <w:t xml:space="preserve">), an entity ultimately controlled by Allianz SE (Allianz), a Germany entity.  </w:t>
      </w:r>
      <w:r>
        <w:rPr>
          <w:szCs w:val="18"/>
        </w:rPr>
        <w:t>iHeart</w:t>
      </w:r>
      <w:r>
        <w:rPr>
          <w:szCs w:val="18"/>
        </w:rPr>
        <w:t xml:space="preserve"> seeks authorization </w:t>
      </w:r>
      <w:r w:rsidR="00BD18B6">
        <w:rPr>
          <w:szCs w:val="18"/>
        </w:rPr>
        <w:t xml:space="preserve">for </w:t>
      </w:r>
      <w:r w:rsidR="005F3B5A">
        <w:rPr>
          <w:szCs w:val="18"/>
        </w:rPr>
        <w:t>the PIMCO Group</w:t>
      </w:r>
      <w:r>
        <w:rPr>
          <w:szCs w:val="18"/>
        </w:rPr>
        <w:t xml:space="preserve"> to hold up to a 19.99</w:t>
      </w:r>
      <w:r w:rsidR="006915EE">
        <w:rPr>
          <w:szCs w:val="18"/>
        </w:rPr>
        <w:t>%</w:t>
      </w:r>
      <w:r>
        <w:rPr>
          <w:szCs w:val="18"/>
        </w:rPr>
        <w:t xml:space="preserve"> voting interest and a 32.99</w:t>
      </w:r>
      <w:r w:rsidR="006915EE">
        <w:rPr>
          <w:szCs w:val="18"/>
        </w:rPr>
        <w:t>%</w:t>
      </w:r>
      <w:r>
        <w:rPr>
          <w:szCs w:val="18"/>
        </w:rPr>
        <w:t xml:space="preserve"> equity interest in </w:t>
      </w:r>
      <w:r>
        <w:rPr>
          <w:szCs w:val="18"/>
        </w:rPr>
        <w:t>iHeart</w:t>
      </w:r>
      <w:r>
        <w:rPr>
          <w:szCs w:val="18"/>
        </w:rPr>
        <w:t>.</w:t>
      </w:r>
      <w:r>
        <w:rPr>
          <w:rStyle w:val="FootnoteReference"/>
          <w:szCs w:val="18"/>
        </w:rPr>
        <w:footnoteReference w:id="19"/>
      </w:r>
      <w:r w:rsidR="0065535C">
        <w:rPr>
          <w:szCs w:val="18"/>
        </w:rPr>
        <w:t xml:space="preserve">  The second group </w:t>
      </w:r>
      <w:r w:rsidR="00BD18B6">
        <w:rPr>
          <w:szCs w:val="18"/>
        </w:rPr>
        <w:t xml:space="preserve">includes </w:t>
      </w:r>
      <w:r w:rsidR="0065535C">
        <w:rPr>
          <w:szCs w:val="18"/>
        </w:rPr>
        <w:t>Invesco and affiliated entities</w:t>
      </w:r>
      <w:r w:rsidR="005F3B5A">
        <w:rPr>
          <w:szCs w:val="18"/>
        </w:rPr>
        <w:t xml:space="preserve"> (Invesco Group)</w:t>
      </w:r>
      <w:r w:rsidR="0065535C">
        <w:rPr>
          <w:szCs w:val="18"/>
        </w:rPr>
        <w:t xml:space="preserve">.  </w:t>
      </w:r>
      <w:r w:rsidR="0065535C">
        <w:rPr>
          <w:szCs w:val="18"/>
        </w:rPr>
        <w:t>iHeart</w:t>
      </w:r>
      <w:r w:rsidR="0065535C">
        <w:rPr>
          <w:szCs w:val="18"/>
        </w:rPr>
        <w:t xml:space="preserve"> </w:t>
      </w:r>
      <w:r w:rsidR="00E94D02">
        <w:rPr>
          <w:szCs w:val="18"/>
        </w:rPr>
        <w:t xml:space="preserve">also </w:t>
      </w:r>
      <w:r w:rsidR="0065535C">
        <w:rPr>
          <w:szCs w:val="18"/>
        </w:rPr>
        <w:t xml:space="preserve">seeks authorization for </w:t>
      </w:r>
      <w:r w:rsidR="005F3B5A">
        <w:rPr>
          <w:szCs w:val="18"/>
        </w:rPr>
        <w:t>the Invesco Group</w:t>
      </w:r>
      <w:r w:rsidR="0065535C">
        <w:rPr>
          <w:szCs w:val="18"/>
        </w:rPr>
        <w:t xml:space="preserve"> to hold up to a 19.9</w:t>
      </w:r>
      <w:r w:rsidR="005F30B3">
        <w:rPr>
          <w:szCs w:val="18"/>
        </w:rPr>
        <w:t>9</w:t>
      </w:r>
      <w:r w:rsidR="006915EE">
        <w:rPr>
          <w:szCs w:val="18"/>
        </w:rPr>
        <w:t>%</w:t>
      </w:r>
      <w:r w:rsidR="0065535C">
        <w:rPr>
          <w:szCs w:val="18"/>
        </w:rPr>
        <w:t xml:space="preserve"> voting and equity interest in </w:t>
      </w:r>
      <w:r w:rsidR="0065535C">
        <w:rPr>
          <w:szCs w:val="18"/>
        </w:rPr>
        <w:t>iHeart</w:t>
      </w:r>
      <w:r w:rsidR="0065535C">
        <w:rPr>
          <w:szCs w:val="18"/>
        </w:rPr>
        <w:t>.</w:t>
      </w:r>
      <w:r>
        <w:rPr>
          <w:rStyle w:val="FootnoteReference"/>
          <w:szCs w:val="18"/>
        </w:rPr>
        <w:footnoteReference w:id="20"/>
      </w:r>
      <w:r w:rsidR="0071725A">
        <w:rPr>
          <w:szCs w:val="18"/>
        </w:rPr>
        <w:t xml:space="preserve">  Other non-attributable shareholders hold the remaining interest in </w:t>
      </w:r>
      <w:r w:rsidR="0071725A">
        <w:rPr>
          <w:szCs w:val="18"/>
        </w:rPr>
        <w:t>iHeart</w:t>
      </w:r>
      <w:r w:rsidR="0071725A">
        <w:rPr>
          <w:szCs w:val="18"/>
        </w:rPr>
        <w:t xml:space="preserve">.  </w:t>
      </w:r>
      <w:r w:rsidR="006431F3">
        <w:rPr>
          <w:szCs w:val="18"/>
        </w:rPr>
        <w:t>According to the petition, n</w:t>
      </w:r>
      <w:r w:rsidR="0071725A">
        <w:rPr>
          <w:szCs w:val="18"/>
        </w:rPr>
        <w:t xml:space="preserve">one of those other shareholders require specific approval.  </w:t>
      </w:r>
    </w:p>
    <w:p w:rsidR="0030351B" w:rsidP="00F63BE7" w14:paraId="56D38A2A" w14:textId="77777777">
      <w:pPr>
        <w:ind w:firstLine="720"/>
        <w:rPr>
          <w:szCs w:val="18"/>
        </w:rPr>
      </w:pPr>
    </w:p>
    <w:p w:rsidR="003B7E49" w:rsidP="003B7E49" w14:paraId="0C6858DC" w14:textId="78A7BBA2">
      <w:pPr>
        <w:ind w:firstLine="720"/>
        <w:rPr>
          <w:szCs w:val="18"/>
        </w:rPr>
      </w:pPr>
      <w:r>
        <w:rPr>
          <w:szCs w:val="18"/>
        </w:rPr>
        <w:t>iHeart</w:t>
      </w:r>
      <w:r>
        <w:rPr>
          <w:szCs w:val="18"/>
        </w:rPr>
        <w:t xml:space="preserve"> argues grant of the Petition will serve the public interest by “enabling </w:t>
      </w:r>
      <w:r>
        <w:rPr>
          <w:szCs w:val="18"/>
        </w:rPr>
        <w:t>iHeart</w:t>
      </w:r>
      <w:r>
        <w:rPr>
          <w:szCs w:val="18"/>
        </w:rPr>
        <w:t xml:space="preserve"> to better compete in the already diverse and ever-expanding media marketplace, incentivizing foreign investment in broadcasting, and promoting U.S. trade policy by encouraging reciprocal investment opportunities for U.S. companies in foreign markets, while avoiding any risks to national security, law enforcement, or foreign or trade policy.”</w:t>
      </w:r>
      <w:r>
        <w:rPr>
          <w:rStyle w:val="FootnoteReference"/>
          <w:szCs w:val="18"/>
        </w:rPr>
        <w:footnoteReference w:id="21"/>
      </w:r>
      <w:r>
        <w:rPr>
          <w:szCs w:val="18"/>
        </w:rPr>
        <w:t xml:space="preserve">  </w:t>
      </w:r>
      <w:r w:rsidRPr="002320C2">
        <w:rPr>
          <w:szCs w:val="18"/>
        </w:rPr>
        <w:t>The Petition has been found, on initial review, to be acceptable for filing.</w:t>
      </w:r>
      <w:r>
        <w:rPr>
          <w:szCs w:val="18"/>
        </w:rPr>
        <w:t xml:space="preserve"> </w:t>
      </w:r>
      <w:r w:rsidRPr="002320C2">
        <w:rPr>
          <w:szCs w:val="18"/>
        </w:rPr>
        <w:t xml:space="preserve"> The Commission may require </w:t>
      </w:r>
      <w:r>
        <w:rPr>
          <w:szCs w:val="18"/>
        </w:rPr>
        <w:t>iHeart</w:t>
      </w:r>
      <w:r w:rsidRPr="002320C2">
        <w:rPr>
          <w:szCs w:val="18"/>
        </w:rPr>
        <w:t xml:space="preserve"> to submit any additional documents or statements of fact that in its judgment may be necessary. </w:t>
      </w:r>
      <w:r>
        <w:rPr>
          <w:szCs w:val="18"/>
        </w:rPr>
        <w:t xml:space="preserve"> </w:t>
      </w:r>
      <w:r w:rsidRPr="002320C2">
        <w:rPr>
          <w:szCs w:val="18"/>
        </w:rPr>
        <w:t xml:space="preserve">The Commission also reserves the right to return the Petition if, on further examination, it is determined to be defective and not in conformance with its </w:t>
      </w:r>
      <w:r>
        <w:rPr>
          <w:szCs w:val="18"/>
        </w:rPr>
        <w:t>r</w:t>
      </w:r>
      <w:r w:rsidRPr="002320C2">
        <w:rPr>
          <w:szCs w:val="18"/>
        </w:rPr>
        <w:t>ules and policies.</w:t>
      </w:r>
    </w:p>
    <w:p w:rsidR="003B7E49" w:rsidP="003B7E49" w14:paraId="1A259D1B" w14:textId="77777777">
      <w:pPr>
        <w:rPr>
          <w:szCs w:val="18"/>
        </w:rPr>
      </w:pPr>
    </w:p>
    <w:p w:rsidR="000F45B1" w:rsidP="00C05460" w14:paraId="3008DC97" w14:textId="77777777">
      <w:pPr>
        <w:rPr>
          <w:szCs w:val="18"/>
        </w:rPr>
      </w:pPr>
      <w:r>
        <w:rPr>
          <w:i/>
          <w:iCs/>
          <w:szCs w:val="18"/>
        </w:rPr>
        <w:t>iHeart</w:t>
      </w:r>
      <w:r>
        <w:rPr>
          <w:i/>
          <w:iCs/>
          <w:szCs w:val="18"/>
        </w:rPr>
        <w:t xml:space="preserve"> Licensees</w:t>
      </w:r>
    </w:p>
    <w:p w:rsidR="00C05460" w:rsidP="00C05460" w14:paraId="5F036724" w14:textId="77777777">
      <w:pPr>
        <w:rPr>
          <w:szCs w:val="18"/>
        </w:rPr>
      </w:pPr>
    </w:p>
    <w:p w:rsidR="00AA2E40" w:rsidP="00C05460" w14:paraId="2098CB90" w14:textId="7614117B">
      <w:pPr>
        <w:rPr>
          <w:szCs w:val="18"/>
        </w:rPr>
      </w:pPr>
      <w:r>
        <w:rPr>
          <w:szCs w:val="18"/>
        </w:rPr>
        <w:tab/>
      </w:r>
      <w:r>
        <w:rPr>
          <w:szCs w:val="18"/>
        </w:rPr>
        <w:t>iHeart</w:t>
      </w:r>
      <w:r w:rsidR="00CA6D67">
        <w:rPr>
          <w:szCs w:val="18"/>
        </w:rPr>
        <w:t>, a Delaware corporation, indirectly</w:t>
      </w:r>
      <w:r>
        <w:rPr>
          <w:szCs w:val="18"/>
        </w:rPr>
        <w:t xml:space="preserve"> holds Commission licenses to more than 850 full power radio stations through the following eight </w:t>
      </w:r>
      <w:r w:rsidR="00CA6D67">
        <w:rPr>
          <w:szCs w:val="18"/>
        </w:rPr>
        <w:t>Commission licensees</w:t>
      </w:r>
      <w:r>
        <w:rPr>
          <w:szCs w:val="18"/>
        </w:rPr>
        <w:t xml:space="preserve">: </w:t>
      </w:r>
      <w:r w:rsidR="00292A94">
        <w:rPr>
          <w:szCs w:val="18"/>
        </w:rPr>
        <w:t xml:space="preserve"> </w:t>
      </w:r>
      <w:r>
        <w:rPr>
          <w:szCs w:val="18"/>
        </w:rPr>
        <w:t>(</w:t>
      </w:r>
      <w:r>
        <w:rPr>
          <w:szCs w:val="18"/>
        </w:rPr>
        <w:t>i</w:t>
      </w:r>
      <w:r>
        <w:rPr>
          <w:szCs w:val="18"/>
        </w:rPr>
        <w:t>) AMFM Broadcasting Licenses, LLC</w:t>
      </w:r>
      <w:r w:rsidR="00CA6D67">
        <w:rPr>
          <w:szCs w:val="18"/>
        </w:rPr>
        <w:t xml:space="preserve"> (a Delaware limited liability company)</w:t>
      </w:r>
      <w:r>
        <w:rPr>
          <w:szCs w:val="18"/>
        </w:rPr>
        <w:t>; (ii) AMFM Radio Licenses, LLC</w:t>
      </w:r>
      <w:r w:rsidR="00CA6D67">
        <w:rPr>
          <w:szCs w:val="18"/>
        </w:rPr>
        <w:t xml:space="preserve"> (a Delaware limited liability company)</w:t>
      </w:r>
      <w:r>
        <w:rPr>
          <w:szCs w:val="18"/>
        </w:rPr>
        <w:t>; (iii) AMFM Texas Licenses</w:t>
      </w:r>
      <w:r w:rsidR="00B2491D">
        <w:rPr>
          <w:szCs w:val="18"/>
        </w:rPr>
        <w:t>,</w:t>
      </w:r>
      <w:r>
        <w:rPr>
          <w:szCs w:val="18"/>
        </w:rPr>
        <w:t xml:space="preserve"> LLC</w:t>
      </w:r>
      <w:r w:rsidR="00CA6D67">
        <w:rPr>
          <w:szCs w:val="18"/>
        </w:rPr>
        <w:t xml:space="preserve"> (a Texas limited liability company)</w:t>
      </w:r>
      <w:r>
        <w:rPr>
          <w:szCs w:val="18"/>
        </w:rPr>
        <w:t xml:space="preserve">; (iv) </w:t>
      </w:r>
      <w:r>
        <w:rPr>
          <w:szCs w:val="18"/>
        </w:rPr>
        <w:t>Capstar</w:t>
      </w:r>
      <w:r>
        <w:rPr>
          <w:szCs w:val="18"/>
        </w:rPr>
        <w:t xml:space="preserve"> TX LLC</w:t>
      </w:r>
      <w:r w:rsidR="00CA6D67">
        <w:rPr>
          <w:szCs w:val="18"/>
        </w:rPr>
        <w:t xml:space="preserve"> (a Texas limited liability company)</w:t>
      </w:r>
      <w:r>
        <w:rPr>
          <w:szCs w:val="18"/>
        </w:rPr>
        <w:t>; (v) CC Licenses, LLC</w:t>
      </w:r>
      <w:r w:rsidR="00CA6D67">
        <w:rPr>
          <w:szCs w:val="18"/>
        </w:rPr>
        <w:t xml:space="preserve"> (a Delaware limited liability company)</w:t>
      </w:r>
      <w:r w:rsidR="00B2491D">
        <w:rPr>
          <w:szCs w:val="18"/>
        </w:rPr>
        <w:t xml:space="preserve">; (vi) </w:t>
      </w:r>
      <w:r w:rsidR="00B2491D">
        <w:rPr>
          <w:szCs w:val="18"/>
        </w:rPr>
        <w:t>Citicasters</w:t>
      </w:r>
      <w:r w:rsidR="00B2491D">
        <w:rPr>
          <w:szCs w:val="18"/>
        </w:rPr>
        <w:t xml:space="preserve"> Licenses, Inc.</w:t>
      </w:r>
      <w:r w:rsidR="00CA6D67">
        <w:rPr>
          <w:szCs w:val="18"/>
        </w:rPr>
        <w:t xml:space="preserve"> (a Texas corporation)</w:t>
      </w:r>
      <w:r w:rsidR="00B2491D">
        <w:rPr>
          <w:szCs w:val="18"/>
        </w:rPr>
        <w:t>; (vii) Clear Channel Broadcasting Licenses, Inc.</w:t>
      </w:r>
      <w:r w:rsidR="00CA6D67">
        <w:rPr>
          <w:szCs w:val="18"/>
        </w:rPr>
        <w:t xml:space="preserve"> (a Nevada corporation)</w:t>
      </w:r>
      <w:r w:rsidR="00B2491D">
        <w:rPr>
          <w:szCs w:val="18"/>
        </w:rPr>
        <w:t>; and (viii) Los Angeles Broadcasting Partners, LLC</w:t>
      </w:r>
      <w:r w:rsidR="00CA6D67">
        <w:rPr>
          <w:szCs w:val="18"/>
        </w:rPr>
        <w:t xml:space="preserve"> (a Delaware limited liability company)</w:t>
      </w:r>
      <w:r w:rsidR="00B2491D">
        <w:rPr>
          <w:szCs w:val="18"/>
        </w:rPr>
        <w:t xml:space="preserve">.  </w:t>
      </w:r>
      <w:r>
        <w:rPr>
          <w:szCs w:val="18"/>
        </w:rPr>
        <w:t>iHeart</w:t>
      </w:r>
      <w:r>
        <w:rPr>
          <w:szCs w:val="18"/>
        </w:rPr>
        <w:t xml:space="preserve"> holds an indirect 51</w:t>
      </w:r>
      <w:r w:rsidR="006915EE">
        <w:rPr>
          <w:szCs w:val="18"/>
        </w:rPr>
        <w:t>%</w:t>
      </w:r>
      <w:r>
        <w:rPr>
          <w:szCs w:val="18"/>
        </w:rPr>
        <w:t xml:space="preserve"> interest in</w:t>
      </w:r>
      <w:r w:rsidR="00667440">
        <w:rPr>
          <w:szCs w:val="18"/>
        </w:rPr>
        <w:t xml:space="preserve"> Los Angeles Broadcasting Partners, LLC</w:t>
      </w:r>
      <w:r w:rsidR="00E94D02">
        <w:rPr>
          <w:szCs w:val="18"/>
        </w:rPr>
        <w:t>,</w:t>
      </w:r>
      <w:r>
        <w:rPr>
          <w:szCs w:val="18"/>
        </w:rPr>
        <w:t xml:space="preserve"> through a series of intermediary entities.</w:t>
      </w:r>
      <w:r>
        <w:rPr>
          <w:rStyle w:val="FootnoteReference"/>
          <w:szCs w:val="18"/>
        </w:rPr>
        <w:footnoteReference w:id="22"/>
      </w:r>
      <w:r>
        <w:rPr>
          <w:szCs w:val="18"/>
        </w:rPr>
        <w:t xml:space="preserve">  </w:t>
      </w:r>
      <w:r w:rsidR="00667440">
        <w:rPr>
          <w:szCs w:val="18"/>
        </w:rPr>
        <w:t>iHeart</w:t>
      </w:r>
      <w:r w:rsidR="00667440">
        <w:rPr>
          <w:szCs w:val="18"/>
        </w:rPr>
        <w:t xml:space="preserve"> holds</w:t>
      </w:r>
      <w:r w:rsidR="00B2491D">
        <w:rPr>
          <w:szCs w:val="18"/>
        </w:rPr>
        <w:t xml:space="preserve"> </w:t>
      </w:r>
      <w:r w:rsidR="00667440">
        <w:rPr>
          <w:szCs w:val="18"/>
        </w:rPr>
        <w:t>an</w:t>
      </w:r>
      <w:r w:rsidR="00B2491D">
        <w:rPr>
          <w:szCs w:val="18"/>
        </w:rPr>
        <w:t xml:space="preserve"> indirect </w:t>
      </w:r>
      <w:r w:rsidR="00667440">
        <w:rPr>
          <w:szCs w:val="18"/>
        </w:rPr>
        <w:t>100</w:t>
      </w:r>
      <w:r w:rsidR="006915EE">
        <w:rPr>
          <w:szCs w:val="18"/>
        </w:rPr>
        <w:t>%</w:t>
      </w:r>
      <w:r w:rsidR="00667440">
        <w:rPr>
          <w:szCs w:val="18"/>
        </w:rPr>
        <w:t xml:space="preserve"> interest in each of the</w:t>
      </w:r>
      <w:r>
        <w:rPr>
          <w:szCs w:val="18"/>
        </w:rPr>
        <w:t xml:space="preserve"> other seven</w:t>
      </w:r>
      <w:r w:rsidR="00667440">
        <w:rPr>
          <w:szCs w:val="18"/>
        </w:rPr>
        <w:t xml:space="preserve"> licensees </w:t>
      </w:r>
      <w:r w:rsidR="00B2491D">
        <w:rPr>
          <w:szCs w:val="18"/>
        </w:rPr>
        <w:t xml:space="preserve">through a series of intermediary </w:t>
      </w:r>
      <w:r>
        <w:rPr>
          <w:szCs w:val="18"/>
        </w:rPr>
        <w:t>entities</w:t>
      </w:r>
      <w:r w:rsidR="00B2491D">
        <w:rPr>
          <w:szCs w:val="18"/>
        </w:rPr>
        <w:t>.</w:t>
      </w:r>
      <w:r>
        <w:rPr>
          <w:szCs w:val="18"/>
        </w:rPr>
        <w:t xml:space="preserve">  In the case of all eight licensees, the intermediary corporations, partnerships</w:t>
      </w:r>
      <w:r w:rsidR="008E4FF4">
        <w:rPr>
          <w:szCs w:val="18"/>
        </w:rPr>
        <w:t>,</w:t>
      </w:r>
      <w:r>
        <w:rPr>
          <w:szCs w:val="18"/>
        </w:rPr>
        <w:t xml:space="preserve"> and limited liability companies are all U.S. entities.</w:t>
      </w:r>
      <w:r>
        <w:rPr>
          <w:rStyle w:val="FootnoteReference"/>
          <w:szCs w:val="18"/>
        </w:rPr>
        <w:footnoteReference w:id="23"/>
      </w:r>
    </w:p>
    <w:p w:rsidR="00AA2E40" w:rsidP="00C05460" w14:paraId="20C613FA" w14:textId="77777777">
      <w:pPr>
        <w:rPr>
          <w:szCs w:val="18"/>
        </w:rPr>
      </w:pPr>
    </w:p>
    <w:p w:rsidR="00E33057" w:rsidP="00C05460" w14:paraId="69F92E4B" w14:textId="77777777">
      <w:pPr>
        <w:rPr>
          <w:szCs w:val="18"/>
        </w:rPr>
      </w:pPr>
      <w:r>
        <w:rPr>
          <w:i/>
          <w:iCs/>
          <w:szCs w:val="18"/>
        </w:rPr>
        <w:t>PIMCO Group</w:t>
      </w:r>
    </w:p>
    <w:p w:rsidR="00E33057" w:rsidP="00C05460" w14:paraId="1771D03C" w14:textId="77777777">
      <w:pPr>
        <w:rPr>
          <w:szCs w:val="18"/>
        </w:rPr>
      </w:pPr>
    </w:p>
    <w:p w:rsidR="00AE1EDE" w:rsidP="00C05460" w14:paraId="044E513C" w14:textId="39F1B682">
      <w:pPr>
        <w:rPr>
          <w:szCs w:val="18"/>
        </w:rPr>
      </w:pPr>
      <w:r>
        <w:rPr>
          <w:szCs w:val="18"/>
        </w:rPr>
        <w:tab/>
      </w:r>
      <w:r w:rsidR="00603115">
        <w:rPr>
          <w:szCs w:val="18"/>
        </w:rPr>
        <w:t>As proposed in the Petition, t</w:t>
      </w:r>
      <w:r w:rsidR="00AA2E40">
        <w:rPr>
          <w:szCs w:val="18"/>
        </w:rPr>
        <w:t xml:space="preserve">he PIMCO </w:t>
      </w:r>
      <w:r>
        <w:rPr>
          <w:szCs w:val="18"/>
        </w:rPr>
        <w:t>G</w:t>
      </w:r>
      <w:r w:rsidR="00AA2E40">
        <w:rPr>
          <w:szCs w:val="18"/>
        </w:rPr>
        <w:t xml:space="preserve">roup will </w:t>
      </w:r>
      <w:r w:rsidR="006431F3">
        <w:rPr>
          <w:szCs w:val="18"/>
        </w:rPr>
        <w:t>hold up to</w:t>
      </w:r>
      <w:r w:rsidR="00AA2E40">
        <w:rPr>
          <w:szCs w:val="18"/>
        </w:rPr>
        <w:t xml:space="preserve"> 19.99</w:t>
      </w:r>
      <w:r w:rsidR="006915EE">
        <w:rPr>
          <w:szCs w:val="18"/>
        </w:rPr>
        <w:t>%</w:t>
      </w:r>
      <w:r w:rsidR="00AA2E40">
        <w:rPr>
          <w:szCs w:val="18"/>
        </w:rPr>
        <w:t xml:space="preserve"> of the voting interest and 32.99</w:t>
      </w:r>
      <w:r w:rsidR="006915EE">
        <w:rPr>
          <w:szCs w:val="18"/>
        </w:rPr>
        <w:t>%</w:t>
      </w:r>
      <w:r w:rsidR="00AA2E40">
        <w:rPr>
          <w:szCs w:val="18"/>
        </w:rPr>
        <w:t xml:space="preserve"> of the equity interest in </w:t>
      </w:r>
      <w:r w:rsidR="00AA2E40">
        <w:rPr>
          <w:szCs w:val="18"/>
        </w:rPr>
        <w:t>iHeart</w:t>
      </w:r>
      <w:r w:rsidR="00AA2E40">
        <w:rPr>
          <w:szCs w:val="18"/>
        </w:rPr>
        <w:t xml:space="preserve">.  </w:t>
      </w:r>
      <w:r w:rsidR="00BD18B6">
        <w:rPr>
          <w:szCs w:val="18"/>
        </w:rPr>
        <w:t>A</w:t>
      </w:r>
      <w:r>
        <w:rPr>
          <w:szCs w:val="18"/>
        </w:rPr>
        <w:t xml:space="preserve"> series of PIMCO funds, including PIMCO Global Investors Series plc, Income Fund (PIMCO Global)</w:t>
      </w:r>
      <w:r w:rsidR="00BD18B6">
        <w:rPr>
          <w:szCs w:val="18"/>
        </w:rPr>
        <w:t xml:space="preserve">, will </w:t>
      </w:r>
      <w:r w:rsidR="006431F3">
        <w:rPr>
          <w:szCs w:val="18"/>
        </w:rPr>
        <w:t>hold</w:t>
      </w:r>
      <w:r w:rsidR="00BD18B6">
        <w:rPr>
          <w:szCs w:val="18"/>
        </w:rPr>
        <w:t xml:space="preserve"> the PIMCO Group interest in </w:t>
      </w:r>
      <w:r w:rsidR="00BD18B6">
        <w:rPr>
          <w:szCs w:val="18"/>
        </w:rPr>
        <w:t>iHeart</w:t>
      </w:r>
      <w:r>
        <w:rPr>
          <w:szCs w:val="18"/>
        </w:rPr>
        <w:t xml:space="preserve">.  </w:t>
      </w:r>
      <w:r w:rsidR="0050762D">
        <w:rPr>
          <w:szCs w:val="18"/>
        </w:rPr>
        <w:t xml:space="preserve">PIMCO Global and the </w:t>
      </w:r>
      <w:r w:rsidR="0050762D">
        <w:rPr>
          <w:szCs w:val="18"/>
        </w:rPr>
        <w:t xml:space="preserve">other PIMCO funds will own stock in </w:t>
      </w:r>
      <w:r w:rsidR="0050762D">
        <w:rPr>
          <w:szCs w:val="18"/>
        </w:rPr>
        <w:t>iHeart</w:t>
      </w:r>
      <w:r w:rsidR="0050762D">
        <w:rPr>
          <w:szCs w:val="18"/>
        </w:rPr>
        <w:t xml:space="preserve"> on behalf of individual investors in those funds.  PIMCO LLC is the investment advisor for and will control the voting in </w:t>
      </w:r>
      <w:r w:rsidR="0050762D">
        <w:rPr>
          <w:szCs w:val="18"/>
        </w:rPr>
        <w:t>iHeart</w:t>
      </w:r>
      <w:r w:rsidR="0050762D">
        <w:rPr>
          <w:szCs w:val="18"/>
        </w:rPr>
        <w:t xml:space="preserve"> for PIMCO Global and the other PIMCO funds.</w:t>
      </w:r>
    </w:p>
    <w:p w:rsidR="0050762D" w:rsidP="00C05460" w14:paraId="4B8F308E" w14:textId="77777777">
      <w:pPr>
        <w:rPr>
          <w:szCs w:val="18"/>
        </w:rPr>
      </w:pPr>
    </w:p>
    <w:p w:rsidR="00E33057" w:rsidP="0050762D" w14:paraId="4F46958C" w14:textId="7B64A972">
      <w:pPr>
        <w:ind w:firstLine="720"/>
        <w:rPr>
          <w:szCs w:val="18"/>
        </w:rPr>
      </w:pPr>
      <w:r>
        <w:rPr>
          <w:szCs w:val="18"/>
        </w:rPr>
        <w:t>iHeart</w:t>
      </w:r>
      <w:r>
        <w:rPr>
          <w:szCs w:val="18"/>
        </w:rPr>
        <w:t xml:space="preserve"> seeks specific approval for </w:t>
      </w:r>
      <w:r w:rsidR="0050762D">
        <w:rPr>
          <w:szCs w:val="18"/>
        </w:rPr>
        <w:t>both PIMCO Global and the other PIMCO funds</w:t>
      </w:r>
      <w:r w:rsidR="006431F3">
        <w:rPr>
          <w:szCs w:val="18"/>
        </w:rPr>
        <w:t xml:space="preserve"> to hold 19.99% of the voting interest and 32.99% of the equity interest in </w:t>
      </w:r>
      <w:r w:rsidR="006431F3">
        <w:rPr>
          <w:szCs w:val="18"/>
        </w:rPr>
        <w:t>iHeart</w:t>
      </w:r>
      <w:r w:rsidR="0050762D">
        <w:rPr>
          <w:szCs w:val="18"/>
        </w:rPr>
        <w:t xml:space="preserve">.  Although PIMCO Global is the only fund that owns a large enough interest in </w:t>
      </w:r>
      <w:r w:rsidR="0050762D">
        <w:rPr>
          <w:szCs w:val="18"/>
        </w:rPr>
        <w:t>iHeart</w:t>
      </w:r>
      <w:r w:rsidR="0050762D">
        <w:rPr>
          <w:szCs w:val="18"/>
        </w:rPr>
        <w:t xml:space="preserve"> to require specific approval, </w:t>
      </w:r>
      <w:r w:rsidR="0050762D">
        <w:rPr>
          <w:szCs w:val="18"/>
        </w:rPr>
        <w:t>iHeart</w:t>
      </w:r>
      <w:r w:rsidR="0050762D">
        <w:rPr>
          <w:szCs w:val="18"/>
        </w:rPr>
        <w:t xml:space="preserve"> seeks specific approval for the other PIMCO funds in the agg</w:t>
      </w:r>
      <w:r w:rsidR="00836516">
        <w:rPr>
          <w:szCs w:val="18"/>
        </w:rPr>
        <w:t xml:space="preserve">regate because collectively they will exceed the threshold for specific approval.  </w:t>
      </w:r>
      <w:r w:rsidR="00836516">
        <w:rPr>
          <w:szCs w:val="18"/>
        </w:rPr>
        <w:t>iHeart</w:t>
      </w:r>
      <w:r w:rsidR="00836516">
        <w:rPr>
          <w:szCs w:val="18"/>
        </w:rPr>
        <w:t xml:space="preserve"> also seeks specific approval for </w:t>
      </w:r>
      <w:r w:rsidR="00091334">
        <w:rPr>
          <w:szCs w:val="18"/>
        </w:rPr>
        <w:t xml:space="preserve">the 19.99% voting interests that would be deemed held, under the rules, by </w:t>
      </w:r>
      <w:r w:rsidR="00836516">
        <w:rPr>
          <w:szCs w:val="18"/>
        </w:rPr>
        <w:t xml:space="preserve">four additional </w:t>
      </w:r>
      <w:r w:rsidR="00091334">
        <w:rPr>
          <w:szCs w:val="18"/>
        </w:rPr>
        <w:t xml:space="preserve">foreign-organized </w:t>
      </w:r>
      <w:r w:rsidR="00836516">
        <w:rPr>
          <w:szCs w:val="18"/>
        </w:rPr>
        <w:t xml:space="preserve">entities </w:t>
      </w:r>
      <w:r w:rsidR="00091334">
        <w:rPr>
          <w:szCs w:val="18"/>
        </w:rPr>
        <w:t>in</w:t>
      </w:r>
      <w:r w:rsidR="00836516">
        <w:rPr>
          <w:szCs w:val="18"/>
        </w:rPr>
        <w:t xml:space="preserve"> PIMCO LLC</w:t>
      </w:r>
      <w:r w:rsidR="00091334">
        <w:rPr>
          <w:szCs w:val="18"/>
        </w:rPr>
        <w:t>’s vertical chain of control</w:t>
      </w:r>
      <w:r>
        <w:rPr>
          <w:szCs w:val="18"/>
        </w:rPr>
        <w:t>:</w:t>
      </w:r>
      <w:r w:rsidR="008E4FF4">
        <w:rPr>
          <w:szCs w:val="18"/>
        </w:rPr>
        <w:t xml:space="preserve"> </w:t>
      </w:r>
      <w:r>
        <w:rPr>
          <w:szCs w:val="18"/>
        </w:rPr>
        <w:t xml:space="preserve"> (</w:t>
      </w:r>
      <w:r>
        <w:rPr>
          <w:szCs w:val="18"/>
        </w:rPr>
        <w:t>i</w:t>
      </w:r>
      <w:r>
        <w:rPr>
          <w:szCs w:val="18"/>
        </w:rPr>
        <w:t xml:space="preserve">) Allianz; (ii) Allianz Asset Management GmbH; (iii) Allianz Europe B.V.; </w:t>
      </w:r>
      <w:r w:rsidR="00836516">
        <w:rPr>
          <w:szCs w:val="18"/>
        </w:rPr>
        <w:t xml:space="preserve">and </w:t>
      </w:r>
      <w:r>
        <w:rPr>
          <w:szCs w:val="18"/>
        </w:rPr>
        <w:t xml:space="preserve">(iv) Allianz </w:t>
      </w:r>
      <w:r>
        <w:rPr>
          <w:szCs w:val="18"/>
        </w:rPr>
        <w:t>Finanzbeteiligungs</w:t>
      </w:r>
      <w:r>
        <w:rPr>
          <w:szCs w:val="18"/>
        </w:rPr>
        <w:t xml:space="preserve"> GmbH</w:t>
      </w:r>
      <w:r w:rsidR="00836516">
        <w:rPr>
          <w:szCs w:val="18"/>
        </w:rPr>
        <w:t>.</w:t>
      </w:r>
    </w:p>
    <w:p w:rsidR="00836516" w:rsidP="0050762D" w14:paraId="61E3ED28" w14:textId="77777777">
      <w:pPr>
        <w:ind w:firstLine="720"/>
        <w:rPr>
          <w:szCs w:val="18"/>
        </w:rPr>
      </w:pPr>
    </w:p>
    <w:p w:rsidR="00836516" w:rsidP="0050762D" w14:paraId="000DF472" w14:textId="5FC5632A">
      <w:pPr>
        <w:ind w:firstLine="720"/>
        <w:rPr>
          <w:szCs w:val="18"/>
        </w:rPr>
      </w:pPr>
      <w:r>
        <w:rPr>
          <w:szCs w:val="18"/>
        </w:rPr>
        <w:t xml:space="preserve">PIMCO Global is an Irish private limited company.  </w:t>
      </w:r>
      <w:r w:rsidR="0080243F">
        <w:rPr>
          <w:szCs w:val="18"/>
        </w:rPr>
        <w:t xml:space="preserve">PIMCO LLC, as investment advisor, controls </w:t>
      </w:r>
      <w:r>
        <w:rPr>
          <w:szCs w:val="18"/>
        </w:rPr>
        <w:t>PIMCO Global and the other PIMCO funds</w:t>
      </w:r>
      <w:r w:rsidR="0080243F">
        <w:rPr>
          <w:szCs w:val="18"/>
        </w:rPr>
        <w:t xml:space="preserve">.  </w:t>
      </w:r>
      <w:r w:rsidR="00BA3420">
        <w:rPr>
          <w:szCs w:val="18"/>
        </w:rPr>
        <w:t xml:space="preserve">There are four entities and a number of current and former employees of PIMCO LLC that own membership interests in PIMCO LLC: </w:t>
      </w:r>
      <w:r w:rsidR="008E4FF4">
        <w:rPr>
          <w:szCs w:val="18"/>
        </w:rPr>
        <w:t xml:space="preserve"> </w:t>
      </w:r>
      <w:r w:rsidR="00BA3420">
        <w:rPr>
          <w:szCs w:val="18"/>
        </w:rPr>
        <w:t>(</w:t>
      </w:r>
      <w:r w:rsidR="00BA3420">
        <w:rPr>
          <w:szCs w:val="18"/>
        </w:rPr>
        <w:t>i</w:t>
      </w:r>
      <w:r w:rsidR="00BA3420">
        <w:rPr>
          <w:szCs w:val="18"/>
        </w:rPr>
        <w:t>) Allianz Asset Management US Holding II LLC (AAM US), a Delaware limited liability company, holds a 2.5</w:t>
      </w:r>
      <w:r w:rsidR="006915EE">
        <w:rPr>
          <w:szCs w:val="18"/>
        </w:rPr>
        <w:t>%</w:t>
      </w:r>
      <w:r w:rsidR="00BA3420">
        <w:rPr>
          <w:szCs w:val="18"/>
        </w:rPr>
        <w:t xml:space="preserve"> non-voting equity interest; (ii) Allianz Asset Management of America LLC (AAM</w:t>
      </w:r>
      <w:r w:rsidR="004E1B5F">
        <w:rPr>
          <w:szCs w:val="18"/>
        </w:rPr>
        <w:t xml:space="preserve"> LLC)</w:t>
      </w:r>
      <w:r w:rsidR="00BA3420">
        <w:rPr>
          <w:szCs w:val="18"/>
        </w:rPr>
        <w:t>, a Delaware limited liability company, holds an 11.9</w:t>
      </w:r>
      <w:r w:rsidR="006915EE">
        <w:rPr>
          <w:szCs w:val="18"/>
        </w:rPr>
        <w:t>%</w:t>
      </w:r>
      <w:r w:rsidR="00BA3420">
        <w:rPr>
          <w:szCs w:val="18"/>
        </w:rPr>
        <w:t xml:space="preserve"> non-voting equity interest; (iii) Allianz Asset Management of America L.P.</w:t>
      </w:r>
      <w:r w:rsidR="004E1B5F">
        <w:rPr>
          <w:szCs w:val="18"/>
        </w:rPr>
        <w:t xml:space="preserve"> (AAM LP)</w:t>
      </w:r>
      <w:r w:rsidR="00BA3420">
        <w:rPr>
          <w:szCs w:val="18"/>
        </w:rPr>
        <w:t>, a Delaware limited partnership</w:t>
      </w:r>
      <w:r w:rsidR="00163B81">
        <w:rPr>
          <w:szCs w:val="18"/>
        </w:rPr>
        <w:t>,</w:t>
      </w:r>
      <w:r w:rsidR="00BA3420">
        <w:rPr>
          <w:szCs w:val="18"/>
        </w:rPr>
        <w:t xml:space="preserve"> holds an 81</w:t>
      </w:r>
      <w:r w:rsidR="006915EE">
        <w:rPr>
          <w:szCs w:val="18"/>
        </w:rPr>
        <w:t>%</w:t>
      </w:r>
      <w:r w:rsidR="00BA3420">
        <w:rPr>
          <w:szCs w:val="18"/>
        </w:rPr>
        <w:t xml:space="preserve"> equity interest and a 100</w:t>
      </w:r>
      <w:r w:rsidR="006915EE">
        <w:rPr>
          <w:szCs w:val="18"/>
        </w:rPr>
        <w:t>%</w:t>
      </w:r>
      <w:r w:rsidR="00BA3420">
        <w:rPr>
          <w:szCs w:val="18"/>
        </w:rPr>
        <w:t xml:space="preserve"> voting interest; (iv) Newport Trust Company, a Delaware corporation</w:t>
      </w:r>
      <w:r w:rsidR="00163B81">
        <w:rPr>
          <w:szCs w:val="18"/>
        </w:rPr>
        <w:t>,</w:t>
      </w:r>
      <w:r w:rsidR="00BA3420">
        <w:rPr>
          <w:szCs w:val="18"/>
        </w:rPr>
        <w:t xml:space="preserve"> holds a 2.1</w:t>
      </w:r>
      <w:r w:rsidR="006915EE">
        <w:rPr>
          <w:szCs w:val="18"/>
        </w:rPr>
        <w:t>%</w:t>
      </w:r>
      <w:r w:rsidR="00BA3420">
        <w:rPr>
          <w:szCs w:val="18"/>
        </w:rPr>
        <w:t xml:space="preserve"> non-voting equity interest</w:t>
      </w:r>
      <w:r w:rsidR="00163B81">
        <w:rPr>
          <w:szCs w:val="18"/>
        </w:rPr>
        <w:t>;</w:t>
      </w:r>
      <w:r w:rsidR="00BA3420">
        <w:rPr>
          <w:szCs w:val="18"/>
        </w:rPr>
        <w:t xml:space="preserve"> and (v) current and former employees hold a 2.5</w:t>
      </w:r>
      <w:r w:rsidR="006915EE">
        <w:rPr>
          <w:szCs w:val="18"/>
        </w:rPr>
        <w:t>%</w:t>
      </w:r>
      <w:r w:rsidR="00BA3420">
        <w:rPr>
          <w:szCs w:val="18"/>
        </w:rPr>
        <w:t xml:space="preserve"> non-voting equity interest.</w:t>
      </w:r>
      <w:r>
        <w:rPr>
          <w:rStyle w:val="FootnoteReference"/>
          <w:szCs w:val="18"/>
        </w:rPr>
        <w:footnoteReference w:id="24"/>
      </w:r>
    </w:p>
    <w:p w:rsidR="0071725A" w:rsidP="00C05460" w14:paraId="326775E2" w14:textId="77777777">
      <w:pPr>
        <w:rPr>
          <w:szCs w:val="18"/>
        </w:rPr>
      </w:pPr>
    </w:p>
    <w:p w:rsidR="008518B9" w:rsidP="00C05460" w14:paraId="462228FB" w14:textId="586E29E2">
      <w:pPr>
        <w:rPr>
          <w:szCs w:val="18"/>
        </w:rPr>
      </w:pPr>
      <w:r>
        <w:rPr>
          <w:szCs w:val="18"/>
        </w:rPr>
        <w:tab/>
        <w:t>Allianz Asset Management GmbH (AAM GmbH), a German limited liability company, owns a 100</w:t>
      </w:r>
      <w:r w:rsidR="006915EE">
        <w:rPr>
          <w:szCs w:val="18"/>
        </w:rPr>
        <w:t>%</w:t>
      </w:r>
      <w:r>
        <w:rPr>
          <w:szCs w:val="18"/>
        </w:rPr>
        <w:t xml:space="preserve"> direct interest in AAM US.  AAM GmbH along with Allianz Europe B.V. (AEBV), a Netherlands non-public limited liability company, indirectly own AAM LLC and AAM LP.  Allianz </w:t>
      </w:r>
      <w:r>
        <w:rPr>
          <w:szCs w:val="18"/>
        </w:rPr>
        <w:t>Finanzbeteiligungs</w:t>
      </w:r>
      <w:r>
        <w:rPr>
          <w:szCs w:val="18"/>
        </w:rPr>
        <w:t xml:space="preserve"> GmbH (AF GmbH), a German limited liability company, owns 25.53</w:t>
      </w:r>
      <w:r w:rsidR="006915EE">
        <w:rPr>
          <w:szCs w:val="18"/>
        </w:rPr>
        <w:t>%</w:t>
      </w:r>
      <w:r>
        <w:rPr>
          <w:szCs w:val="18"/>
        </w:rPr>
        <w:t xml:space="preserve"> of AAM GmbH.  Allianz, a European public company organized in Germany, </w:t>
      </w:r>
      <w:r w:rsidR="00C16095">
        <w:rPr>
          <w:szCs w:val="18"/>
        </w:rPr>
        <w:t>owns the remaining 74.47</w:t>
      </w:r>
      <w:r w:rsidR="006915EE">
        <w:rPr>
          <w:szCs w:val="18"/>
        </w:rPr>
        <w:t>%</w:t>
      </w:r>
      <w:r w:rsidR="00C16095">
        <w:rPr>
          <w:szCs w:val="18"/>
        </w:rPr>
        <w:t xml:space="preserve"> of AAM GmbH as well as 100</w:t>
      </w:r>
      <w:r w:rsidR="006915EE">
        <w:rPr>
          <w:szCs w:val="18"/>
        </w:rPr>
        <w:t>%</w:t>
      </w:r>
      <w:r w:rsidR="00C16095">
        <w:rPr>
          <w:szCs w:val="18"/>
        </w:rPr>
        <w:t xml:space="preserve"> of AF GmbH and 100</w:t>
      </w:r>
      <w:r w:rsidR="00F615B8">
        <w:rPr>
          <w:szCs w:val="18"/>
        </w:rPr>
        <w:t>%</w:t>
      </w:r>
      <w:r w:rsidR="00C16095">
        <w:rPr>
          <w:szCs w:val="18"/>
        </w:rPr>
        <w:t xml:space="preserve"> of AEBV.</w:t>
      </w:r>
      <w:r>
        <w:rPr>
          <w:rStyle w:val="FootnoteReference"/>
          <w:szCs w:val="18"/>
        </w:rPr>
        <w:footnoteReference w:id="25"/>
      </w:r>
      <w:r w:rsidR="00163B81">
        <w:rPr>
          <w:szCs w:val="18"/>
        </w:rPr>
        <w:t xml:space="preserve">  The Supplement contains detailed information about the attributable interests in the PIMCO Group entities.</w:t>
      </w:r>
      <w:r>
        <w:rPr>
          <w:rStyle w:val="FootnoteReference"/>
          <w:szCs w:val="18"/>
        </w:rPr>
        <w:footnoteReference w:id="26"/>
      </w:r>
    </w:p>
    <w:p w:rsidR="009E09BE" w:rsidP="00C05460" w14:paraId="1D013CDA" w14:textId="20AB7B6A">
      <w:pPr>
        <w:rPr>
          <w:szCs w:val="18"/>
        </w:rPr>
      </w:pPr>
      <w:r>
        <w:rPr>
          <w:szCs w:val="18"/>
        </w:rPr>
        <w:tab/>
      </w:r>
    </w:p>
    <w:p w:rsidR="00603115" w:rsidRPr="00603115" w:rsidP="00603115" w14:paraId="53882D38" w14:textId="77777777">
      <w:pPr>
        <w:rPr>
          <w:szCs w:val="18"/>
        </w:rPr>
      </w:pPr>
      <w:r w:rsidRPr="00603115">
        <w:rPr>
          <w:i/>
          <w:iCs/>
          <w:szCs w:val="18"/>
        </w:rPr>
        <w:t>Invesco Group</w:t>
      </w:r>
    </w:p>
    <w:p w:rsidR="00603115" w:rsidRPr="00603115" w:rsidP="00603115" w14:paraId="2A3B95C3" w14:textId="77777777">
      <w:pPr>
        <w:rPr>
          <w:szCs w:val="18"/>
        </w:rPr>
      </w:pPr>
    </w:p>
    <w:p w:rsidR="00603115" w:rsidP="00603115" w14:paraId="4AED1A34" w14:textId="2394499A">
      <w:pPr>
        <w:rPr>
          <w:szCs w:val="18"/>
        </w:rPr>
      </w:pPr>
      <w:r w:rsidRPr="00603115">
        <w:rPr>
          <w:szCs w:val="18"/>
        </w:rPr>
        <w:tab/>
        <w:t xml:space="preserve">As proposed in the Petition, the Invesco </w:t>
      </w:r>
      <w:r w:rsidR="005F3B5A">
        <w:rPr>
          <w:szCs w:val="18"/>
        </w:rPr>
        <w:t>G</w:t>
      </w:r>
      <w:r w:rsidRPr="00603115">
        <w:rPr>
          <w:szCs w:val="18"/>
        </w:rPr>
        <w:t>roup will own 19.99</w:t>
      </w:r>
      <w:r w:rsidR="006915EE">
        <w:rPr>
          <w:szCs w:val="18"/>
        </w:rPr>
        <w:t>%</w:t>
      </w:r>
      <w:r w:rsidRPr="00603115">
        <w:rPr>
          <w:szCs w:val="18"/>
        </w:rPr>
        <w:t xml:space="preserve"> of the voting and equity interest in </w:t>
      </w:r>
      <w:r w:rsidRPr="00603115">
        <w:rPr>
          <w:szCs w:val="18"/>
        </w:rPr>
        <w:t>iHeart</w:t>
      </w:r>
      <w:r w:rsidRPr="00603115">
        <w:rPr>
          <w:szCs w:val="18"/>
        </w:rPr>
        <w:t xml:space="preserve">.  The Invesco </w:t>
      </w:r>
      <w:r w:rsidR="005F3B5A">
        <w:rPr>
          <w:szCs w:val="18"/>
        </w:rPr>
        <w:t xml:space="preserve">Group </w:t>
      </w:r>
      <w:r w:rsidRPr="00603115">
        <w:rPr>
          <w:szCs w:val="18"/>
        </w:rPr>
        <w:t xml:space="preserve">interest in </w:t>
      </w:r>
      <w:r w:rsidRPr="00603115">
        <w:rPr>
          <w:szCs w:val="18"/>
        </w:rPr>
        <w:t>iHeart</w:t>
      </w:r>
      <w:r w:rsidRPr="00603115">
        <w:rPr>
          <w:szCs w:val="18"/>
        </w:rPr>
        <w:t xml:space="preserve"> is owned by a series of Invesco funds (the Invesco Funds) and a separate set of Oppenheimer funds (the Oppenheimer Funds).</w:t>
      </w:r>
      <w:r>
        <w:rPr>
          <w:rStyle w:val="FootnoteReference"/>
          <w:szCs w:val="18"/>
        </w:rPr>
        <w:footnoteReference w:id="27"/>
      </w:r>
      <w:r w:rsidR="005F3B5A">
        <w:rPr>
          <w:szCs w:val="18"/>
        </w:rPr>
        <w:t xml:space="preserve">  The various funds </w:t>
      </w:r>
      <w:r w:rsidR="0050762D">
        <w:rPr>
          <w:szCs w:val="18"/>
        </w:rPr>
        <w:t xml:space="preserve">will </w:t>
      </w:r>
      <w:r w:rsidR="005F3B5A">
        <w:rPr>
          <w:szCs w:val="18"/>
        </w:rPr>
        <w:t xml:space="preserve">hold stock in </w:t>
      </w:r>
      <w:r w:rsidR="005F3B5A">
        <w:rPr>
          <w:szCs w:val="18"/>
        </w:rPr>
        <w:t>iHeart</w:t>
      </w:r>
      <w:r w:rsidR="005F3B5A">
        <w:rPr>
          <w:szCs w:val="18"/>
        </w:rPr>
        <w:t xml:space="preserve"> on behalf of individual investors in the funds.  The fund investment advisor controls the </w:t>
      </w:r>
      <w:r w:rsidR="00770182">
        <w:rPr>
          <w:szCs w:val="18"/>
        </w:rPr>
        <w:t>voting</w:t>
      </w:r>
      <w:r w:rsidR="005F3B5A">
        <w:rPr>
          <w:szCs w:val="18"/>
        </w:rPr>
        <w:t xml:space="preserve"> in </w:t>
      </w:r>
      <w:r w:rsidR="005F3B5A">
        <w:rPr>
          <w:szCs w:val="18"/>
        </w:rPr>
        <w:t>iHeart</w:t>
      </w:r>
      <w:r w:rsidR="005F3B5A">
        <w:rPr>
          <w:szCs w:val="18"/>
        </w:rPr>
        <w:t xml:space="preserve"> </w:t>
      </w:r>
      <w:r w:rsidR="00770182">
        <w:rPr>
          <w:szCs w:val="18"/>
        </w:rPr>
        <w:t>for the funds</w:t>
      </w:r>
      <w:r w:rsidR="005F3B5A">
        <w:rPr>
          <w:szCs w:val="18"/>
        </w:rPr>
        <w:t>.</w:t>
      </w:r>
      <w:r w:rsidR="00731D2A">
        <w:rPr>
          <w:szCs w:val="18"/>
        </w:rPr>
        <w:t xml:space="preserve">  </w:t>
      </w:r>
      <w:r w:rsidR="00731D2A">
        <w:rPr>
          <w:szCs w:val="18"/>
        </w:rPr>
        <w:t>iHeart</w:t>
      </w:r>
      <w:r w:rsidR="00731D2A">
        <w:rPr>
          <w:szCs w:val="18"/>
        </w:rPr>
        <w:t xml:space="preserve"> seeks specific approval for two entities within the Invesco group: </w:t>
      </w:r>
      <w:r w:rsidR="00292A94">
        <w:rPr>
          <w:szCs w:val="18"/>
        </w:rPr>
        <w:t xml:space="preserve"> </w:t>
      </w:r>
      <w:r w:rsidR="00731D2A">
        <w:rPr>
          <w:szCs w:val="18"/>
        </w:rPr>
        <w:t>Invesco Ltd.</w:t>
      </w:r>
      <w:r w:rsidR="00292A94">
        <w:rPr>
          <w:szCs w:val="18"/>
        </w:rPr>
        <w:t>,</w:t>
      </w:r>
      <w:r w:rsidR="00731D2A">
        <w:rPr>
          <w:szCs w:val="18"/>
        </w:rPr>
        <w:t xml:space="preserve"> and Invesco Holding Company Limited.</w:t>
      </w:r>
    </w:p>
    <w:p w:rsidR="00731D2A" w:rsidP="00603115" w14:paraId="051317DC" w14:textId="77777777">
      <w:pPr>
        <w:rPr>
          <w:szCs w:val="18"/>
        </w:rPr>
      </w:pPr>
    </w:p>
    <w:p w:rsidR="00731D2A" w:rsidRPr="00603115" w:rsidP="00EA052C" w14:paraId="4886F3AA" w14:textId="0F64765B">
      <w:pPr>
        <w:rPr>
          <w:szCs w:val="18"/>
        </w:rPr>
      </w:pPr>
      <w:r>
        <w:rPr>
          <w:szCs w:val="18"/>
        </w:rPr>
        <w:tab/>
      </w:r>
      <w:r w:rsidR="00EA052C">
        <w:rPr>
          <w:szCs w:val="18"/>
        </w:rPr>
        <w:t xml:space="preserve">Invesco Senior Secured Management, Inc. (ISSM), a Delaware corporation, is the investment advisor for the Invesco Funds and controls the Invesco Funds’ voting in </w:t>
      </w:r>
      <w:r w:rsidR="00EA052C">
        <w:rPr>
          <w:szCs w:val="18"/>
        </w:rPr>
        <w:t>iHeart</w:t>
      </w:r>
      <w:r w:rsidR="00EA052C">
        <w:rPr>
          <w:szCs w:val="18"/>
        </w:rPr>
        <w:t xml:space="preserve">.  ISSM is a </w:t>
      </w:r>
      <w:r w:rsidR="00EA052C">
        <w:rPr>
          <w:szCs w:val="18"/>
        </w:rPr>
        <w:t>wholly</w:t>
      </w:r>
      <w:r w:rsidR="00292A94">
        <w:rPr>
          <w:szCs w:val="18"/>
        </w:rPr>
        <w:t>-</w:t>
      </w:r>
      <w:r w:rsidR="00EA052C">
        <w:rPr>
          <w:szCs w:val="18"/>
        </w:rPr>
        <w:t>owned</w:t>
      </w:r>
      <w:r w:rsidR="00EA052C">
        <w:rPr>
          <w:szCs w:val="18"/>
        </w:rPr>
        <w:t xml:space="preserve"> subsidiary of Invesco Advisers, Inc. (IA), a Delaware corporation.  IA also is the investment adviser for the Oppenheimer Funds and controls the Oppenheimer Funds’ voting in </w:t>
      </w:r>
      <w:r w:rsidR="00EA052C">
        <w:rPr>
          <w:szCs w:val="18"/>
        </w:rPr>
        <w:t>iHeart</w:t>
      </w:r>
      <w:r w:rsidR="00EA052C">
        <w:rPr>
          <w:szCs w:val="18"/>
        </w:rPr>
        <w:t xml:space="preserve">.  IA is an indirect </w:t>
      </w:r>
      <w:r w:rsidR="00EA052C">
        <w:rPr>
          <w:szCs w:val="18"/>
        </w:rPr>
        <w:t>wholly-owned</w:t>
      </w:r>
      <w:r w:rsidR="00EA052C">
        <w:rPr>
          <w:szCs w:val="18"/>
        </w:rPr>
        <w:t xml:space="preserve"> subsidiary of Invesco Holding Company Limited (IHC), a United Kingdom private limited company.  IHC is a </w:t>
      </w:r>
      <w:r w:rsidR="00EA052C">
        <w:rPr>
          <w:szCs w:val="18"/>
        </w:rPr>
        <w:t>wholly-owned</w:t>
      </w:r>
      <w:r w:rsidR="00EA052C">
        <w:rPr>
          <w:szCs w:val="18"/>
        </w:rPr>
        <w:t xml:space="preserve"> subsidiary of </w:t>
      </w:r>
      <w:r>
        <w:rPr>
          <w:szCs w:val="18"/>
        </w:rPr>
        <w:t>Invesco Ltd.</w:t>
      </w:r>
      <w:r w:rsidR="00EA052C">
        <w:rPr>
          <w:szCs w:val="18"/>
        </w:rPr>
        <w:t>,</w:t>
      </w:r>
      <w:r>
        <w:rPr>
          <w:szCs w:val="18"/>
        </w:rPr>
        <w:t xml:space="preserve"> a Bermuda limited company with exempt status.</w:t>
      </w:r>
      <w:r>
        <w:rPr>
          <w:rStyle w:val="FootnoteReference"/>
          <w:szCs w:val="18"/>
        </w:rPr>
        <w:footnoteReference w:id="28"/>
      </w:r>
      <w:r>
        <w:rPr>
          <w:szCs w:val="18"/>
        </w:rPr>
        <w:t xml:space="preserve">  The Invesco funds and the Oppenheimer funds collectively will hold a 19.99</w:t>
      </w:r>
      <w:r w:rsidR="006915EE">
        <w:rPr>
          <w:szCs w:val="18"/>
        </w:rPr>
        <w:t>%</w:t>
      </w:r>
      <w:r>
        <w:rPr>
          <w:szCs w:val="18"/>
        </w:rPr>
        <w:t xml:space="preserve"> interest in </w:t>
      </w:r>
      <w:r>
        <w:rPr>
          <w:szCs w:val="18"/>
        </w:rPr>
        <w:t>iHeart</w:t>
      </w:r>
      <w:r>
        <w:rPr>
          <w:szCs w:val="18"/>
        </w:rPr>
        <w:t>.</w:t>
      </w:r>
      <w:r w:rsidR="00260F86">
        <w:rPr>
          <w:szCs w:val="18"/>
        </w:rPr>
        <w:t xml:space="preserve">  The Petition contains detailed information about the attributable interests in </w:t>
      </w:r>
      <w:r w:rsidR="00EA052C">
        <w:rPr>
          <w:szCs w:val="18"/>
        </w:rPr>
        <w:t xml:space="preserve">IHC and </w:t>
      </w:r>
      <w:r w:rsidR="00260F86">
        <w:rPr>
          <w:szCs w:val="18"/>
        </w:rPr>
        <w:t>Invesco Ltd.</w:t>
      </w:r>
      <w:r>
        <w:rPr>
          <w:rStyle w:val="FootnoteReference"/>
          <w:szCs w:val="18"/>
        </w:rPr>
        <w:footnoteReference w:id="29"/>
      </w:r>
    </w:p>
    <w:p w:rsidR="00603115" w:rsidRPr="00603115" w:rsidP="00603115" w14:paraId="7C3EA90E" w14:textId="77777777">
      <w:pPr>
        <w:rPr>
          <w:szCs w:val="18"/>
        </w:rPr>
      </w:pPr>
    </w:p>
    <w:p w:rsidR="000F45B1" w:rsidRPr="00B53F9E" w:rsidP="000F45B1" w14:paraId="0AE8784C" w14:textId="77777777">
      <w:pPr>
        <w:spacing w:before="120" w:after="240"/>
        <w:rPr>
          <w:b/>
          <w:szCs w:val="22"/>
        </w:rPr>
      </w:pPr>
      <w:r w:rsidRPr="00B53F9E">
        <w:rPr>
          <w:b/>
          <w:i/>
          <w:szCs w:val="22"/>
        </w:rPr>
        <w:t>EX PARTE</w:t>
      </w:r>
      <w:r w:rsidRPr="00B53F9E">
        <w:rPr>
          <w:b/>
          <w:szCs w:val="22"/>
        </w:rPr>
        <w:t xml:space="preserve"> STATUS OF THIS PROCEEDING</w:t>
      </w:r>
    </w:p>
    <w:p w:rsidR="000F45B1" w:rsidRPr="00DC68AA" w:rsidP="000F45B1" w14:paraId="135BB8FB" w14:textId="77777777">
      <w:pPr>
        <w:ind w:firstLine="720"/>
        <w:rPr>
          <w:b/>
          <w:szCs w:val="22"/>
        </w:rPr>
      </w:pPr>
      <w:r w:rsidRPr="00DC68AA">
        <w:rPr>
          <w:szCs w:val="22"/>
        </w:rPr>
        <w:t xml:space="preserve">Pursuant to </w:t>
      </w:r>
      <w:r>
        <w:rPr>
          <w:szCs w:val="22"/>
        </w:rPr>
        <w:t>s</w:t>
      </w:r>
      <w:r w:rsidRPr="00DC68AA">
        <w:rPr>
          <w:szCs w:val="22"/>
        </w:rPr>
        <w:t>ection 1.1200(a) of the Commission’s rules,</w:t>
      </w:r>
      <w:r>
        <w:rPr>
          <w:szCs w:val="22"/>
          <w:vertAlign w:val="superscript"/>
        </w:rPr>
        <w:footnoteReference w:id="30"/>
      </w:r>
      <w:r w:rsidRPr="00DC68AA">
        <w:rPr>
          <w:szCs w:val="22"/>
        </w:rPr>
        <w:t xml:space="preserve"> the Commission may adopt modified or more stringent </w:t>
      </w:r>
      <w:r w:rsidRPr="00DC68AA">
        <w:rPr>
          <w:i/>
          <w:szCs w:val="22"/>
        </w:rPr>
        <w:t xml:space="preserve">ex </w:t>
      </w:r>
      <w:r w:rsidRPr="00DC68AA">
        <w:rPr>
          <w:i/>
          <w:szCs w:val="22"/>
        </w:rPr>
        <w:t>parte</w:t>
      </w:r>
      <w:r w:rsidRPr="00DC68AA">
        <w:rPr>
          <w:szCs w:val="22"/>
        </w:rPr>
        <w:t xml:space="preserve"> procedures </w:t>
      </w:r>
      <w:r w:rsidRPr="00DC68AA">
        <w:rPr>
          <w:szCs w:val="22"/>
        </w:rPr>
        <w:t>in particular proceedings</w:t>
      </w:r>
      <w:r w:rsidRPr="00DC68AA">
        <w:rPr>
          <w:szCs w:val="22"/>
        </w:rPr>
        <w:t xml:space="preserve"> if the public interest so requires.  We announce that this proceeding will be governed by permit-but-disclose </w:t>
      </w:r>
      <w:r w:rsidRPr="00DC68AA">
        <w:rPr>
          <w:i/>
          <w:szCs w:val="22"/>
        </w:rPr>
        <w:t xml:space="preserve">ex </w:t>
      </w:r>
      <w:r w:rsidRPr="00DC68AA">
        <w:rPr>
          <w:i/>
          <w:szCs w:val="22"/>
        </w:rPr>
        <w:t>parte</w:t>
      </w:r>
      <w:r w:rsidRPr="00DC68AA">
        <w:rPr>
          <w:szCs w:val="22"/>
        </w:rPr>
        <w:t xml:space="preserve"> procedures that are applicable to non-restricted proceedings under </w:t>
      </w:r>
      <w:r>
        <w:rPr>
          <w:szCs w:val="22"/>
        </w:rPr>
        <w:t>s</w:t>
      </w:r>
      <w:r w:rsidRPr="00DC68AA">
        <w:rPr>
          <w:szCs w:val="22"/>
        </w:rPr>
        <w:t>ection 1.1206 of the Commission’s rules.</w:t>
      </w:r>
      <w:r>
        <w:rPr>
          <w:szCs w:val="22"/>
          <w:vertAlign w:val="superscript"/>
        </w:rPr>
        <w:footnoteReference w:id="31"/>
      </w:r>
    </w:p>
    <w:p w:rsidR="000F45B1" w:rsidRPr="00DC68AA" w:rsidP="000F45B1" w14:paraId="40D41F98" w14:textId="77777777">
      <w:pPr>
        <w:ind w:firstLine="720"/>
        <w:rPr>
          <w:b/>
          <w:szCs w:val="22"/>
        </w:rPr>
      </w:pPr>
    </w:p>
    <w:p w:rsidR="000F45B1" w:rsidRPr="00DC68AA" w:rsidP="000F45B1" w14:paraId="24CCDCB7" w14:textId="77777777">
      <w:pPr>
        <w:ind w:firstLine="720"/>
        <w:rPr>
          <w:b/>
          <w:szCs w:val="22"/>
        </w:rPr>
      </w:pPr>
      <w:r w:rsidRPr="00DC68AA">
        <w:rPr>
          <w:szCs w:val="22"/>
        </w:rPr>
        <w:t xml:space="preserve">Parties making oral </w:t>
      </w:r>
      <w:r w:rsidRPr="00DC68AA">
        <w:rPr>
          <w:i/>
          <w:szCs w:val="22"/>
        </w:rPr>
        <w:t xml:space="preserve">ex </w:t>
      </w:r>
      <w:r w:rsidRPr="00DC68AA">
        <w:rPr>
          <w:i/>
          <w:szCs w:val="22"/>
        </w:rPr>
        <w:t>parte</w:t>
      </w:r>
      <w:r w:rsidRPr="00DC68AA">
        <w:rPr>
          <w:szCs w:val="22"/>
        </w:rPr>
        <w:t xml:space="preserve"> presentations are directed to the Commission’s </w:t>
      </w:r>
      <w:r w:rsidRPr="00DC68AA">
        <w:rPr>
          <w:i/>
          <w:szCs w:val="22"/>
        </w:rPr>
        <w:t xml:space="preserve">ex </w:t>
      </w:r>
      <w:r w:rsidRPr="00DC68AA">
        <w:rPr>
          <w:i/>
          <w:szCs w:val="22"/>
        </w:rPr>
        <w:t>parte</w:t>
      </w:r>
      <w:r w:rsidRPr="00DC68AA">
        <w:rPr>
          <w:szCs w:val="22"/>
        </w:rPr>
        <w:t xml:space="preserve"> rules.  Parties are reminded that memoranda summarizing the presentation must contain the presentation’s substance and not merely list the subjects discussed.</w:t>
      </w:r>
      <w:r>
        <w:rPr>
          <w:szCs w:val="22"/>
          <w:vertAlign w:val="superscript"/>
        </w:rPr>
        <w:footnoteReference w:id="32"/>
      </w:r>
      <w:r w:rsidRPr="00DC68AA">
        <w:rPr>
          <w:szCs w:val="22"/>
        </w:rPr>
        <w:t xml:space="preserve">  More than a one- or two-sentence description of the views and arguments presented is generally required.</w:t>
      </w:r>
      <w:r>
        <w:rPr>
          <w:szCs w:val="22"/>
          <w:vertAlign w:val="superscript"/>
        </w:rPr>
        <w:footnoteReference w:id="33"/>
      </w:r>
      <w:r w:rsidRPr="00DC68AA">
        <w:rPr>
          <w:szCs w:val="22"/>
        </w:rPr>
        <w:t xml:space="preserve">  Other rules pertaining to oral and written presentations are set forth in </w:t>
      </w:r>
      <w:r>
        <w:rPr>
          <w:szCs w:val="22"/>
        </w:rPr>
        <w:t>s</w:t>
      </w:r>
      <w:r w:rsidRPr="00DC68AA">
        <w:rPr>
          <w:szCs w:val="22"/>
        </w:rPr>
        <w:t>ection 1.1206(b) as well.</w:t>
      </w:r>
      <w:r>
        <w:rPr>
          <w:szCs w:val="22"/>
          <w:vertAlign w:val="superscript"/>
        </w:rPr>
        <w:footnoteReference w:id="34"/>
      </w:r>
    </w:p>
    <w:p w:rsidR="000F45B1" w:rsidP="000F45B1" w14:paraId="623C31CB" w14:textId="77777777">
      <w:pPr>
        <w:ind w:firstLine="720"/>
        <w:rPr>
          <w:szCs w:val="22"/>
        </w:rPr>
      </w:pPr>
    </w:p>
    <w:p w:rsidR="000F45B1" w:rsidRPr="00B53F9E" w:rsidP="000F45B1" w14:paraId="3A4F265E" w14:textId="77777777">
      <w:pPr>
        <w:autoSpaceDE w:val="0"/>
        <w:autoSpaceDN w:val="0"/>
        <w:adjustRightInd w:val="0"/>
        <w:rPr>
          <w:b/>
          <w:bCs/>
          <w:color w:val="010101"/>
          <w:szCs w:val="22"/>
        </w:rPr>
      </w:pPr>
      <w:r w:rsidRPr="00B53F9E">
        <w:rPr>
          <w:b/>
          <w:bCs/>
          <w:color w:val="010101"/>
          <w:szCs w:val="22"/>
        </w:rPr>
        <w:t>GENERAL INFORMATION</w:t>
      </w:r>
    </w:p>
    <w:p w:rsidR="000F45B1" w:rsidRPr="00B53F9E" w:rsidP="000F45B1" w14:paraId="097FB407" w14:textId="77777777">
      <w:pPr>
        <w:autoSpaceDE w:val="0"/>
        <w:autoSpaceDN w:val="0"/>
        <w:adjustRightInd w:val="0"/>
        <w:rPr>
          <w:b/>
          <w:bCs/>
          <w:color w:val="010101"/>
          <w:szCs w:val="22"/>
        </w:rPr>
      </w:pPr>
    </w:p>
    <w:p w:rsidR="000F45B1" w:rsidRPr="00B53F9E" w:rsidP="004F1287" w14:paraId="032A15C9" w14:textId="6D397CC3">
      <w:pPr>
        <w:ind w:firstLine="720"/>
      </w:pPr>
      <w:r w:rsidRPr="00B53F9E">
        <w:t xml:space="preserve">The petition for declaratory ruling referred to in this Public Notice has been accepted for filing upon initial review.  The Commission reserves the right to return any filing if, upon further </w:t>
      </w:r>
      <w:r w:rsidRPr="00B53F9E">
        <w:rPr>
          <w:szCs w:val="18"/>
        </w:rPr>
        <w:t>examination</w:t>
      </w:r>
      <w:r w:rsidRPr="00B53F9E">
        <w:t xml:space="preserve">, it is determined to be defective and not in conformance with the Commission’s rules or policies.  Interested persons must file comments no later than </w:t>
      </w:r>
      <w:r>
        <w:rPr>
          <w:b/>
        </w:rPr>
        <w:t>March</w:t>
      </w:r>
      <w:r w:rsidR="00E54B41">
        <w:rPr>
          <w:b/>
        </w:rPr>
        <w:t xml:space="preserve"> 26</w:t>
      </w:r>
      <w:r>
        <w:rPr>
          <w:b/>
        </w:rPr>
        <w:t>, 2020</w:t>
      </w:r>
      <w:r w:rsidRPr="00B53F9E">
        <w:t>.  Replies must be filed no later than</w:t>
      </w:r>
      <w:r>
        <w:t xml:space="preserve"> </w:t>
      </w:r>
      <w:r w:rsidR="00A111EF">
        <w:rPr>
          <w:b/>
        </w:rPr>
        <w:t>April</w:t>
      </w:r>
      <w:r w:rsidR="00C95628">
        <w:rPr>
          <w:b/>
        </w:rPr>
        <w:t xml:space="preserve"> 10</w:t>
      </w:r>
      <w:r>
        <w:rPr>
          <w:b/>
        </w:rPr>
        <w:t>, 2020</w:t>
      </w:r>
      <w:r w:rsidRPr="00B53F9E">
        <w:t>.</w:t>
      </w:r>
    </w:p>
    <w:p w:rsidR="000F45B1" w:rsidRPr="00B53F9E" w:rsidP="004F1287" w14:paraId="00927E10" w14:textId="77777777">
      <w:pPr>
        <w:rPr>
          <w:color w:val="010101"/>
          <w:szCs w:val="22"/>
        </w:rPr>
      </w:pPr>
    </w:p>
    <w:p w:rsidR="000F45B1" w:rsidRPr="00B53F9E" w:rsidP="004F1287" w14:paraId="0EFAEE94" w14:textId="77777777">
      <w:pPr>
        <w:ind w:firstLine="720"/>
        <w:rPr>
          <w:bCs/>
          <w:color w:val="010101"/>
          <w:szCs w:val="22"/>
        </w:rPr>
      </w:pPr>
      <w:r w:rsidRPr="00B53F9E">
        <w:rPr>
          <w:bCs/>
          <w:color w:val="010101"/>
          <w:szCs w:val="22"/>
        </w:rPr>
        <w:t xml:space="preserve">To allow the Commission to </w:t>
      </w:r>
      <w:r>
        <w:rPr>
          <w:bCs/>
          <w:color w:val="010101"/>
          <w:szCs w:val="22"/>
        </w:rPr>
        <w:t xml:space="preserve">fully </w:t>
      </w:r>
      <w:r w:rsidRPr="00B53F9E">
        <w:rPr>
          <w:bCs/>
          <w:color w:val="010101"/>
          <w:szCs w:val="22"/>
        </w:rPr>
        <w:t xml:space="preserve">consider all substantive issues regarding the </w:t>
      </w:r>
      <w:r w:rsidR="00335318">
        <w:rPr>
          <w:bCs/>
          <w:color w:val="010101"/>
          <w:szCs w:val="22"/>
        </w:rPr>
        <w:t>Petition and Supplement</w:t>
      </w:r>
      <w:r w:rsidRPr="00B53F9E">
        <w:rPr>
          <w:bCs/>
          <w:color w:val="010101"/>
          <w:szCs w:val="22"/>
        </w:rPr>
        <w:t xml:space="preserve"> in as timely and efficient a manner as possible, commenters should raise all issues in their initial filings.</w:t>
      </w:r>
      <w:r>
        <w:rPr>
          <w:bCs/>
          <w:color w:val="010101"/>
          <w:szCs w:val="22"/>
        </w:rPr>
        <w:t xml:space="preserve"> </w:t>
      </w:r>
      <w:r w:rsidRPr="00B53F9E">
        <w:rPr>
          <w:bCs/>
          <w:color w:val="010101"/>
          <w:szCs w:val="22"/>
        </w:rPr>
        <w:t xml:space="preserve"> A party or interested person seeking to raise a new issue after the pleading cycle has closed must show good cause why it was not possible for it to have raised the issue previously.</w:t>
      </w:r>
      <w:r>
        <w:rPr>
          <w:bCs/>
          <w:color w:val="010101"/>
          <w:szCs w:val="22"/>
          <w:vertAlign w:val="superscript"/>
        </w:rPr>
        <w:footnoteReference w:id="35"/>
      </w:r>
      <w:r w:rsidRPr="00B53F9E">
        <w:rPr>
          <w:bCs/>
          <w:color w:val="010101"/>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F45B1" w:rsidRPr="00B53F9E" w:rsidP="004F1287" w14:paraId="4B9F682B" w14:textId="77777777">
      <w:pPr>
        <w:rPr>
          <w:b/>
          <w:bCs/>
          <w:color w:val="010101"/>
          <w:szCs w:val="22"/>
        </w:rPr>
      </w:pPr>
      <w:r w:rsidRPr="00B53F9E">
        <w:rPr>
          <w:b/>
          <w:bCs/>
          <w:color w:val="010101"/>
          <w:szCs w:val="22"/>
        </w:rPr>
        <w:tab/>
      </w:r>
    </w:p>
    <w:p w:rsidR="000F45B1" w:rsidRPr="00B53F9E" w:rsidP="004F1287" w14:paraId="3D6C207B" w14:textId="6DF96311">
      <w:pPr>
        <w:ind w:firstLine="720"/>
        <w:rPr>
          <w:color w:val="010101"/>
          <w:szCs w:val="22"/>
        </w:rPr>
      </w:pPr>
      <w:r w:rsidRPr="00B53F9E">
        <w:rPr>
          <w:color w:val="010101"/>
          <w:szCs w:val="22"/>
        </w:rPr>
        <w:t>All filings concerning matters referenced in this Public Notice should refer to MB Docket No.</w:t>
      </w:r>
      <w:r>
        <w:rPr>
          <w:color w:val="010101"/>
          <w:szCs w:val="22"/>
        </w:rPr>
        <w:t xml:space="preserve"> </w:t>
      </w:r>
      <w:r w:rsidRPr="00B14211">
        <w:rPr>
          <w:color w:val="010101"/>
          <w:szCs w:val="22"/>
        </w:rPr>
        <w:t>20-</w:t>
      </w:r>
      <w:r w:rsidR="00B14211">
        <w:rPr>
          <w:color w:val="010101"/>
          <w:szCs w:val="22"/>
        </w:rPr>
        <w:t>51</w:t>
      </w:r>
      <w:r w:rsidRPr="00B53F9E">
        <w:rPr>
          <w:color w:val="010101"/>
          <w:szCs w:val="22"/>
        </w:rPr>
        <w:t xml:space="preserve">, as well as the specific file number of </w:t>
      </w:r>
      <w:r w:rsidR="00335318">
        <w:rPr>
          <w:color w:val="010101"/>
          <w:szCs w:val="22"/>
        </w:rPr>
        <w:t>any relevant</w:t>
      </w:r>
      <w:r w:rsidRPr="00B53F9E">
        <w:rPr>
          <w:color w:val="010101"/>
          <w:szCs w:val="22"/>
        </w:rPr>
        <w:t xml:space="preserve"> individual application or other matters to which the filings pertain.  </w:t>
      </w:r>
    </w:p>
    <w:p w:rsidR="000F45B1" w:rsidRPr="00B53F9E" w:rsidP="004F1287" w14:paraId="7826D916" w14:textId="77777777">
      <w:pPr>
        <w:rPr>
          <w:color w:val="010101"/>
          <w:szCs w:val="22"/>
        </w:rPr>
      </w:pPr>
    </w:p>
    <w:p w:rsidR="000F45B1" w:rsidRPr="00B53F9E" w:rsidP="004F1287" w14:paraId="056308FF" w14:textId="77777777">
      <w:pPr>
        <w:ind w:firstLine="720"/>
      </w:pPr>
      <w:r w:rsidRPr="00B53F9E">
        <w:t>Submissions in this matter may be filed electronically (</w:t>
      </w:r>
      <w:r w:rsidRPr="00EC74C8">
        <w:rPr>
          <w:iCs/>
        </w:rPr>
        <w:t>i.e.</w:t>
      </w:r>
      <w:r w:rsidRPr="00B53F9E">
        <w:t>, through ECFS) or by filing paper copies.</w:t>
      </w:r>
    </w:p>
    <w:p w:rsidR="000F45B1" w:rsidRPr="00B53F9E" w:rsidP="000F45B1" w14:paraId="435CD69C" w14:textId="77777777">
      <w:pPr>
        <w:autoSpaceDE w:val="0"/>
        <w:autoSpaceDN w:val="0"/>
        <w:adjustRightInd w:val="0"/>
        <w:rPr>
          <w:color w:val="010101"/>
          <w:szCs w:val="22"/>
        </w:rPr>
      </w:pPr>
    </w:p>
    <w:p w:rsidR="000F45B1" w:rsidRPr="003703BC" w:rsidP="004F1287" w14:paraId="5BA1EC72" w14:textId="77777777">
      <w:pPr>
        <w:numPr>
          <w:ilvl w:val="0"/>
          <w:numId w:val="14"/>
        </w:numPr>
        <w:tabs>
          <w:tab w:val="left" w:pos="1080"/>
        </w:tabs>
        <w:autoSpaceDE w:val="0"/>
        <w:autoSpaceDN w:val="0"/>
        <w:adjustRightInd w:val="0"/>
        <w:ind w:left="0" w:firstLine="720"/>
        <w:rPr>
          <w:color w:val="010101"/>
          <w:szCs w:val="22"/>
        </w:rPr>
      </w:pPr>
      <w:r w:rsidRPr="003703BC">
        <w:rPr>
          <w:color w:val="010101"/>
          <w:szCs w:val="22"/>
        </w:rPr>
        <w:t xml:space="preserve">Electronic Filers:  Documents may be filed electronically using the Internet by accessing the ECFS:  </w:t>
      </w:r>
      <w:hyperlink r:id="rId5" w:history="1">
        <w:r w:rsidRPr="003703BC">
          <w:rPr>
            <w:color w:val="0000FF"/>
            <w:szCs w:val="22"/>
            <w:u w:val="single"/>
          </w:rPr>
          <w:t>http://fjallfoss.fcc.gov/ecfs2/</w:t>
        </w:r>
      </w:hyperlink>
      <w:r w:rsidRPr="003703BC">
        <w:rPr>
          <w:color w:val="010101"/>
          <w:szCs w:val="22"/>
        </w:rPr>
        <w:t>.</w:t>
      </w:r>
    </w:p>
    <w:p w:rsidR="000F45B1" w:rsidRPr="00B53F9E" w:rsidP="004F1287" w14:paraId="6DF8C015" w14:textId="77777777">
      <w:pPr>
        <w:tabs>
          <w:tab w:val="left" w:pos="1080"/>
        </w:tabs>
        <w:autoSpaceDE w:val="0"/>
        <w:autoSpaceDN w:val="0"/>
        <w:adjustRightInd w:val="0"/>
        <w:ind w:firstLine="720"/>
        <w:rPr>
          <w:color w:val="010101"/>
          <w:szCs w:val="22"/>
        </w:rPr>
      </w:pPr>
    </w:p>
    <w:p w:rsidR="000F45B1" w:rsidRPr="003703BC" w:rsidP="004F1287" w14:paraId="7AEDCA54" w14:textId="77777777">
      <w:pPr>
        <w:numPr>
          <w:ilvl w:val="0"/>
          <w:numId w:val="14"/>
        </w:numPr>
        <w:tabs>
          <w:tab w:val="left" w:pos="1080"/>
        </w:tabs>
        <w:autoSpaceDE w:val="0"/>
        <w:autoSpaceDN w:val="0"/>
        <w:adjustRightInd w:val="0"/>
        <w:ind w:left="0" w:firstLine="720"/>
        <w:rPr>
          <w:color w:val="010101"/>
          <w:szCs w:val="22"/>
        </w:rPr>
      </w:pPr>
      <w:r w:rsidRPr="003703BC">
        <w:rPr>
          <w:color w:val="010101"/>
          <w:szCs w:val="22"/>
        </w:rPr>
        <w:t>Paper Filers:  Parties who choose to file by paper must file an original and one copy of each 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3703BC">
        <w:rPr>
          <w:color w:val="010101"/>
          <w:szCs w:val="22"/>
          <w:vertAlign w:val="superscript"/>
        </w:rPr>
        <w:t>th</w:t>
      </w:r>
      <w:r w:rsidRPr="003703BC">
        <w:rPr>
          <w:color w:val="010101"/>
          <w:szCs w:val="22"/>
        </w:rPr>
        <w:t xml:space="preserve"> Street, S.W., Washington, DC 20554.</w:t>
      </w:r>
    </w:p>
    <w:p w:rsidR="000F45B1" w:rsidRPr="00B53F9E" w:rsidP="004F1287" w14:paraId="0F77FD84" w14:textId="77777777">
      <w:pPr>
        <w:tabs>
          <w:tab w:val="left" w:pos="1080"/>
        </w:tabs>
        <w:autoSpaceDE w:val="0"/>
        <w:autoSpaceDN w:val="0"/>
        <w:adjustRightInd w:val="0"/>
        <w:ind w:firstLine="720"/>
        <w:rPr>
          <w:color w:val="010101"/>
          <w:szCs w:val="22"/>
        </w:rPr>
      </w:pPr>
    </w:p>
    <w:p w:rsidR="000F45B1" w:rsidRPr="003703BC" w:rsidP="004F1287" w14:paraId="09457451" w14:textId="77777777">
      <w:pPr>
        <w:numPr>
          <w:ilvl w:val="0"/>
          <w:numId w:val="14"/>
        </w:numPr>
        <w:tabs>
          <w:tab w:val="left" w:pos="1080"/>
        </w:tabs>
        <w:autoSpaceDE w:val="0"/>
        <w:autoSpaceDN w:val="0"/>
        <w:adjustRightInd w:val="0"/>
        <w:ind w:left="0" w:firstLine="720"/>
        <w:rPr>
          <w:color w:val="010101"/>
          <w:szCs w:val="22"/>
        </w:rPr>
      </w:pPr>
      <w:r w:rsidRPr="003703BC">
        <w:rPr>
          <w:color w:val="010101"/>
          <w:szCs w:val="22"/>
        </w:rPr>
        <w:t>All hand-delivered or messenger-delivered paper filings must be delivered to the Mail and Distribution Window at FCC Headquarters at 445 12th Street, S.W., Washington, D.C. 20554.  The filing hours are 8:00 a.m. to 7:00 p.m.  All hand deliveries must be held together with rubber bands or fasteners.  Any envelopes must be disposed of before entering the building.</w:t>
      </w:r>
    </w:p>
    <w:p w:rsidR="000F45B1" w:rsidP="004F1287" w14:paraId="488C0637" w14:textId="77777777">
      <w:pPr>
        <w:tabs>
          <w:tab w:val="left" w:pos="1080"/>
        </w:tabs>
        <w:autoSpaceDE w:val="0"/>
        <w:autoSpaceDN w:val="0"/>
        <w:adjustRightInd w:val="0"/>
        <w:ind w:left="720" w:firstLine="720"/>
        <w:rPr>
          <w:color w:val="010101"/>
          <w:szCs w:val="22"/>
        </w:rPr>
      </w:pPr>
    </w:p>
    <w:p w:rsidR="000F45B1" w:rsidRPr="003703BC" w:rsidP="004F1287" w14:paraId="3ED74E10" w14:textId="77777777">
      <w:pPr>
        <w:numPr>
          <w:ilvl w:val="0"/>
          <w:numId w:val="14"/>
        </w:numPr>
        <w:tabs>
          <w:tab w:val="left" w:pos="1080"/>
        </w:tabs>
        <w:autoSpaceDE w:val="0"/>
        <w:autoSpaceDN w:val="0"/>
        <w:adjustRightInd w:val="0"/>
        <w:ind w:left="0" w:firstLine="720"/>
        <w:jc w:val="both"/>
        <w:rPr>
          <w:color w:val="010101"/>
          <w:szCs w:val="22"/>
        </w:rPr>
      </w:pPr>
      <w:r w:rsidRPr="003703BC">
        <w:rPr>
          <w:color w:val="010101"/>
          <w:szCs w:val="22"/>
        </w:rPr>
        <w:t xml:space="preserve">Commercial overnight mail (other than U.S. Postal Service Express Mail and Priority Mail) must be sent to </w:t>
      </w:r>
      <w:r w:rsidRPr="003703BC">
        <w:rPr>
          <w:szCs w:val="22"/>
        </w:rPr>
        <w:t>9050 Junction Drive, Annapolis Junction, MD 20701</w:t>
      </w:r>
      <w:r w:rsidRPr="003703BC">
        <w:rPr>
          <w:color w:val="010101"/>
          <w:szCs w:val="22"/>
        </w:rPr>
        <w:t>.</w:t>
      </w:r>
    </w:p>
    <w:p w:rsidR="000F45B1" w:rsidRPr="00B53F9E" w:rsidP="004F1287" w14:paraId="64DA8CBC" w14:textId="77777777">
      <w:pPr>
        <w:tabs>
          <w:tab w:val="left" w:pos="1080"/>
        </w:tabs>
        <w:autoSpaceDE w:val="0"/>
        <w:autoSpaceDN w:val="0"/>
        <w:adjustRightInd w:val="0"/>
        <w:ind w:firstLine="720"/>
        <w:rPr>
          <w:color w:val="010101"/>
          <w:szCs w:val="22"/>
        </w:rPr>
      </w:pPr>
    </w:p>
    <w:p w:rsidR="000F45B1" w:rsidRPr="003703BC" w:rsidP="004F1287" w14:paraId="2F55E8BB" w14:textId="77777777">
      <w:pPr>
        <w:numPr>
          <w:ilvl w:val="0"/>
          <w:numId w:val="14"/>
        </w:numPr>
        <w:tabs>
          <w:tab w:val="left" w:pos="1080"/>
        </w:tabs>
        <w:autoSpaceDE w:val="0"/>
        <w:autoSpaceDN w:val="0"/>
        <w:adjustRightInd w:val="0"/>
        <w:ind w:left="0" w:firstLine="720"/>
        <w:rPr>
          <w:color w:val="010101"/>
          <w:szCs w:val="22"/>
        </w:rPr>
      </w:pPr>
      <w:r w:rsidRPr="003703BC">
        <w:rPr>
          <w:color w:val="010101"/>
          <w:szCs w:val="22"/>
        </w:rPr>
        <w:t>U.S. Postal Service first-class, Express, and Priority mail must be addressed to 445 12</w:t>
      </w:r>
      <w:r w:rsidRPr="003703BC">
        <w:rPr>
          <w:color w:val="010101"/>
          <w:szCs w:val="22"/>
          <w:vertAlign w:val="superscript"/>
        </w:rPr>
        <w:t>th</w:t>
      </w:r>
      <w:r w:rsidRPr="003703BC">
        <w:rPr>
          <w:color w:val="010101"/>
          <w:szCs w:val="22"/>
        </w:rPr>
        <w:t xml:space="preserve"> Street, S.W., Washington, DC 20554.</w:t>
      </w:r>
    </w:p>
    <w:p w:rsidR="000F45B1" w:rsidRPr="00B53F9E" w:rsidP="000F45B1" w14:paraId="0DCE1F02" w14:textId="77777777">
      <w:pPr>
        <w:autoSpaceDE w:val="0"/>
        <w:autoSpaceDN w:val="0"/>
        <w:adjustRightInd w:val="0"/>
        <w:rPr>
          <w:color w:val="010101"/>
          <w:szCs w:val="22"/>
        </w:rPr>
      </w:pPr>
    </w:p>
    <w:p w:rsidR="000F45B1" w:rsidRPr="00B039CF" w:rsidP="004F1287" w14:paraId="378857BC" w14:textId="33B137B9">
      <w:pPr>
        <w:ind w:firstLine="720"/>
      </w:pPr>
      <w:r w:rsidRPr="00B039CF">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t>Albert Shuldiner</w:t>
      </w:r>
      <w:r w:rsidRPr="00B039CF">
        <w:t xml:space="preserve">, Audio Division, Media Bureau, at </w:t>
      </w:r>
      <w:hyperlink r:id="rId6" w:history="1">
        <w:r w:rsidRPr="00935B87">
          <w:rPr>
            <w:rStyle w:val="Hyperlink"/>
            <w:szCs w:val="22"/>
          </w:rPr>
          <w:t>albert.shuldiner@fcc.gov</w:t>
        </w:r>
      </w:hyperlink>
      <w:r>
        <w:t xml:space="preserve"> </w:t>
      </w:r>
      <w:r w:rsidRPr="00B039CF">
        <w:t xml:space="preserve">(202) 418-1410 (facsimile); (2) Lisa Scanlan, Audio Division, Media Bureau, at </w:t>
      </w:r>
      <w:hyperlink r:id="rId7" w:history="1">
        <w:r w:rsidRPr="000C60C1">
          <w:rPr>
            <w:rStyle w:val="Hyperlink"/>
            <w:szCs w:val="22"/>
          </w:rPr>
          <w:t>lisa.scanlan@fcc.gov</w:t>
        </w:r>
      </w:hyperlink>
      <w:r w:rsidRPr="00B039CF">
        <w:t xml:space="preserve"> (202) 418-1410 (facsimile); and </w:t>
      </w:r>
      <w:r w:rsidRPr="00625AB8">
        <w:t xml:space="preserve">(3) </w:t>
      </w:r>
      <w:r w:rsidRPr="00625AB8" w:rsidR="00625AB8">
        <w:t>Christopher Clark</w:t>
      </w:r>
      <w:r w:rsidRPr="00625AB8">
        <w:t xml:space="preserve">, Audio Division, Media Bureau, at </w:t>
      </w:r>
      <w:hyperlink r:id="rId8" w:history="1">
        <w:r w:rsidRPr="00625AB8" w:rsidR="00625AB8">
          <w:rPr>
            <w:rStyle w:val="Hyperlink"/>
            <w:szCs w:val="22"/>
          </w:rPr>
          <w:t>christopher.clark@fcc.gov</w:t>
        </w:r>
      </w:hyperlink>
      <w:r w:rsidRPr="00625AB8">
        <w:t xml:space="preserve"> (202) 418-1410 (facsimile).</w:t>
      </w:r>
      <w:r w:rsidRPr="00B039CF">
        <w:t xml:space="preserve">  </w:t>
      </w:r>
      <w:r w:rsidRPr="00B039CF">
        <w:rPr>
          <w:spacing w:val="-2"/>
        </w:rPr>
        <w:t xml:space="preserve">Any submission that is e-mailed to </w:t>
      </w:r>
      <w:r>
        <w:rPr>
          <w:spacing w:val="-2"/>
        </w:rPr>
        <w:t>Albert Shuldiner</w:t>
      </w:r>
      <w:r w:rsidRPr="00B039CF">
        <w:rPr>
          <w:spacing w:val="-2"/>
        </w:rPr>
        <w:t xml:space="preserve">, Lisa Scanlan, and </w:t>
      </w:r>
      <w:r w:rsidR="00625AB8">
        <w:rPr>
          <w:spacing w:val="-2"/>
        </w:rPr>
        <w:t>Christopher Clark</w:t>
      </w:r>
      <w:r w:rsidRPr="00B039CF">
        <w:rPr>
          <w:spacing w:val="-2"/>
        </w:rPr>
        <w:t xml:space="preserve"> should include in the subject line of the e-mail:</w:t>
      </w:r>
      <w:r w:rsidR="00292A94">
        <w:rPr>
          <w:spacing w:val="-2"/>
        </w:rPr>
        <w:t xml:space="preserve"> </w:t>
      </w:r>
      <w:r w:rsidRPr="00B039CF">
        <w:rPr>
          <w:spacing w:val="-2"/>
        </w:rPr>
        <w:t xml:space="preserve"> (1) MB </w:t>
      </w:r>
      <w:r>
        <w:t>Docket No. 20</w:t>
      </w:r>
      <w:r w:rsidRPr="0018615A">
        <w:t>-</w:t>
      </w:r>
      <w:r w:rsidR="00B14211">
        <w:t>51</w:t>
      </w:r>
      <w:r w:rsidRPr="00B039CF">
        <w:t>; (2) the name of the submitting party; and (3) a brief description or title identifying the type of document being submitted (</w:t>
      </w:r>
      <w:r w:rsidRPr="00B039CF">
        <w:rPr>
          <w:i/>
        </w:rPr>
        <w:t>e.g</w:t>
      </w:r>
      <w:r>
        <w:t>., MB Docket No. 20</w:t>
      </w:r>
      <w:r w:rsidRPr="0018615A">
        <w:t>-</w:t>
      </w:r>
      <w:r w:rsidR="00B14211">
        <w:t>51</w:t>
      </w:r>
      <w:r w:rsidRPr="00B039CF">
        <w:t>, [name of submitting party], Comments).</w:t>
      </w:r>
    </w:p>
    <w:p w:rsidR="004F1287" w:rsidP="004F1287" w14:paraId="049A9022" w14:textId="77777777">
      <w:pPr>
        <w:ind w:firstLine="720"/>
        <w:rPr>
          <w:color w:val="000000"/>
          <w:szCs w:val="22"/>
        </w:rPr>
      </w:pPr>
    </w:p>
    <w:p w:rsidR="000F45B1" w:rsidRPr="00B039CF" w:rsidP="004F1287" w14:paraId="38980ABF" w14:textId="1C1D464B">
      <w:pPr>
        <w:ind w:firstLine="720"/>
        <w:rPr>
          <w:szCs w:val="22"/>
        </w:rPr>
      </w:pPr>
      <w:r w:rsidRPr="00B039CF">
        <w:rPr>
          <w:color w:val="000000"/>
          <w:szCs w:val="22"/>
        </w:rPr>
        <w:t xml:space="preserve">Copies of the Petition </w:t>
      </w:r>
      <w:r w:rsidR="00335318">
        <w:rPr>
          <w:color w:val="000000"/>
          <w:szCs w:val="22"/>
        </w:rPr>
        <w:t xml:space="preserve">and Supplement </w:t>
      </w:r>
      <w:r w:rsidRPr="00B039CF">
        <w:rPr>
          <w:color w:val="000000"/>
          <w:szCs w:val="22"/>
        </w:rPr>
        <w:t>and any subsequently</w:t>
      </w:r>
      <w:r w:rsidR="00292A94">
        <w:rPr>
          <w:color w:val="000000"/>
          <w:szCs w:val="22"/>
        </w:rPr>
        <w:t xml:space="preserve"> </w:t>
      </w:r>
      <w:r w:rsidRPr="00B039CF">
        <w:rPr>
          <w:color w:val="000000"/>
          <w:szCs w:val="22"/>
        </w:rPr>
        <w:t xml:space="preserve">filed documents in this matter are available for public inspection and copying during normal reference room hours at the following Commission office:  FCC Reference Information Center, 445 12th Street, S.W., Room CY-A257, Washington, D.C. 20554.  </w:t>
      </w:r>
      <w:r w:rsidRPr="00B039CF">
        <w:rPr>
          <w:szCs w:val="22"/>
        </w:rPr>
        <w:t>In addition, the</w:t>
      </w:r>
      <w:r w:rsidR="00335318">
        <w:rPr>
          <w:szCs w:val="22"/>
        </w:rPr>
        <w:t xml:space="preserve">y are </w:t>
      </w:r>
      <w:r w:rsidRPr="00B039CF">
        <w:rPr>
          <w:szCs w:val="22"/>
        </w:rPr>
        <w:t xml:space="preserve">available electronically through the </w:t>
      </w:r>
      <w:r w:rsidR="00335318">
        <w:rPr>
          <w:szCs w:val="22"/>
        </w:rPr>
        <w:t>Commission’s Electronic Filing Comment System (ECFS)</w:t>
      </w:r>
      <w:r w:rsidRPr="00B039CF">
        <w:rPr>
          <w:szCs w:val="22"/>
        </w:rPr>
        <w:t>, which may be accessed on the Commission’s Internet website.</w:t>
      </w:r>
    </w:p>
    <w:p w:rsidR="004F1287" w:rsidP="004F1287" w14:paraId="3BE1032D" w14:textId="77777777">
      <w:pPr>
        <w:ind w:firstLine="720"/>
        <w:rPr>
          <w:szCs w:val="22"/>
        </w:rPr>
      </w:pPr>
    </w:p>
    <w:p w:rsidR="000F45B1" w:rsidRPr="00B039CF" w:rsidP="004F1287" w14:paraId="42439B42" w14:textId="77777777">
      <w:pPr>
        <w:ind w:firstLine="7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w:t>
      </w:r>
      <w:r w:rsidRPr="00B039CF">
        <w:rPr>
          <w:szCs w:val="22"/>
        </w:rPr>
        <w:t xml:space="preserve">: </w:t>
      </w:r>
      <w:r w:rsidR="00292A94">
        <w:rPr>
          <w:szCs w:val="22"/>
        </w:rPr>
        <w:t xml:space="preserve"> </w:t>
      </w:r>
      <w:r w:rsidRPr="00B039CF">
        <w:rPr>
          <w:szCs w:val="22"/>
        </w:rPr>
        <w:t>(</w:t>
      </w:r>
      <w:r w:rsidRPr="00B039CF">
        <w:rPr>
          <w:szCs w:val="22"/>
        </w:rPr>
        <w:t xml:space="preserve">202) 418-0530 or TTY: </w:t>
      </w:r>
      <w:r w:rsidR="00292A94">
        <w:rPr>
          <w:szCs w:val="22"/>
        </w:rPr>
        <w:t xml:space="preserve"> </w:t>
      </w:r>
      <w:r w:rsidRPr="00B039CF">
        <w:rPr>
          <w:szCs w:val="22"/>
        </w:rPr>
        <w:t>(202) 418-0432.</w:t>
      </w:r>
    </w:p>
    <w:p w:rsidR="004F1287" w:rsidP="004F1287" w14:paraId="36A7F883" w14:textId="77777777">
      <w:pPr>
        <w:ind w:firstLine="720"/>
        <w:rPr>
          <w:szCs w:val="22"/>
        </w:rPr>
      </w:pPr>
    </w:p>
    <w:p w:rsidR="008B43F3" w:rsidP="004F1287" w14:paraId="39A184F2" w14:textId="77777777">
      <w:pPr>
        <w:ind w:firstLine="720"/>
        <w:rPr>
          <w:szCs w:val="22"/>
        </w:rPr>
      </w:pPr>
    </w:p>
    <w:p w:rsidR="008B43F3" w14:paraId="3E7A62F8" w14:textId="77777777">
      <w:pPr>
        <w:rPr>
          <w:szCs w:val="22"/>
        </w:rPr>
      </w:pPr>
      <w:r>
        <w:rPr>
          <w:szCs w:val="22"/>
        </w:rPr>
        <w:br w:type="page"/>
      </w:r>
    </w:p>
    <w:p w:rsidR="000F45B1" w:rsidP="004F1287" w14:paraId="64F582A5" w14:textId="047603BF">
      <w:pPr>
        <w:ind w:firstLine="720"/>
        <w:rPr>
          <w:szCs w:val="22"/>
        </w:rPr>
      </w:pPr>
      <w:r w:rsidRPr="00B039CF">
        <w:rPr>
          <w:szCs w:val="22"/>
        </w:rPr>
        <w:t xml:space="preserve">For further information, contact </w:t>
      </w:r>
      <w:r w:rsidRPr="00625AB8" w:rsidR="00625AB8">
        <w:rPr>
          <w:szCs w:val="22"/>
        </w:rPr>
        <w:t>Albert Shuldiner</w:t>
      </w:r>
      <w:r w:rsidRPr="00625AB8">
        <w:rPr>
          <w:szCs w:val="22"/>
        </w:rPr>
        <w:t>, Audio Division, Media Bureau, at (202) 418-2726.</w:t>
      </w:r>
      <w:r w:rsidRPr="00B039CF">
        <w:rPr>
          <w:szCs w:val="22"/>
        </w:rPr>
        <w:t xml:space="preserve">  Press inquiries should be directed to Janice Wise, Media Bureau, (202) 418-</w:t>
      </w:r>
      <w:r>
        <w:rPr>
          <w:szCs w:val="22"/>
        </w:rPr>
        <w:t>8165</w:t>
      </w:r>
      <w:r w:rsidRPr="00B039CF">
        <w:rPr>
          <w:szCs w:val="22"/>
        </w:rPr>
        <w:t xml:space="preserve"> or (888) 835-5322.</w:t>
      </w:r>
    </w:p>
    <w:p w:rsidR="000F45B1" w:rsidRPr="00B53F9E" w:rsidP="000F45B1" w14:paraId="39A1D19A" w14:textId="77777777">
      <w:pPr>
        <w:spacing w:before="120" w:after="240"/>
        <w:rPr>
          <w:szCs w:val="22"/>
        </w:rPr>
      </w:pPr>
    </w:p>
    <w:p w:rsidR="000F45B1" w:rsidP="000F45B1" w14:paraId="0FF2DCBC" w14:textId="77777777">
      <w:pPr>
        <w:spacing w:after="220"/>
        <w:rPr>
          <w:szCs w:val="22"/>
        </w:rPr>
      </w:pPr>
      <w:r w:rsidRPr="00B53F9E">
        <w:rPr>
          <w:szCs w:val="22"/>
        </w:rPr>
        <w:t>By:  Chief, Media Bureau</w:t>
      </w:r>
    </w:p>
    <w:bookmarkEnd w:id="0"/>
    <w:sectPr w:rsidSect="001D641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14:paraId="102806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14:paraId="6A9D5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14:paraId="0C4408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A0E">
      <w:rPr>
        <w:rStyle w:val="PageNumber"/>
        <w:noProof/>
      </w:rPr>
      <w:t>4</w:t>
    </w:r>
    <w:r>
      <w:rPr>
        <w:rStyle w:val="PageNumber"/>
      </w:rPr>
      <w:fldChar w:fldCharType="end"/>
    </w:r>
  </w:p>
  <w:p w:rsidR="005B4425" w14:paraId="290322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184" w14:paraId="10C50F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0623" w14:paraId="7D7520C0" w14:textId="77777777">
      <w:r>
        <w:separator/>
      </w:r>
    </w:p>
  </w:footnote>
  <w:footnote w:type="continuationSeparator" w:id="1">
    <w:p w:rsidR="00460623" w:rsidRPr="007924E8" w:rsidP="007924E8" w14:paraId="071DC8C9" w14:textId="77777777">
      <w:pPr>
        <w:rPr>
          <w:sz w:val="20"/>
        </w:rPr>
      </w:pPr>
      <w:r w:rsidRPr="007924E8">
        <w:rPr>
          <w:sz w:val="20"/>
        </w:rPr>
        <w:separator/>
      </w:r>
    </w:p>
    <w:p w:rsidR="00460623" w:rsidRPr="007924E8" w:rsidP="007924E8" w14:paraId="1CAC885C" w14:textId="77777777">
      <w:pPr>
        <w:pStyle w:val="Footer"/>
        <w:rPr>
          <w:sz w:val="20"/>
        </w:rPr>
      </w:pPr>
      <w:r w:rsidRPr="007924E8">
        <w:rPr>
          <w:sz w:val="20"/>
        </w:rPr>
        <w:t>(…continued from previous page)</w:t>
      </w:r>
    </w:p>
  </w:footnote>
  <w:footnote w:type="continuationNotice" w:id="2">
    <w:p w:rsidR="00460623" w:rsidRPr="00842932" w:rsidP="00842932" w14:paraId="4054035D" w14:textId="77777777">
      <w:pPr>
        <w:pStyle w:val="Footer"/>
      </w:pPr>
    </w:p>
  </w:footnote>
  <w:footnote w:id="3">
    <w:p w:rsidR="000F45B1" w:rsidRPr="0027421A" w:rsidP="005C7C33" w14:paraId="1B002A1F" w14:textId="77777777">
      <w:pPr>
        <w:pStyle w:val="FootnoteText"/>
        <w:jc w:val="left"/>
      </w:pPr>
      <w:r w:rsidRPr="0027421A">
        <w:rPr>
          <w:rStyle w:val="FootnoteReference"/>
        </w:rPr>
        <w:footnoteRef/>
      </w:r>
      <w:r w:rsidRPr="0027421A">
        <w:t xml:space="preserve"> </w:t>
      </w:r>
      <w:r w:rsidR="00352E64">
        <w:t>Petition for Declaratory Ruling of iHeartMedia, Inc., dated July 25, 2019</w:t>
      </w:r>
      <w:r w:rsidR="00816754">
        <w:t xml:space="preserve"> </w:t>
      </w:r>
      <w:r w:rsidR="00BB4287">
        <w:rPr>
          <w:szCs w:val="18"/>
        </w:rPr>
        <w:t>(Petition)</w:t>
      </w:r>
      <w:r w:rsidR="00726A80">
        <w:t>, and Supplement, dated January 28, 2020</w:t>
      </w:r>
      <w:r w:rsidR="00BB4287">
        <w:t xml:space="preserve"> (Supplement)</w:t>
      </w:r>
      <w:r w:rsidR="00352E64">
        <w:t>.</w:t>
      </w:r>
    </w:p>
  </w:footnote>
  <w:footnote w:id="4">
    <w:p w:rsidR="007C6484" w:rsidRPr="00BC03BD" w:rsidP="005C7C33" w14:paraId="705CB629" w14:textId="77777777">
      <w:pPr>
        <w:pStyle w:val="FootnoteText"/>
        <w:jc w:val="left"/>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w:t>
      </w:r>
      <w:r w:rsidRPr="00BC03BD">
        <w:t>Rcd</w:t>
      </w:r>
      <w:r w:rsidRPr="00BC03BD">
        <w:t xml:space="preserve"> 16244 (2013).</w:t>
      </w:r>
    </w:p>
  </w:footnote>
  <w:footnote w:id="5">
    <w:p w:rsidR="007C6484" w:rsidRPr="00352E64" w:rsidP="005C7C33" w14:paraId="2FC52700" w14:textId="2BB84C96">
      <w:pPr>
        <w:pStyle w:val="FootnoteText"/>
        <w:jc w:val="left"/>
      </w:pPr>
      <w:r>
        <w:rPr>
          <w:rStyle w:val="FootnoteReference"/>
        </w:rPr>
        <w:footnoteRef/>
      </w:r>
      <w:r>
        <w:t xml:space="preserve"> 47 CFR § 1.5000(a)(1); </w:t>
      </w:r>
      <w:r>
        <w:rPr>
          <w:i/>
        </w:rPr>
        <w:t>see also Review of Foreign Ownership Policies for Broadcast, Common Carrier, and Aeronautical Radio Licensees Under Section 310(b)(4) of the Communications Act of 1934</w:t>
      </w:r>
      <w:r>
        <w:t xml:space="preserve">, </w:t>
      </w:r>
      <w:r>
        <w:rPr>
          <w:i/>
        </w:rPr>
        <w:t>as Amended</w:t>
      </w:r>
      <w:r>
        <w:t xml:space="preserve">, Report and Order, 31 FCC </w:t>
      </w:r>
      <w:r>
        <w:t>Rcd</w:t>
      </w:r>
      <w:r>
        <w:t xml:space="preserve"> 11272 (2016)</w:t>
      </w:r>
      <w:r w:rsidR="00671A73">
        <w:t xml:space="preserve">; </w:t>
      </w:r>
      <w:r w:rsidRPr="005C7C33" w:rsidR="009F56BE">
        <w:rPr>
          <w:i/>
          <w:iCs/>
        </w:rPr>
        <w:t>pet. for recon. dismissed</w:t>
      </w:r>
      <w:r w:rsidRPr="009F56BE" w:rsidR="009F56BE">
        <w:t xml:space="preserve">, 32 FCC </w:t>
      </w:r>
      <w:r w:rsidRPr="009F56BE" w:rsidR="009F56BE">
        <w:t>Rcd</w:t>
      </w:r>
      <w:r w:rsidRPr="009F56BE" w:rsidR="009F56BE">
        <w:t xml:space="preserve"> 4780 (2017)</w:t>
      </w:r>
      <w:r>
        <w:t>.</w:t>
      </w:r>
      <w:r>
        <w:rPr>
          <w:i/>
        </w:rPr>
        <w:t xml:space="preserve"> </w:t>
      </w:r>
    </w:p>
  </w:footnote>
  <w:footnote w:id="6">
    <w:p w:rsidR="000F45B1" w:rsidRPr="0027421A" w:rsidP="005C7C33" w14:paraId="3975F840" w14:textId="77777777">
      <w:pPr>
        <w:pStyle w:val="FootnoteText"/>
        <w:jc w:val="left"/>
      </w:pPr>
      <w:r w:rsidRPr="0027421A">
        <w:rPr>
          <w:rStyle w:val="FootnoteReference"/>
        </w:rPr>
        <w:footnoteRef/>
      </w:r>
      <w:r w:rsidRPr="0027421A">
        <w:t xml:space="preserve"> </w:t>
      </w:r>
      <w:bookmarkStart w:id="2" w:name="_Hlk12438152"/>
      <w:r w:rsidRPr="0027421A">
        <w:t>47 U.S.C. § 310(b)(4)</w:t>
      </w:r>
      <w:bookmarkEnd w:id="2"/>
      <w:r w:rsidRPr="0027421A">
        <w:t xml:space="preserve"> (“No broadcast station or common carrier or aeronautical </w:t>
      </w:r>
      <w:r w:rsidRPr="0027421A">
        <w:t>en</w:t>
      </w:r>
      <w:r w:rsidRPr="0027421A">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00292A94">
        <w:t>.</w:t>
      </w:r>
      <w:r w:rsidRPr="0027421A">
        <w:t xml:space="preserve">”). </w:t>
      </w:r>
    </w:p>
  </w:footnote>
  <w:footnote w:id="7">
    <w:p w:rsidR="000F45B1" w:rsidRPr="0027421A" w:rsidP="005C7C33" w14:paraId="7DC19380" w14:textId="6EF2F986">
      <w:pPr>
        <w:pStyle w:val="FootnoteText"/>
        <w:jc w:val="left"/>
      </w:pPr>
      <w:r w:rsidRPr="0027421A">
        <w:rPr>
          <w:rStyle w:val="FootnoteReference"/>
        </w:rPr>
        <w:footnoteRef/>
      </w:r>
      <w:r w:rsidRPr="0027421A">
        <w:t xml:space="preserve"> Under section 1.5001(</w:t>
      </w:r>
      <w:r w:rsidRPr="0027421A">
        <w:t>i</w:t>
      </w:r>
      <w:r w:rsidRPr="0027421A">
        <w:t xml:space="preserve">)(1) of the Commission’s </w:t>
      </w:r>
      <w:r>
        <w:t>r</w:t>
      </w:r>
      <w:r w:rsidRPr="0027421A">
        <w:t>ules, petitioners for a declaratory ruling are required to identify and seek specific approval for any foreign individual, entity, or group that holds or would hold, directly and/or indirectly, more than 5</w:t>
      </w:r>
      <w:r w:rsidR="00F615B8">
        <w:t>%</w:t>
      </w:r>
      <w:r w:rsidRPr="0027421A">
        <w:t xml:space="preserve"> of equity and/or voting interests, or a controlling interest, in the petitioner’s controlling U.S. parent, subject to certain exemptions including an exemption that increases the specific approval threshold to 10</w:t>
      </w:r>
      <w:r w:rsidR="00F615B8">
        <w:t>%</w:t>
      </w:r>
      <w:r w:rsidRPr="0027421A">
        <w:t xml:space="preserve"> for certain institutional investors.  47 CFR § 1.5001(</w:t>
      </w:r>
      <w:r w:rsidRPr="0027421A">
        <w:t>i</w:t>
      </w:r>
      <w:r w:rsidRPr="0027421A">
        <w:t xml:space="preserve">)(1)(3).  </w:t>
      </w:r>
    </w:p>
  </w:footnote>
  <w:footnote w:id="8">
    <w:p w:rsidR="000F45B1" w:rsidRPr="0027421A" w:rsidP="005C7C33" w14:paraId="0644970E" w14:textId="77777777">
      <w:pPr>
        <w:pStyle w:val="FootnoteText"/>
        <w:jc w:val="left"/>
      </w:pPr>
      <w:r w:rsidRPr="0027421A">
        <w:rPr>
          <w:rStyle w:val="FootnoteReference"/>
        </w:rPr>
        <w:footnoteRef/>
      </w:r>
      <w:r w:rsidRPr="0027421A">
        <w:t xml:space="preserve"> Petition at </w:t>
      </w:r>
      <w:r w:rsidR="00BC1896">
        <w:t>1-2</w:t>
      </w:r>
      <w:r w:rsidRPr="0027421A">
        <w:t>.</w:t>
      </w:r>
    </w:p>
  </w:footnote>
  <w:footnote w:id="9">
    <w:p w:rsidR="00452C75" w:rsidRPr="00AA7238" w:rsidP="005C7C33" w14:paraId="1063A9D0" w14:textId="7A5B8A54">
      <w:pPr>
        <w:pStyle w:val="FootnoteText"/>
        <w:jc w:val="left"/>
      </w:pPr>
      <w:r>
        <w:rPr>
          <w:rStyle w:val="FootnoteReference"/>
        </w:rPr>
        <w:footnoteRef/>
      </w:r>
      <w:r>
        <w:t xml:space="preserve"> </w:t>
      </w:r>
      <w:r>
        <w:rPr>
          <w:i/>
        </w:rPr>
        <w:t xml:space="preserve">See </w:t>
      </w:r>
      <w:r w:rsidR="00816754">
        <w:rPr>
          <w:i/>
        </w:rPr>
        <w:t>i</w:t>
      </w:r>
      <w:r w:rsidRPr="00BB4287" w:rsidR="00BB4287">
        <w:rPr>
          <w:i/>
          <w:iCs/>
        </w:rPr>
        <w:t>d</w:t>
      </w:r>
      <w:r w:rsidR="00BB4287">
        <w:t>.</w:t>
      </w:r>
      <w:r w:rsidR="00352E64">
        <w:t xml:space="preserve"> </w:t>
      </w:r>
      <w:r>
        <w:t>at</w:t>
      </w:r>
      <w:r w:rsidR="00717BFC">
        <w:t xml:space="preserve"> 2;</w:t>
      </w:r>
      <w:r>
        <w:t xml:space="preserve"> </w:t>
      </w:r>
      <w:r>
        <w:t>Exh</w:t>
      </w:r>
      <w:r w:rsidR="003459CF">
        <w:t>.</w:t>
      </w:r>
      <w:r>
        <w:t xml:space="preserve"> A, Subsidiaries and Licensees.  </w:t>
      </w:r>
      <w:r>
        <w:t>iHeart</w:t>
      </w:r>
      <w:r>
        <w:t xml:space="preserve"> owns and operates </w:t>
      </w:r>
      <w:r w:rsidR="00717BFC">
        <w:t xml:space="preserve">857 </w:t>
      </w:r>
      <w:r>
        <w:t>full power radio broadcast stations, together with translator and booster stations and other ancillary facilities licensed by the Commission.</w:t>
      </w:r>
      <w:r w:rsidR="00717BFC">
        <w:t xml:space="preserve">  </w:t>
      </w:r>
    </w:p>
  </w:footnote>
  <w:footnote w:id="10">
    <w:p w:rsidR="000F45B1" w:rsidRPr="00816754" w:rsidP="005C7C33" w14:paraId="5A764D1A" w14:textId="0AD8624E">
      <w:pPr>
        <w:pStyle w:val="FootnoteText"/>
        <w:jc w:val="left"/>
      </w:pPr>
      <w:r w:rsidRPr="0027421A">
        <w:rPr>
          <w:rStyle w:val="FootnoteReference"/>
        </w:rPr>
        <w:footnoteRef/>
      </w:r>
      <w:r w:rsidRPr="0027421A">
        <w:t xml:space="preserve"> </w:t>
      </w:r>
      <w:r w:rsidRPr="0027421A">
        <w:rPr>
          <w:i/>
        </w:rPr>
        <w:t>Id.</w:t>
      </w:r>
      <w:r w:rsidRPr="0027421A">
        <w:t xml:space="preserve">  </w:t>
      </w:r>
      <w:r w:rsidR="00717BFC">
        <w:t>iHeart</w:t>
      </w:r>
      <w:r w:rsidRPr="0027421A">
        <w:t xml:space="preserve"> emerged from bankruptcy on </w:t>
      </w:r>
      <w:r w:rsidR="00717BFC">
        <w:t>May 1</w:t>
      </w:r>
      <w:r w:rsidRPr="0027421A">
        <w:t xml:space="preserve">, 2019.  </w:t>
      </w:r>
      <w:r w:rsidRPr="0027421A">
        <w:rPr>
          <w:i/>
        </w:rPr>
        <w:t>Id.</w:t>
      </w:r>
      <w:r w:rsidR="00717BFC">
        <w:t xml:space="preserve"> at 3.</w:t>
      </w:r>
      <w:r w:rsidR="00816754">
        <w:t xml:space="preserve">  </w:t>
      </w:r>
      <w:r w:rsidR="00816754">
        <w:rPr>
          <w:i/>
          <w:iCs/>
        </w:rPr>
        <w:t>See also</w:t>
      </w:r>
      <w:r w:rsidR="00816754">
        <w:t xml:space="preserve"> </w:t>
      </w:r>
      <w:r w:rsidR="00816754">
        <w:rPr>
          <w:i/>
          <w:iCs/>
        </w:rPr>
        <w:t>iHeartMedia, Inc.</w:t>
      </w:r>
      <w:r w:rsidR="00816754">
        <w:t>,</w:t>
      </w:r>
      <w:r w:rsidR="00816754">
        <w:rPr>
          <w:i/>
          <w:iCs/>
        </w:rPr>
        <w:t xml:space="preserve"> Debtor-in-Possession Seeks Approval to Transfer Control of and Assign FCC Authorizations and Licenses</w:t>
      </w:r>
      <w:r w:rsidR="00816754">
        <w:t xml:space="preserve">, Memorandum Opinion and Order, 34 FCC </w:t>
      </w:r>
      <w:r w:rsidR="00816754">
        <w:t>Rcd</w:t>
      </w:r>
      <w:r w:rsidR="00816754">
        <w:t xml:space="preserve"> 2409 (MB 2019).</w:t>
      </w:r>
    </w:p>
  </w:footnote>
  <w:footnote w:id="11">
    <w:p w:rsidR="009178A2" w:rsidP="005C7C33" w14:paraId="0778D5A9" w14:textId="77777777">
      <w:pPr>
        <w:pStyle w:val="FootnoteText"/>
        <w:jc w:val="left"/>
      </w:pPr>
      <w:r>
        <w:rPr>
          <w:rStyle w:val="FootnoteReference"/>
        </w:rPr>
        <w:footnoteRef/>
      </w:r>
      <w:r>
        <w:t xml:space="preserve"> </w:t>
      </w:r>
      <w:r w:rsidRPr="003059EF" w:rsidR="003059EF">
        <w:rPr>
          <w:i/>
          <w:iCs/>
        </w:rPr>
        <w:t>Id</w:t>
      </w:r>
      <w:r w:rsidR="003059EF">
        <w:t>.</w:t>
      </w:r>
    </w:p>
  </w:footnote>
  <w:footnote w:id="12">
    <w:p w:rsidR="00071F03" w14:paraId="7E04ED2D" w14:textId="327CDB28">
      <w:pPr>
        <w:pStyle w:val="FootnoteText"/>
      </w:pPr>
      <w:r>
        <w:rPr>
          <w:rStyle w:val="FootnoteReference"/>
        </w:rPr>
        <w:footnoteRef/>
      </w:r>
      <w:r>
        <w:t xml:space="preserve"> </w:t>
      </w:r>
      <w:r>
        <w:t>iHeart</w:t>
      </w:r>
      <w:r>
        <w:t xml:space="preserve"> does not explain why it chose to reduce foreign interests below 25% to 22.5%.</w:t>
      </w:r>
    </w:p>
  </w:footnote>
  <w:footnote w:id="13">
    <w:p w:rsidR="003059EF" w:rsidRPr="003059EF" w:rsidP="005C7C33" w14:paraId="41A9677F" w14:textId="77777777">
      <w:pPr>
        <w:pStyle w:val="FootnoteText"/>
        <w:jc w:val="left"/>
      </w:pPr>
      <w:r>
        <w:rPr>
          <w:rStyle w:val="FootnoteReference"/>
        </w:rPr>
        <w:footnoteRef/>
      </w:r>
      <w:r>
        <w:t xml:space="preserve"> </w:t>
      </w:r>
      <w:r>
        <w:rPr>
          <w:i/>
          <w:iCs/>
        </w:rPr>
        <w:t>Id</w:t>
      </w:r>
      <w:r>
        <w:t>. at 6.</w:t>
      </w:r>
    </w:p>
  </w:footnote>
  <w:footnote w:id="14">
    <w:p w:rsidR="00BE4DE1" w:rsidP="005C7C33" w14:paraId="1AF44855" w14:textId="77777777">
      <w:pPr>
        <w:pStyle w:val="FootnoteText"/>
        <w:jc w:val="left"/>
      </w:pPr>
      <w:r>
        <w:rPr>
          <w:rStyle w:val="FootnoteReference"/>
        </w:rPr>
        <w:footnoteRef/>
      </w:r>
      <w:r>
        <w:t xml:space="preserve"> </w:t>
      </w:r>
      <w:r w:rsidRPr="00BB4287" w:rsidR="00BB4287">
        <w:rPr>
          <w:i/>
          <w:iCs/>
        </w:rPr>
        <w:t>Id</w:t>
      </w:r>
      <w:r w:rsidR="00BB4287">
        <w:t>.</w:t>
      </w:r>
    </w:p>
  </w:footnote>
  <w:footnote w:id="15">
    <w:p w:rsidR="00F63BE7" w:rsidP="005C7C33" w14:paraId="77F1E9F0" w14:textId="77777777">
      <w:pPr>
        <w:pStyle w:val="FootnoteText"/>
        <w:jc w:val="left"/>
      </w:pPr>
      <w:r>
        <w:rPr>
          <w:rStyle w:val="FootnoteReference"/>
        </w:rPr>
        <w:footnoteRef/>
      </w:r>
      <w:r>
        <w:t xml:space="preserve"> Letter from Eve </w:t>
      </w:r>
      <w:r>
        <w:t>Klindera</w:t>
      </w:r>
      <w:r>
        <w:t xml:space="preserve"> Reed to Marlene H. Dortch, Secretary, dated July 3, 2019.</w:t>
      </w:r>
    </w:p>
  </w:footnote>
  <w:footnote w:id="16">
    <w:p w:rsidR="00B03AA1" w:rsidP="005C7C33" w14:paraId="16A89FEA" w14:textId="77777777">
      <w:pPr>
        <w:pStyle w:val="FootnoteText"/>
        <w:jc w:val="left"/>
      </w:pPr>
      <w:r>
        <w:rPr>
          <w:rStyle w:val="FootnoteReference"/>
        </w:rPr>
        <w:footnoteRef/>
      </w:r>
      <w:r>
        <w:t xml:space="preserve"> 47 CFR </w:t>
      </w:r>
      <w:r w:rsidRPr="0027421A">
        <w:t>§ 1.500</w:t>
      </w:r>
      <w:r>
        <w:t>4</w:t>
      </w:r>
      <w:r w:rsidRPr="0027421A">
        <w:t>(</w:t>
      </w:r>
      <w:r>
        <w:t>f</w:t>
      </w:r>
      <w:r w:rsidRPr="0027421A">
        <w:t>)(3).</w:t>
      </w:r>
      <w:r w:rsidR="00726A80">
        <w:t xml:space="preserve">  </w:t>
      </w:r>
    </w:p>
  </w:footnote>
  <w:footnote w:id="17">
    <w:p w:rsidR="00726A80" w:rsidP="005C7C33" w14:paraId="5E0B9412" w14:textId="2A3FF725">
      <w:pPr>
        <w:pStyle w:val="FootnoteText"/>
        <w:jc w:val="left"/>
      </w:pPr>
      <w:r>
        <w:rPr>
          <w:rStyle w:val="FootnoteReference"/>
        </w:rPr>
        <w:footnoteRef/>
      </w:r>
      <w:r>
        <w:t xml:space="preserve"> </w:t>
      </w:r>
      <w:r w:rsidR="00615F12">
        <w:t xml:space="preserve">Letter from Albert Shuldiner, Chief, Audio Div., Media Bureau, FCC to </w:t>
      </w:r>
      <w:r>
        <w:t>iHeartMedia, Inc., dated July 9, 2019.</w:t>
      </w:r>
    </w:p>
  </w:footnote>
  <w:footnote w:id="18">
    <w:p w:rsidR="00603115" w:rsidP="005C7C33" w14:paraId="7D3C5BFD" w14:textId="24D6B413">
      <w:pPr>
        <w:pStyle w:val="FootnoteText"/>
        <w:jc w:val="left"/>
      </w:pPr>
      <w:r>
        <w:rPr>
          <w:rStyle w:val="FootnoteReference"/>
        </w:rPr>
        <w:footnoteRef/>
      </w:r>
      <w:r>
        <w:t xml:space="preserve"> Petition at </w:t>
      </w:r>
      <w:r>
        <w:t>Exh</w:t>
      </w:r>
      <w:r w:rsidR="003459CF">
        <w:t>.</w:t>
      </w:r>
      <w:r>
        <w:t xml:space="preserve"> E.</w:t>
      </w:r>
      <w:r w:rsidR="00BB4287">
        <w:t xml:space="preserve">  Exhibit D to the Petition also contains information about foreign ownership that does not exceed the threshold requiring specific approval.</w:t>
      </w:r>
    </w:p>
  </w:footnote>
  <w:footnote w:id="19">
    <w:p w:rsidR="00F63BE7" w:rsidP="005C7C33" w14:paraId="0FA1F6DE" w14:textId="77777777">
      <w:pPr>
        <w:pStyle w:val="FootnoteText"/>
        <w:jc w:val="left"/>
      </w:pPr>
      <w:r>
        <w:rPr>
          <w:rStyle w:val="FootnoteReference"/>
        </w:rPr>
        <w:footnoteRef/>
      </w:r>
      <w:r>
        <w:t xml:space="preserve"> Petition at 8-9.</w:t>
      </w:r>
    </w:p>
  </w:footnote>
  <w:footnote w:id="20">
    <w:p w:rsidR="0065535C" w:rsidP="005C7C33" w14:paraId="53886329" w14:textId="77777777">
      <w:pPr>
        <w:pStyle w:val="FootnoteText"/>
        <w:jc w:val="left"/>
      </w:pPr>
      <w:r>
        <w:rPr>
          <w:rStyle w:val="FootnoteReference"/>
        </w:rPr>
        <w:footnoteRef/>
      </w:r>
      <w:r>
        <w:t xml:space="preserve"> </w:t>
      </w:r>
      <w:r w:rsidR="00BB4287">
        <w:rPr>
          <w:i/>
          <w:iCs/>
        </w:rPr>
        <w:t>Id</w:t>
      </w:r>
      <w:r w:rsidR="00BB4287">
        <w:t>.</w:t>
      </w:r>
      <w:r>
        <w:t xml:space="preserve"> at 9.</w:t>
      </w:r>
    </w:p>
  </w:footnote>
  <w:footnote w:id="21">
    <w:p w:rsidR="00E85C4A" w:rsidRPr="00E85C4A" w:rsidP="005C7C33" w14:paraId="325104CC" w14:textId="77777777">
      <w:pPr>
        <w:pStyle w:val="FootnoteText"/>
        <w:jc w:val="left"/>
      </w:pPr>
      <w:r>
        <w:rPr>
          <w:rStyle w:val="FootnoteReference"/>
        </w:rPr>
        <w:footnoteRef/>
      </w:r>
      <w:r>
        <w:t xml:space="preserve"> </w:t>
      </w:r>
      <w:r>
        <w:rPr>
          <w:i/>
          <w:iCs/>
        </w:rPr>
        <w:t>Id</w:t>
      </w:r>
      <w:r>
        <w:t>. at 2.</w:t>
      </w:r>
    </w:p>
  </w:footnote>
  <w:footnote w:id="22">
    <w:p w:rsidR="00AA2E40" w:rsidP="005C7C33" w14:paraId="6931C4F9" w14:textId="50219483">
      <w:pPr>
        <w:pStyle w:val="FootnoteText"/>
        <w:jc w:val="left"/>
      </w:pPr>
      <w:r>
        <w:rPr>
          <w:rStyle w:val="FootnoteReference"/>
        </w:rPr>
        <w:footnoteRef/>
      </w:r>
      <w:r>
        <w:t xml:space="preserve"> </w:t>
      </w:r>
      <w:r w:rsidR="00BB4287">
        <w:t>Supplement</w:t>
      </w:r>
      <w:r>
        <w:t xml:space="preserve"> at </w:t>
      </w:r>
      <w:r>
        <w:t>Exh</w:t>
      </w:r>
      <w:r w:rsidR="003459CF">
        <w:t>.</w:t>
      </w:r>
      <w:r>
        <w:t xml:space="preserve"> C-1.  </w:t>
      </w:r>
      <w:r w:rsidR="00BD18B6">
        <w:t>U.S. entities hold t</w:t>
      </w:r>
      <w:r>
        <w:t>he remaining 49</w:t>
      </w:r>
      <w:r w:rsidR="006915EE">
        <w:t>%</w:t>
      </w:r>
      <w:r>
        <w:t xml:space="preserve"> interest in Los Angeles Broadcasting Partners, LLC.  </w:t>
      </w:r>
      <w:r w:rsidR="00BB4287">
        <w:rPr>
          <w:i/>
          <w:iCs/>
        </w:rPr>
        <w:t>Id</w:t>
      </w:r>
      <w:r w:rsidR="00BB4287">
        <w:t>.</w:t>
      </w:r>
      <w:r>
        <w:t xml:space="preserve"> at </w:t>
      </w:r>
      <w:r>
        <w:t>Exh</w:t>
      </w:r>
      <w:r w:rsidR="003459CF">
        <w:t>.</w:t>
      </w:r>
      <w:r>
        <w:t xml:space="preserve"> B, 13-17.</w:t>
      </w:r>
    </w:p>
  </w:footnote>
  <w:footnote w:id="23">
    <w:p w:rsidR="00AA2E40" w:rsidP="005C7C33" w14:paraId="355E6D82" w14:textId="334B4C51">
      <w:pPr>
        <w:pStyle w:val="FootnoteText"/>
        <w:jc w:val="left"/>
      </w:pPr>
      <w:r>
        <w:rPr>
          <w:rStyle w:val="FootnoteReference"/>
        </w:rPr>
        <w:footnoteRef/>
      </w:r>
      <w:r>
        <w:t xml:space="preserve"> </w:t>
      </w:r>
      <w:r w:rsidR="00BB4287">
        <w:rPr>
          <w:i/>
          <w:iCs/>
        </w:rPr>
        <w:t>Id</w:t>
      </w:r>
      <w:r w:rsidR="00BB4287">
        <w:t>.</w:t>
      </w:r>
      <w:r>
        <w:t xml:space="preserve"> at </w:t>
      </w:r>
      <w:r>
        <w:t>Exh</w:t>
      </w:r>
      <w:r w:rsidR="003459CF">
        <w:t>.</w:t>
      </w:r>
      <w:r>
        <w:t xml:space="preserve"> C-1.  Exhibit C-1 contains a chart detailing the entire ownership structure between </w:t>
      </w:r>
      <w:r>
        <w:t>iHeart</w:t>
      </w:r>
      <w:r>
        <w:t xml:space="preserve"> and the eight licensees.</w:t>
      </w:r>
      <w:r w:rsidR="00603115">
        <w:t xml:space="preserve">  Exhibit </w:t>
      </w:r>
      <w:r w:rsidR="00BD18B6">
        <w:t xml:space="preserve">B </w:t>
      </w:r>
      <w:r w:rsidR="00603115">
        <w:t xml:space="preserve">contains details on the ownership and attributable interests in </w:t>
      </w:r>
      <w:r w:rsidR="00603115">
        <w:t>iHeart</w:t>
      </w:r>
      <w:r w:rsidR="00603115">
        <w:t xml:space="preserve"> and its subsidiaries.</w:t>
      </w:r>
    </w:p>
  </w:footnote>
  <w:footnote w:id="24">
    <w:p w:rsidR="004D60ED" w:rsidP="005C7C33" w14:paraId="029BE108" w14:textId="47234BA0">
      <w:pPr>
        <w:pStyle w:val="FootnoteText"/>
        <w:jc w:val="left"/>
      </w:pPr>
      <w:r>
        <w:rPr>
          <w:rStyle w:val="FootnoteReference"/>
        </w:rPr>
        <w:footnoteRef/>
      </w:r>
      <w:r>
        <w:t xml:space="preserve"> PIMCO LLC periodically grants certain employees the ability to acquire “M Units” in PIMCO LLC as a form of compensation.  Some of these individuals may be non-U.S. citizens.  According to the Supplement, the PIMCO LLC Agreement significantly restricts the rights of the M Unit holders.</w:t>
      </w:r>
      <w:r w:rsidR="00671A73">
        <w:t xml:space="preserve">  </w:t>
      </w:r>
      <w:r w:rsidRPr="005C7C33" w:rsidR="00671A73">
        <w:rPr>
          <w:i/>
          <w:iCs/>
        </w:rPr>
        <w:t>See</w:t>
      </w:r>
      <w:r w:rsidR="00671A73">
        <w:t xml:space="preserve"> Supplement</w:t>
      </w:r>
      <w:r w:rsidR="003459CF">
        <w:t xml:space="preserve"> at</w:t>
      </w:r>
      <w:r w:rsidR="00671A73">
        <w:t xml:space="preserve"> </w:t>
      </w:r>
      <w:r w:rsidR="00671A73">
        <w:t>Exh</w:t>
      </w:r>
      <w:r w:rsidR="00671A73">
        <w:t>. F discussing</w:t>
      </w:r>
      <w:r w:rsidR="00091334">
        <w:t xml:space="preserve"> the</w:t>
      </w:r>
      <w:r w:rsidR="00671A73">
        <w:t xml:space="preserve"> </w:t>
      </w:r>
      <w:r w:rsidR="00091334">
        <w:t>c</w:t>
      </w:r>
      <w:r w:rsidR="00671A73">
        <w:t>ertification</w:t>
      </w:r>
      <w:r w:rsidR="00091334">
        <w:t xml:space="preserve"> in Attach.</w:t>
      </w:r>
      <w:r w:rsidR="00BD493B">
        <w:t xml:space="preserve"> </w:t>
      </w:r>
      <w:r w:rsidR="00091334">
        <w:t>A</w:t>
      </w:r>
      <w:r w:rsidR="00671A73">
        <w:t>.</w:t>
      </w:r>
      <w:r>
        <w:t xml:space="preserve">  Consequently, </w:t>
      </w:r>
      <w:r>
        <w:t>iHeart</w:t>
      </w:r>
      <w:r>
        <w:t xml:space="preserve"> believes the M Unit holders should be treated as </w:t>
      </w:r>
      <w:r w:rsidR="00335318">
        <w:t>insulated</w:t>
      </w:r>
      <w:r>
        <w:t xml:space="preserve"> members of PIMCO LLC.  The</w:t>
      </w:r>
      <w:r w:rsidR="00671A73">
        <w:t xml:space="preserve"> Supplement asserts that</w:t>
      </w:r>
      <w:r>
        <w:t>, “</w:t>
      </w:r>
      <w:r w:rsidRPr="004D60ED">
        <w:t>none of the foreign holders of M Units require specific approval,</w:t>
      </w:r>
      <w:r>
        <w:t xml:space="preserve"> </w:t>
      </w:r>
      <w:r w:rsidRPr="004D60ED">
        <w:t>and no such holder should be considered to hold an attributable interest in PIMCO LLC.</w:t>
      </w:r>
      <w:r>
        <w:t xml:space="preserve">”  Supplement at </w:t>
      </w:r>
      <w:r>
        <w:t>Exh</w:t>
      </w:r>
      <w:r w:rsidR="00BD493B">
        <w:t>.</w:t>
      </w:r>
      <w:r>
        <w:t xml:space="preserve"> F, Attach</w:t>
      </w:r>
      <w:r w:rsidR="00BD493B">
        <w:t>.</w:t>
      </w:r>
      <w:r>
        <w:t xml:space="preserve"> A.</w:t>
      </w:r>
    </w:p>
  </w:footnote>
  <w:footnote w:id="25">
    <w:p w:rsidR="00163B81" w:rsidP="005C7C33" w14:paraId="3114AA5A" w14:textId="30190CF9">
      <w:pPr>
        <w:pStyle w:val="FootnoteText"/>
        <w:jc w:val="left"/>
      </w:pPr>
      <w:r>
        <w:rPr>
          <w:rStyle w:val="FootnoteReference"/>
        </w:rPr>
        <w:footnoteRef/>
      </w:r>
      <w:r>
        <w:t xml:space="preserve"> The full PIMCO Group ownership and control structure is set out in </w:t>
      </w:r>
      <w:r>
        <w:t>Exh</w:t>
      </w:r>
      <w:r w:rsidR="003459CF">
        <w:t>.</w:t>
      </w:r>
      <w:r>
        <w:t xml:space="preserve"> C-2 to the Supplement.</w:t>
      </w:r>
    </w:p>
  </w:footnote>
  <w:footnote w:id="26">
    <w:p w:rsidR="00163B81" w:rsidP="005C7C33" w14:paraId="00D80C41" w14:textId="1FCCB48F">
      <w:pPr>
        <w:pStyle w:val="FootnoteText"/>
        <w:jc w:val="left"/>
      </w:pPr>
      <w:r>
        <w:rPr>
          <w:rStyle w:val="FootnoteReference"/>
        </w:rPr>
        <w:footnoteRef/>
      </w:r>
      <w:r>
        <w:t xml:space="preserve"> Supplement </w:t>
      </w:r>
      <w:r w:rsidR="003459CF">
        <w:t>at</w:t>
      </w:r>
      <w:r>
        <w:t xml:space="preserve"> </w:t>
      </w:r>
      <w:r>
        <w:t>Exh</w:t>
      </w:r>
      <w:r w:rsidR="003459CF">
        <w:t>.</w:t>
      </w:r>
      <w:r>
        <w:t xml:space="preserve"> F, F1-12.</w:t>
      </w:r>
    </w:p>
  </w:footnote>
  <w:footnote w:id="27">
    <w:p w:rsidR="005F3B5A" w:rsidP="005C7C33" w14:paraId="7B5ABDA7" w14:textId="77777777">
      <w:pPr>
        <w:pStyle w:val="FootnoteText"/>
        <w:jc w:val="left"/>
      </w:pPr>
      <w:r>
        <w:rPr>
          <w:rStyle w:val="FootnoteReference"/>
        </w:rPr>
        <w:footnoteRef/>
      </w:r>
      <w:r>
        <w:t xml:space="preserve"> The Petition does not provide details about the individual funds within the Invesco Funds or the Oppenheimer Funds.  All the funds are under the control of Invesco entities</w:t>
      </w:r>
      <w:r w:rsidR="00EA052C">
        <w:t>.</w:t>
      </w:r>
    </w:p>
  </w:footnote>
  <w:footnote w:id="28">
    <w:p w:rsidR="00EA052C" w:rsidP="005C7C33" w14:paraId="632A97AB" w14:textId="77777777">
      <w:pPr>
        <w:pStyle w:val="FootnoteText"/>
        <w:jc w:val="left"/>
      </w:pPr>
      <w:r>
        <w:rPr>
          <w:rStyle w:val="FootnoteReference"/>
        </w:rPr>
        <w:footnoteRef/>
      </w:r>
      <w:r>
        <w:t xml:space="preserve"> The full Invesco Group ownership and control structure is set out in Exhibit C-2 to the Supplement.</w:t>
      </w:r>
    </w:p>
  </w:footnote>
  <w:footnote w:id="29">
    <w:p w:rsidR="00260F86" w:rsidP="005C7C33" w14:paraId="740964FE" w14:textId="0B378235">
      <w:pPr>
        <w:pStyle w:val="FootnoteText"/>
        <w:jc w:val="left"/>
      </w:pPr>
      <w:r>
        <w:rPr>
          <w:rStyle w:val="FootnoteReference"/>
        </w:rPr>
        <w:footnoteRef/>
      </w:r>
      <w:r>
        <w:t xml:space="preserve"> Petition at </w:t>
      </w:r>
      <w:r>
        <w:t>Exh</w:t>
      </w:r>
      <w:r w:rsidR="003459CF">
        <w:t>.</w:t>
      </w:r>
      <w:r>
        <w:t xml:space="preserve"> F, F1-F4.</w:t>
      </w:r>
    </w:p>
  </w:footnote>
  <w:footnote w:id="30">
    <w:p w:rsidR="000F45B1" w:rsidRPr="00BC03BD" w:rsidP="00F80144" w14:paraId="2774575D" w14:textId="77777777">
      <w:pPr>
        <w:spacing w:after="120"/>
        <w:rPr>
          <w:sz w:val="20"/>
        </w:rPr>
      </w:pPr>
      <w:r w:rsidRPr="00BC03BD">
        <w:rPr>
          <w:rStyle w:val="FootnoteReference"/>
          <w:sz w:val="20"/>
        </w:rPr>
        <w:footnoteRef/>
      </w:r>
      <w:r>
        <w:rPr>
          <w:sz w:val="20"/>
        </w:rPr>
        <w:t xml:space="preserve"> 47 CF</w:t>
      </w:r>
      <w:r w:rsidRPr="00BC03BD">
        <w:rPr>
          <w:sz w:val="20"/>
        </w:rPr>
        <w:t xml:space="preserve">R § 1.1200(a).  </w:t>
      </w:r>
    </w:p>
  </w:footnote>
  <w:footnote w:id="31">
    <w:p w:rsidR="000F45B1" w:rsidRPr="00BC03BD" w:rsidP="005C7C33" w14:paraId="354864A0" w14:textId="77777777">
      <w:pPr>
        <w:pStyle w:val="FootnoteText"/>
        <w:jc w:val="left"/>
      </w:pPr>
      <w:r w:rsidRPr="00BC03BD">
        <w:rPr>
          <w:rStyle w:val="FootnoteReference"/>
        </w:rPr>
        <w:footnoteRef/>
      </w:r>
      <w:r>
        <w:t xml:space="preserve"> 47 CFR</w:t>
      </w:r>
      <w:r w:rsidRPr="00BC03BD">
        <w:t xml:space="preserve"> § 1.1206.</w:t>
      </w:r>
    </w:p>
  </w:footnote>
  <w:footnote w:id="32">
    <w:p w:rsidR="000F45B1" w:rsidRPr="00BC03BD" w:rsidP="005C7C33" w14:paraId="35491FCC" w14:textId="77777777">
      <w:pPr>
        <w:pStyle w:val="FootnoteText"/>
        <w:jc w:val="left"/>
      </w:pPr>
      <w:r w:rsidRPr="00BC03BD">
        <w:rPr>
          <w:rStyle w:val="FootnoteReference"/>
        </w:rPr>
        <w:footnoteRef/>
      </w:r>
      <w:r w:rsidRPr="00BC03BD">
        <w:t xml:space="preserve"> </w:t>
      </w:r>
      <w:r w:rsidRPr="00BC03BD">
        <w:rPr>
          <w:i/>
        </w:rPr>
        <w:t xml:space="preserve">See </w:t>
      </w:r>
      <w:r w:rsidRPr="00BC03BD">
        <w:t>47 CFR § 1.1206(b)(1).</w:t>
      </w:r>
    </w:p>
  </w:footnote>
  <w:footnote w:id="33">
    <w:p w:rsidR="000F45B1" w:rsidRPr="00BC03BD" w:rsidP="005C7C33" w14:paraId="5155AE80" w14:textId="77777777">
      <w:pPr>
        <w:pStyle w:val="FootnoteText"/>
        <w:jc w:val="left"/>
      </w:pPr>
      <w:r w:rsidRPr="00BC03BD">
        <w:rPr>
          <w:rStyle w:val="FootnoteReference"/>
        </w:rPr>
        <w:footnoteRef/>
      </w:r>
      <w:r w:rsidRPr="00BC03BD">
        <w:t xml:space="preserve"> </w:t>
      </w:r>
      <w:r w:rsidRPr="00BC03BD">
        <w:rPr>
          <w:i/>
        </w:rPr>
        <w:t>See id</w:t>
      </w:r>
      <w:r w:rsidRPr="00BC03BD">
        <w:t>.</w:t>
      </w:r>
    </w:p>
  </w:footnote>
  <w:footnote w:id="34">
    <w:p w:rsidR="000F45B1" w:rsidRPr="00BC03BD" w:rsidP="005C7C33" w14:paraId="5F1432B9" w14:textId="77777777">
      <w:pPr>
        <w:pStyle w:val="FootnoteText"/>
        <w:jc w:val="left"/>
      </w:pPr>
      <w:r w:rsidRPr="00BC03BD">
        <w:rPr>
          <w:rStyle w:val="FootnoteReference"/>
        </w:rPr>
        <w:footnoteRef/>
      </w:r>
      <w:r w:rsidRPr="00BC03BD">
        <w:t xml:space="preserve"> 47 CFR § 1.1206(b).</w:t>
      </w:r>
    </w:p>
  </w:footnote>
  <w:footnote w:id="35">
    <w:p w:rsidR="000F45B1" w:rsidRPr="006030E1" w:rsidP="005C7C33" w14:paraId="24EAD553" w14:textId="77777777">
      <w:pPr>
        <w:pStyle w:val="FootnoteText"/>
        <w:jc w:val="left"/>
      </w:pPr>
      <w:r w:rsidRPr="0027421A">
        <w:rPr>
          <w:rStyle w:val="FootnoteReference"/>
        </w:rPr>
        <w:footnoteRef/>
      </w:r>
      <w:r w:rsidRPr="0027421A">
        <w:t xml:space="preserve"> </w:t>
      </w:r>
      <w:r w:rsidRPr="00BC03BD">
        <w:t xml:space="preserve">47 CFR </w:t>
      </w:r>
      <w:r w:rsidRPr="0027421A">
        <w:t>§§ 1.46(a),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184" w14:paraId="5402C8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184" w14:paraId="5850B9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C41407" w14:paraId="7D1BFBE3" w14:textId="5DD53800">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945291"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Pr>
        <w:rFonts w:ascii="News Gothic MT" w:hAnsi="News Gothic MT"/>
        <w:b/>
        <w:kern w:val="28"/>
        <w:sz w:val="96"/>
      </w:rPr>
      <w:t>PUBLIC NOTICE</w:t>
    </w:r>
  </w:p>
  <w:p w:rsidR="00362BE4" w14:paraId="359B28E1"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14:textId="77777777">
                          <w:pPr>
                            <w:spacing w:before="40"/>
                            <w:jc w:val="right"/>
                            <w:rPr>
                              <w:rFonts w:ascii="Arial" w:hAnsi="Arial"/>
                              <w:b/>
                              <w:sz w:val="16"/>
                            </w:rPr>
                          </w:pPr>
                          <w:r>
                            <w:rPr>
                              <w:rFonts w:ascii="Arial" w:hAnsi="Arial"/>
                              <w:b/>
                              <w:sz w:val="16"/>
                            </w:rPr>
                            <w:t>News Media Information 202 / 418-0500</w:t>
                          </w:r>
                        </w:p>
                        <w:p w:rsidR="00362BE4"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362BE4" w14:textId="77777777">
                          <w:pPr>
                            <w:jc w:val="right"/>
                            <w:rPr>
                              <w:rFonts w:ascii="Arial" w:hAnsi="Arial"/>
                              <w:b/>
                              <w:sz w:val="16"/>
                            </w:rPr>
                          </w:pPr>
                          <w:r>
                            <w:rPr>
                              <w:rFonts w:ascii="Arial" w:hAnsi="Arial"/>
                              <w:b/>
                              <w:sz w:val="16"/>
                            </w:rPr>
                            <w:t>TTY: 1-888-835-5322</w:t>
                          </w:r>
                        </w:p>
                        <w:p w:rsidR="00362BE4"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6pt;margin-left:268.6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362BE4" w14:paraId="78C6DBDE" w14:textId="77777777">
                    <w:pPr>
                      <w:spacing w:before="40"/>
                      <w:jc w:val="right"/>
                      <w:rPr>
                        <w:rFonts w:ascii="Arial" w:hAnsi="Arial"/>
                        <w:b/>
                        <w:sz w:val="16"/>
                      </w:rPr>
                    </w:pPr>
                    <w:r>
                      <w:rPr>
                        <w:rFonts w:ascii="Arial" w:hAnsi="Arial"/>
                        <w:b/>
                        <w:sz w:val="16"/>
                      </w:rPr>
                      <w:t>News Media Information 202 / 418-0500</w:t>
                    </w:r>
                  </w:p>
                  <w:p w:rsidR="00362BE4" w14:paraId="7FEDCE87"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362BE4" w14:paraId="61190D0C" w14:textId="77777777">
                    <w:pPr>
                      <w:jc w:val="right"/>
                      <w:rPr>
                        <w:rFonts w:ascii="Arial" w:hAnsi="Arial"/>
                        <w:b/>
                        <w:sz w:val="16"/>
                      </w:rPr>
                    </w:pPr>
                    <w:r>
                      <w:rPr>
                        <w:rFonts w:ascii="Arial" w:hAnsi="Arial"/>
                        <w:b/>
                        <w:sz w:val="16"/>
                      </w:rPr>
                      <w:t>TTY: 1-888-835-5322</w:t>
                    </w:r>
                  </w:p>
                  <w:p w:rsidR="00362BE4" w14:paraId="191676E1" w14:textId="777777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14:textId="77777777">
                          <w:pPr>
                            <w:rPr>
                              <w:rFonts w:ascii="Arial" w:hAnsi="Arial"/>
                              <w:b/>
                            </w:rPr>
                          </w:pPr>
                          <w:r>
                            <w:rPr>
                              <w:rFonts w:ascii="Arial" w:hAnsi="Arial"/>
                              <w:b/>
                            </w:rPr>
                            <w:t>Federal Communications Commission</w:t>
                          </w:r>
                        </w:p>
                        <w:p w:rsidR="00362BE4"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362BE4" w14:paraId="31A5A85E" w14:textId="77777777">
                    <w:pPr>
                      <w:rPr>
                        <w:rFonts w:ascii="Arial" w:hAnsi="Arial"/>
                        <w:b/>
                      </w:rPr>
                    </w:pPr>
                    <w:r>
                      <w:rPr>
                        <w:rFonts w:ascii="Arial" w:hAnsi="Arial"/>
                        <w:b/>
                      </w:rPr>
                      <w:t>Federal Communications Commission</w:t>
                    </w:r>
                  </w:p>
                  <w:p w:rsidR="00362BE4" w14:paraId="3B38EFAC"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14:paraId="124F64F1"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2336" from="0,54.95pt" to="468pt,55.15pt" o:allowincell="f"/>
          </w:pict>
        </mc:Fallback>
      </mc:AlternateContent>
    </w:r>
  </w:p>
  <w:p w:rsidR="00362BE4" w14:paraId="1C7C0B7E"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27048E4"/>
    <w:multiLevelType w:val="hybridMultilevel"/>
    <w:tmpl w:val="270A3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2"/>
    <w:rsid w:val="00015A16"/>
    <w:rsid w:val="00024D16"/>
    <w:rsid w:val="000375C3"/>
    <w:rsid w:val="00040586"/>
    <w:rsid w:val="0004196D"/>
    <w:rsid w:val="00046544"/>
    <w:rsid w:val="00050A04"/>
    <w:rsid w:val="00051CC1"/>
    <w:rsid w:val="000578D0"/>
    <w:rsid w:val="0005797F"/>
    <w:rsid w:val="00070966"/>
    <w:rsid w:val="00071F03"/>
    <w:rsid w:val="00072542"/>
    <w:rsid w:val="000764E5"/>
    <w:rsid w:val="00091334"/>
    <w:rsid w:val="00096EC6"/>
    <w:rsid w:val="000A58D1"/>
    <w:rsid w:val="000A7E4D"/>
    <w:rsid w:val="000C60C1"/>
    <w:rsid w:val="000D033E"/>
    <w:rsid w:val="000D21B4"/>
    <w:rsid w:val="000D32F6"/>
    <w:rsid w:val="000E1A31"/>
    <w:rsid w:val="000F45B1"/>
    <w:rsid w:val="00100B30"/>
    <w:rsid w:val="00104305"/>
    <w:rsid w:val="0011123D"/>
    <w:rsid w:val="0012364B"/>
    <w:rsid w:val="00126BF0"/>
    <w:rsid w:val="00132BCA"/>
    <w:rsid w:val="00144F5C"/>
    <w:rsid w:val="00155660"/>
    <w:rsid w:val="001561BB"/>
    <w:rsid w:val="001572E9"/>
    <w:rsid w:val="00163B81"/>
    <w:rsid w:val="001655E4"/>
    <w:rsid w:val="00177719"/>
    <w:rsid w:val="0018615A"/>
    <w:rsid w:val="001871C4"/>
    <w:rsid w:val="00187C05"/>
    <w:rsid w:val="00191B61"/>
    <w:rsid w:val="001A3499"/>
    <w:rsid w:val="001B3115"/>
    <w:rsid w:val="001B3F45"/>
    <w:rsid w:val="001D19D6"/>
    <w:rsid w:val="001D30C8"/>
    <w:rsid w:val="001D6414"/>
    <w:rsid w:val="001E15AB"/>
    <w:rsid w:val="001E1661"/>
    <w:rsid w:val="001E1CAA"/>
    <w:rsid w:val="001E20B5"/>
    <w:rsid w:val="001E6FA2"/>
    <w:rsid w:val="001E7870"/>
    <w:rsid w:val="001F471F"/>
    <w:rsid w:val="00203869"/>
    <w:rsid w:val="002216AF"/>
    <w:rsid w:val="00222ADF"/>
    <w:rsid w:val="00224096"/>
    <w:rsid w:val="00224275"/>
    <w:rsid w:val="002249A4"/>
    <w:rsid w:val="002320C2"/>
    <w:rsid w:val="002455AB"/>
    <w:rsid w:val="00250EC0"/>
    <w:rsid w:val="00260F86"/>
    <w:rsid w:val="0026592D"/>
    <w:rsid w:val="002715B5"/>
    <w:rsid w:val="00272C3C"/>
    <w:rsid w:val="0027421A"/>
    <w:rsid w:val="00280943"/>
    <w:rsid w:val="00283354"/>
    <w:rsid w:val="00292342"/>
    <w:rsid w:val="00292A94"/>
    <w:rsid w:val="00293A53"/>
    <w:rsid w:val="002944FE"/>
    <w:rsid w:val="00297B9A"/>
    <w:rsid w:val="002A4DDA"/>
    <w:rsid w:val="002B6B35"/>
    <w:rsid w:val="002B7F0D"/>
    <w:rsid w:val="002D32E3"/>
    <w:rsid w:val="002E388F"/>
    <w:rsid w:val="002E6FE8"/>
    <w:rsid w:val="002E7FFB"/>
    <w:rsid w:val="002F0D06"/>
    <w:rsid w:val="003002C5"/>
    <w:rsid w:val="0030272A"/>
    <w:rsid w:val="0030351B"/>
    <w:rsid w:val="003059EF"/>
    <w:rsid w:val="00305BCF"/>
    <w:rsid w:val="0031169A"/>
    <w:rsid w:val="003142D6"/>
    <w:rsid w:val="00314E66"/>
    <w:rsid w:val="00330A28"/>
    <w:rsid w:val="00335318"/>
    <w:rsid w:val="00336162"/>
    <w:rsid w:val="00344786"/>
    <w:rsid w:val="003459CF"/>
    <w:rsid w:val="003508CB"/>
    <w:rsid w:val="00352E64"/>
    <w:rsid w:val="00357500"/>
    <w:rsid w:val="0035769F"/>
    <w:rsid w:val="00362BE4"/>
    <w:rsid w:val="0036693F"/>
    <w:rsid w:val="003703BC"/>
    <w:rsid w:val="003711F3"/>
    <w:rsid w:val="00371771"/>
    <w:rsid w:val="00373D10"/>
    <w:rsid w:val="00375C96"/>
    <w:rsid w:val="003761CC"/>
    <w:rsid w:val="00386A3F"/>
    <w:rsid w:val="003975A5"/>
    <w:rsid w:val="003A019A"/>
    <w:rsid w:val="003A22CA"/>
    <w:rsid w:val="003B7E49"/>
    <w:rsid w:val="003C0DBA"/>
    <w:rsid w:val="003C2C97"/>
    <w:rsid w:val="003D7AE7"/>
    <w:rsid w:val="003E2A48"/>
    <w:rsid w:val="003F4A75"/>
    <w:rsid w:val="003F549F"/>
    <w:rsid w:val="004073B9"/>
    <w:rsid w:val="00413248"/>
    <w:rsid w:val="00415680"/>
    <w:rsid w:val="00420437"/>
    <w:rsid w:val="00420ADA"/>
    <w:rsid w:val="00422184"/>
    <w:rsid w:val="004224DB"/>
    <w:rsid w:val="00434C90"/>
    <w:rsid w:val="0045046C"/>
    <w:rsid w:val="00452C75"/>
    <w:rsid w:val="00457EEB"/>
    <w:rsid w:val="00460623"/>
    <w:rsid w:val="00463AC8"/>
    <w:rsid w:val="00463BB5"/>
    <w:rsid w:val="0048152D"/>
    <w:rsid w:val="004932EC"/>
    <w:rsid w:val="004A3A50"/>
    <w:rsid w:val="004A3EA3"/>
    <w:rsid w:val="004A57F8"/>
    <w:rsid w:val="004B5FC2"/>
    <w:rsid w:val="004C006E"/>
    <w:rsid w:val="004C4216"/>
    <w:rsid w:val="004C51A3"/>
    <w:rsid w:val="004C6EB8"/>
    <w:rsid w:val="004C7B36"/>
    <w:rsid w:val="004D33CF"/>
    <w:rsid w:val="004D60ED"/>
    <w:rsid w:val="004E1B5F"/>
    <w:rsid w:val="004E4E18"/>
    <w:rsid w:val="004F1287"/>
    <w:rsid w:val="004F354C"/>
    <w:rsid w:val="004F5EC3"/>
    <w:rsid w:val="00501361"/>
    <w:rsid w:val="00501762"/>
    <w:rsid w:val="00504A90"/>
    <w:rsid w:val="005062A9"/>
    <w:rsid w:val="0050762D"/>
    <w:rsid w:val="00527BE2"/>
    <w:rsid w:val="0053137B"/>
    <w:rsid w:val="00536D01"/>
    <w:rsid w:val="00542231"/>
    <w:rsid w:val="005443A6"/>
    <w:rsid w:val="00547779"/>
    <w:rsid w:val="00551549"/>
    <w:rsid w:val="00573FDE"/>
    <w:rsid w:val="005743F8"/>
    <w:rsid w:val="00575F17"/>
    <w:rsid w:val="00583055"/>
    <w:rsid w:val="00587290"/>
    <w:rsid w:val="005A00D0"/>
    <w:rsid w:val="005A0124"/>
    <w:rsid w:val="005A1FF7"/>
    <w:rsid w:val="005B4425"/>
    <w:rsid w:val="005C18ED"/>
    <w:rsid w:val="005C4195"/>
    <w:rsid w:val="005C4865"/>
    <w:rsid w:val="005C4DA7"/>
    <w:rsid w:val="005C5E1D"/>
    <w:rsid w:val="005C7C33"/>
    <w:rsid w:val="005D496E"/>
    <w:rsid w:val="005E5163"/>
    <w:rsid w:val="005F0B6C"/>
    <w:rsid w:val="005F30B3"/>
    <w:rsid w:val="005F3B5A"/>
    <w:rsid w:val="00600E89"/>
    <w:rsid w:val="00602864"/>
    <w:rsid w:val="006030E1"/>
    <w:rsid w:val="00603115"/>
    <w:rsid w:val="00606766"/>
    <w:rsid w:val="006125DE"/>
    <w:rsid w:val="0061331D"/>
    <w:rsid w:val="00615F12"/>
    <w:rsid w:val="006162D2"/>
    <w:rsid w:val="006166EF"/>
    <w:rsid w:val="00625AB8"/>
    <w:rsid w:val="00631602"/>
    <w:rsid w:val="00640A42"/>
    <w:rsid w:val="006431F3"/>
    <w:rsid w:val="00644B15"/>
    <w:rsid w:val="0065535C"/>
    <w:rsid w:val="0065773F"/>
    <w:rsid w:val="00662966"/>
    <w:rsid w:val="006645DC"/>
    <w:rsid w:val="00667440"/>
    <w:rsid w:val="006714F2"/>
    <w:rsid w:val="00671A73"/>
    <w:rsid w:val="00680761"/>
    <w:rsid w:val="00687CCB"/>
    <w:rsid w:val="006915EE"/>
    <w:rsid w:val="006942CD"/>
    <w:rsid w:val="006A0E9D"/>
    <w:rsid w:val="006B1A4C"/>
    <w:rsid w:val="006C1994"/>
    <w:rsid w:val="006C3141"/>
    <w:rsid w:val="006C69CF"/>
    <w:rsid w:val="006D7092"/>
    <w:rsid w:val="006F1DFC"/>
    <w:rsid w:val="006F42EC"/>
    <w:rsid w:val="006F4368"/>
    <w:rsid w:val="006F4721"/>
    <w:rsid w:val="00701AEE"/>
    <w:rsid w:val="007047D8"/>
    <w:rsid w:val="00705A0E"/>
    <w:rsid w:val="00712F46"/>
    <w:rsid w:val="0071725A"/>
    <w:rsid w:val="00717BFC"/>
    <w:rsid w:val="00723946"/>
    <w:rsid w:val="00726A80"/>
    <w:rsid w:val="00731D2A"/>
    <w:rsid w:val="00741DCE"/>
    <w:rsid w:val="007423C0"/>
    <w:rsid w:val="00751100"/>
    <w:rsid w:val="0076021D"/>
    <w:rsid w:val="00770182"/>
    <w:rsid w:val="0077039E"/>
    <w:rsid w:val="00780EB5"/>
    <w:rsid w:val="00785E4D"/>
    <w:rsid w:val="00786BA3"/>
    <w:rsid w:val="007924E8"/>
    <w:rsid w:val="007926E8"/>
    <w:rsid w:val="00796845"/>
    <w:rsid w:val="007A2266"/>
    <w:rsid w:val="007A4BAE"/>
    <w:rsid w:val="007C268F"/>
    <w:rsid w:val="007C6484"/>
    <w:rsid w:val="007C74B9"/>
    <w:rsid w:val="007C7B55"/>
    <w:rsid w:val="007D0C06"/>
    <w:rsid w:val="007D435C"/>
    <w:rsid w:val="007D4701"/>
    <w:rsid w:val="007E392C"/>
    <w:rsid w:val="007F1771"/>
    <w:rsid w:val="00800764"/>
    <w:rsid w:val="00801F3E"/>
    <w:rsid w:val="0080243F"/>
    <w:rsid w:val="00803032"/>
    <w:rsid w:val="00812291"/>
    <w:rsid w:val="00816754"/>
    <w:rsid w:val="008338A1"/>
    <w:rsid w:val="00836516"/>
    <w:rsid w:val="00842932"/>
    <w:rsid w:val="008518B9"/>
    <w:rsid w:val="00852CE3"/>
    <w:rsid w:val="00863457"/>
    <w:rsid w:val="008635F5"/>
    <w:rsid w:val="00865786"/>
    <w:rsid w:val="0087727E"/>
    <w:rsid w:val="00877A57"/>
    <w:rsid w:val="008837EA"/>
    <w:rsid w:val="00883F46"/>
    <w:rsid w:val="008932C8"/>
    <w:rsid w:val="008A1BA8"/>
    <w:rsid w:val="008A24E3"/>
    <w:rsid w:val="008A2D1E"/>
    <w:rsid w:val="008A2F8B"/>
    <w:rsid w:val="008B0B6C"/>
    <w:rsid w:val="008B370D"/>
    <w:rsid w:val="008B43F3"/>
    <w:rsid w:val="008C1BA3"/>
    <w:rsid w:val="008C37C9"/>
    <w:rsid w:val="008C4856"/>
    <w:rsid w:val="008D2B70"/>
    <w:rsid w:val="008E4FF4"/>
    <w:rsid w:val="008F52D8"/>
    <w:rsid w:val="008F59C9"/>
    <w:rsid w:val="008F68FD"/>
    <w:rsid w:val="00915AD5"/>
    <w:rsid w:val="009178A2"/>
    <w:rsid w:val="0092376F"/>
    <w:rsid w:val="009318D0"/>
    <w:rsid w:val="00935B87"/>
    <w:rsid w:val="00946FEF"/>
    <w:rsid w:val="00950A67"/>
    <w:rsid w:val="009568B3"/>
    <w:rsid w:val="00957314"/>
    <w:rsid w:val="00964586"/>
    <w:rsid w:val="00973CBD"/>
    <w:rsid w:val="009815FD"/>
    <w:rsid w:val="009849D0"/>
    <w:rsid w:val="00993254"/>
    <w:rsid w:val="00996E6F"/>
    <w:rsid w:val="009A07C1"/>
    <w:rsid w:val="009A78A8"/>
    <w:rsid w:val="009C4CEF"/>
    <w:rsid w:val="009D3528"/>
    <w:rsid w:val="009D6EF3"/>
    <w:rsid w:val="009D725A"/>
    <w:rsid w:val="009D72B1"/>
    <w:rsid w:val="009E09BE"/>
    <w:rsid w:val="009F41AC"/>
    <w:rsid w:val="009F56BE"/>
    <w:rsid w:val="00A111EF"/>
    <w:rsid w:val="00A13BCF"/>
    <w:rsid w:val="00A20E34"/>
    <w:rsid w:val="00A30EEA"/>
    <w:rsid w:val="00A362D1"/>
    <w:rsid w:val="00A45675"/>
    <w:rsid w:val="00A53A39"/>
    <w:rsid w:val="00A61ED5"/>
    <w:rsid w:val="00A70D8C"/>
    <w:rsid w:val="00A7254A"/>
    <w:rsid w:val="00A76FD5"/>
    <w:rsid w:val="00A85DF6"/>
    <w:rsid w:val="00A90348"/>
    <w:rsid w:val="00AA2E40"/>
    <w:rsid w:val="00AA7238"/>
    <w:rsid w:val="00AB114F"/>
    <w:rsid w:val="00AB3BB8"/>
    <w:rsid w:val="00AB4FEF"/>
    <w:rsid w:val="00AB5707"/>
    <w:rsid w:val="00AC525F"/>
    <w:rsid w:val="00AE0CF8"/>
    <w:rsid w:val="00AE1EDE"/>
    <w:rsid w:val="00AE3BA7"/>
    <w:rsid w:val="00AE4768"/>
    <w:rsid w:val="00AF3601"/>
    <w:rsid w:val="00B039CF"/>
    <w:rsid w:val="00B03AA1"/>
    <w:rsid w:val="00B14211"/>
    <w:rsid w:val="00B20363"/>
    <w:rsid w:val="00B236BE"/>
    <w:rsid w:val="00B2491D"/>
    <w:rsid w:val="00B26194"/>
    <w:rsid w:val="00B30BAE"/>
    <w:rsid w:val="00B34E4B"/>
    <w:rsid w:val="00B3787D"/>
    <w:rsid w:val="00B37F62"/>
    <w:rsid w:val="00B41B8B"/>
    <w:rsid w:val="00B46667"/>
    <w:rsid w:val="00B53F9E"/>
    <w:rsid w:val="00B5583E"/>
    <w:rsid w:val="00B64788"/>
    <w:rsid w:val="00B80B11"/>
    <w:rsid w:val="00B81B05"/>
    <w:rsid w:val="00B83E9D"/>
    <w:rsid w:val="00BA0777"/>
    <w:rsid w:val="00BA3420"/>
    <w:rsid w:val="00BA67EC"/>
    <w:rsid w:val="00BB1210"/>
    <w:rsid w:val="00BB4287"/>
    <w:rsid w:val="00BB6A78"/>
    <w:rsid w:val="00BC02F5"/>
    <w:rsid w:val="00BC03BD"/>
    <w:rsid w:val="00BC1896"/>
    <w:rsid w:val="00BC253D"/>
    <w:rsid w:val="00BC4B44"/>
    <w:rsid w:val="00BD18B6"/>
    <w:rsid w:val="00BD22A3"/>
    <w:rsid w:val="00BD38A5"/>
    <w:rsid w:val="00BD493B"/>
    <w:rsid w:val="00BD5351"/>
    <w:rsid w:val="00BD6286"/>
    <w:rsid w:val="00BE1B34"/>
    <w:rsid w:val="00BE2F04"/>
    <w:rsid w:val="00BE41E5"/>
    <w:rsid w:val="00BE4DE1"/>
    <w:rsid w:val="00BE7B1C"/>
    <w:rsid w:val="00BF5545"/>
    <w:rsid w:val="00BF6A0F"/>
    <w:rsid w:val="00BF6AF9"/>
    <w:rsid w:val="00BF738B"/>
    <w:rsid w:val="00C04AB2"/>
    <w:rsid w:val="00C05460"/>
    <w:rsid w:val="00C0765E"/>
    <w:rsid w:val="00C11DB1"/>
    <w:rsid w:val="00C13928"/>
    <w:rsid w:val="00C16095"/>
    <w:rsid w:val="00C332D2"/>
    <w:rsid w:val="00C364F3"/>
    <w:rsid w:val="00C41407"/>
    <w:rsid w:val="00C57643"/>
    <w:rsid w:val="00C65BD9"/>
    <w:rsid w:val="00C74E76"/>
    <w:rsid w:val="00C7596A"/>
    <w:rsid w:val="00C82166"/>
    <w:rsid w:val="00C82A9D"/>
    <w:rsid w:val="00C82D5B"/>
    <w:rsid w:val="00C840DC"/>
    <w:rsid w:val="00C84F8E"/>
    <w:rsid w:val="00C8750F"/>
    <w:rsid w:val="00C87F6F"/>
    <w:rsid w:val="00C95628"/>
    <w:rsid w:val="00CA564D"/>
    <w:rsid w:val="00CA6D67"/>
    <w:rsid w:val="00CB3DFA"/>
    <w:rsid w:val="00CC61C6"/>
    <w:rsid w:val="00CC672E"/>
    <w:rsid w:val="00CD20A5"/>
    <w:rsid w:val="00CD2363"/>
    <w:rsid w:val="00CE6AA8"/>
    <w:rsid w:val="00CF3EE3"/>
    <w:rsid w:val="00CF6AE1"/>
    <w:rsid w:val="00D20DF5"/>
    <w:rsid w:val="00D21E2B"/>
    <w:rsid w:val="00D24D28"/>
    <w:rsid w:val="00D24E47"/>
    <w:rsid w:val="00D316B9"/>
    <w:rsid w:val="00D34B3A"/>
    <w:rsid w:val="00D36E0F"/>
    <w:rsid w:val="00D42DF5"/>
    <w:rsid w:val="00D51638"/>
    <w:rsid w:val="00D6441F"/>
    <w:rsid w:val="00D675B2"/>
    <w:rsid w:val="00D74240"/>
    <w:rsid w:val="00D77993"/>
    <w:rsid w:val="00D81B5B"/>
    <w:rsid w:val="00D846A7"/>
    <w:rsid w:val="00D905BB"/>
    <w:rsid w:val="00DB78BA"/>
    <w:rsid w:val="00DC04F5"/>
    <w:rsid w:val="00DC37AA"/>
    <w:rsid w:val="00DC68AA"/>
    <w:rsid w:val="00DC6F58"/>
    <w:rsid w:val="00E00956"/>
    <w:rsid w:val="00E20147"/>
    <w:rsid w:val="00E22A5B"/>
    <w:rsid w:val="00E25E94"/>
    <w:rsid w:val="00E33057"/>
    <w:rsid w:val="00E4550D"/>
    <w:rsid w:val="00E46DCA"/>
    <w:rsid w:val="00E54B41"/>
    <w:rsid w:val="00E60AE5"/>
    <w:rsid w:val="00E723D2"/>
    <w:rsid w:val="00E728B6"/>
    <w:rsid w:val="00E743C9"/>
    <w:rsid w:val="00E75BAA"/>
    <w:rsid w:val="00E77F6F"/>
    <w:rsid w:val="00E8022D"/>
    <w:rsid w:val="00E80762"/>
    <w:rsid w:val="00E8173C"/>
    <w:rsid w:val="00E85C4A"/>
    <w:rsid w:val="00E94D02"/>
    <w:rsid w:val="00EA052C"/>
    <w:rsid w:val="00EA38DC"/>
    <w:rsid w:val="00EA3C7F"/>
    <w:rsid w:val="00EA43FA"/>
    <w:rsid w:val="00EA5B13"/>
    <w:rsid w:val="00EB0FE8"/>
    <w:rsid w:val="00EC7275"/>
    <w:rsid w:val="00EC74C8"/>
    <w:rsid w:val="00ED0BED"/>
    <w:rsid w:val="00ED1F57"/>
    <w:rsid w:val="00ED44CF"/>
    <w:rsid w:val="00ED681F"/>
    <w:rsid w:val="00EE4D4A"/>
    <w:rsid w:val="00EF6CAD"/>
    <w:rsid w:val="00F10AB8"/>
    <w:rsid w:val="00F118C6"/>
    <w:rsid w:val="00F11ED6"/>
    <w:rsid w:val="00F15A29"/>
    <w:rsid w:val="00F170F2"/>
    <w:rsid w:val="00F24965"/>
    <w:rsid w:val="00F26CE5"/>
    <w:rsid w:val="00F30658"/>
    <w:rsid w:val="00F30C46"/>
    <w:rsid w:val="00F615B8"/>
    <w:rsid w:val="00F63BE7"/>
    <w:rsid w:val="00F6602F"/>
    <w:rsid w:val="00F741C5"/>
    <w:rsid w:val="00F769A7"/>
    <w:rsid w:val="00F773C3"/>
    <w:rsid w:val="00F80144"/>
    <w:rsid w:val="00F91690"/>
    <w:rsid w:val="00F963C9"/>
    <w:rsid w:val="00FA3AA3"/>
    <w:rsid w:val="00FA43C5"/>
    <w:rsid w:val="00FC1837"/>
    <w:rsid w:val="00FC5B83"/>
    <w:rsid w:val="00FC689A"/>
    <w:rsid w:val="00FD679F"/>
    <w:rsid w:val="00FE5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F55FA5A-491F-4AF0-9E7D-E5223D2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basedOn w:val="DefaultParagraphFon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customStyle="1" w:styleId="UnresolvedMention1">
    <w:name w:val="Unresolved Mention1"/>
    <w:basedOn w:val="DefaultParagraphFont"/>
    <w:uiPriority w:val="99"/>
    <w:semiHidden/>
    <w:unhideWhenUsed/>
    <w:rsid w:val="00DC37AA"/>
    <w:rPr>
      <w:color w:val="808080"/>
      <w:shd w:val="clear" w:color="auto" w:fill="E6E6E6"/>
    </w:rPr>
  </w:style>
  <w:style w:type="character" w:styleId="CommentReference">
    <w:name w:val="annotation reference"/>
    <w:basedOn w:val="DefaultParagraphFont"/>
    <w:uiPriority w:val="99"/>
    <w:semiHidden/>
    <w:unhideWhenUsed/>
    <w:rsid w:val="00BD38A5"/>
    <w:rPr>
      <w:sz w:val="16"/>
      <w:szCs w:val="16"/>
    </w:rPr>
  </w:style>
  <w:style w:type="paragraph" w:styleId="CommentText">
    <w:name w:val="annotation text"/>
    <w:basedOn w:val="Normal"/>
    <w:link w:val="CommentTextChar"/>
    <w:uiPriority w:val="99"/>
    <w:unhideWhenUsed/>
    <w:rsid w:val="00BD38A5"/>
    <w:rPr>
      <w:sz w:val="20"/>
    </w:rPr>
  </w:style>
  <w:style w:type="character" w:customStyle="1" w:styleId="CommentTextChar">
    <w:name w:val="Comment Text Char"/>
    <w:basedOn w:val="DefaultParagraphFont"/>
    <w:link w:val="CommentText"/>
    <w:uiPriority w:val="99"/>
    <w:rsid w:val="00BD38A5"/>
  </w:style>
  <w:style w:type="paragraph" w:styleId="CommentSubject">
    <w:name w:val="annotation subject"/>
    <w:basedOn w:val="CommentText"/>
    <w:next w:val="CommentText"/>
    <w:link w:val="CommentSubjectChar"/>
    <w:uiPriority w:val="99"/>
    <w:semiHidden/>
    <w:unhideWhenUsed/>
    <w:rsid w:val="00BD38A5"/>
    <w:rPr>
      <w:b/>
      <w:bCs/>
    </w:rPr>
  </w:style>
  <w:style w:type="character" w:customStyle="1" w:styleId="CommentSubjectChar">
    <w:name w:val="Comment Subject Char"/>
    <w:basedOn w:val="CommentTextChar"/>
    <w:link w:val="CommentSubject"/>
    <w:uiPriority w:val="99"/>
    <w:semiHidden/>
    <w:rsid w:val="00BD38A5"/>
    <w:rPr>
      <w:b/>
      <w:bCs/>
    </w:rPr>
  </w:style>
  <w:style w:type="character" w:customStyle="1" w:styleId="UnresolvedMention2">
    <w:name w:val="Unresolved Mention2"/>
    <w:basedOn w:val="DefaultParagraphFont"/>
    <w:uiPriority w:val="99"/>
    <w:semiHidden/>
    <w:unhideWhenUsed/>
    <w:rsid w:val="00F24965"/>
    <w:rPr>
      <w:color w:val="808080"/>
      <w:shd w:val="clear" w:color="auto" w:fill="E6E6E6"/>
    </w:rPr>
  </w:style>
  <w:style w:type="character" w:customStyle="1" w:styleId="UnresolvedMention3">
    <w:name w:val="Unresolved Mention3"/>
    <w:basedOn w:val="DefaultParagraphFont"/>
    <w:uiPriority w:val="99"/>
    <w:semiHidden/>
    <w:unhideWhenUsed/>
    <w:rsid w:val="000C60C1"/>
    <w:rPr>
      <w:color w:val="808080"/>
      <w:shd w:val="clear" w:color="auto" w:fill="E6E6E6"/>
    </w:rPr>
  </w:style>
  <w:style w:type="paragraph" w:styleId="EndnoteText">
    <w:name w:val="endnote text"/>
    <w:basedOn w:val="Normal"/>
    <w:link w:val="EndnoteTextChar"/>
    <w:uiPriority w:val="99"/>
    <w:semiHidden/>
    <w:unhideWhenUsed/>
    <w:rsid w:val="00551549"/>
    <w:rPr>
      <w:sz w:val="20"/>
    </w:rPr>
  </w:style>
  <w:style w:type="character" w:customStyle="1" w:styleId="EndnoteTextChar">
    <w:name w:val="Endnote Text Char"/>
    <w:basedOn w:val="DefaultParagraphFont"/>
    <w:link w:val="EndnoteText"/>
    <w:uiPriority w:val="99"/>
    <w:semiHidden/>
    <w:rsid w:val="00551549"/>
  </w:style>
  <w:style w:type="character" w:styleId="EndnoteReference">
    <w:name w:val="endnote reference"/>
    <w:basedOn w:val="DefaultParagraphFont"/>
    <w:uiPriority w:val="99"/>
    <w:semiHidden/>
    <w:unhideWhenUsed/>
    <w:rsid w:val="00551549"/>
    <w:rPr>
      <w:vertAlign w:val="superscript"/>
    </w:rPr>
  </w:style>
  <w:style w:type="character" w:customStyle="1" w:styleId="UnresolvedMention">
    <w:name w:val="Unresolved Mention"/>
    <w:basedOn w:val="DefaultParagraphFont"/>
    <w:uiPriority w:val="99"/>
    <w:rsid w:val="00625AB8"/>
    <w:rPr>
      <w:color w:val="605E5C"/>
      <w:shd w:val="clear" w:color="auto" w:fill="E1DFDD"/>
    </w:rPr>
  </w:style>
  <w:style w:type="paragraph" w:styleId="ListParagraph">
    <w:name w:val="List Paragraph"/>
    <w:basedOn w:val="Normal"/>
    <w:uiPriority w:val="34"/>
    <w:qFormat/>
    <w:rsid w:val="008E4FF4"/>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lbert.shuldiner@fcc.gov" TargetMode="External" /><Relationship Id="rId7" Type="http://schemas.openxmlformats.org/officeDocument/2006/relationships/hyperlink" Target="mailto:lisa.scanlan@fcc.gov" TargetMode="External" /><Relationship Id="rId8" Type="http://schemas.openxmlformats.org/officeDocument/2006/relationships/hyperlink" Target="mailto:christopher.clark@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