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4C6C8270"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9D4CDEA" w14:textId="77777777">
      <w:pPr>
        <w:pStyle w:val="StyleBoldCentered"/>
      </w:pPr>
      <w:r>
        <w:t>F</w:t>
      </w:r>
      <w:r>
        <w:rPr>
          <w:caps w:val="0"/>
        </w:rPr>
        <w:t>ederal Communications Commission</w:t>
      </w:r>
    </w:p>
    <w:p w:rsidR="004C2EE3" w:rsidP="00096D8C" w14:paraId="73EC71EE" w14:textId="77777777">
      <w:pPr>
        <w:pStyle w:val="StyleBoldCentered"/>
      </w:pPr>
      <w:r>
        <w:rPr>
          <w:caps w:val="0"/>
        </w:rPr>
        <w:t>Washington, D.C. 20554</w:t>
      </w:r>
    </w:p>
    <w:p w:rsidR="004C2EE3" w:rsidP="0070224F" w14:paraId="50DBB544" w14:textId="77777777"/>
    <w:p w:rsidR="004C2EE3" w:rsidP="0070224F" w14:paraId="17C5CAA5" w14:textId="77777777"/>
    <w:tbl>
      <w:tblPr>
        <w:tblW w:w="0" w:type="auto"/>
        <w:tblLayout w:type="fixed"/>
        <w:tblLook w:val="0000"/>
      </w:tblPr>
      <w:tblGrid>
        <w:gridCol w:w="4698"/>
        <w:gridCol w:w="630"/>
        <w:gridCol w:w="4248"/>
      </w:tblGrid>
      <w:tr w14:paraId="3CAA9CBD" w14:textId="77777777">
        <w:tblPrEx>
          <w:tblW w:w="0" w:type="auto"/>
          <w:tblLayout w:type="fixed"/>
          <w:tblLook w:val="0000"/>
        </w:tblPrEx>
        <w:tc>
          <w:tcPr>
            <w:tcW w:w="4698" w:type="dxa"/>
          </w:tcPr>
          <w:p w:rsidR="004C2EE3" w14:paraId="19FBE6B9" w14:textId="77777777">
            <w:pPr>
              <w:tabs>
                <w:tab w:val="center" w:pos="4680"/>
              </w:tabs>
              <w:suppressAutoHyphens/>
              <w:rPr>
                <w:spacing w:val="-2"/>
              </w:rPr>
            </w:pPr>
            <w:r>
              <w:rPr>
                <w:spacing w:val="-2"/>
              </w:rPr>
              <w:t>In the Matter of</w:t>
            </w:r>
          </w:p>
          <w:p w:rsidR="004C2EE3" w14:paraId="6FCF0552" w14:textId="77777777">
            <w:pPr>
              <w:tabs>
                <w:tab w:val="center" w:pos="4680"/>
              </w:tabs>
              <w:suppressAutoHyphens/>
              <w:rPr>
                <w:spacing w:val="-2"/>
              </w:rPr>
            </w:pPr>
          </w:p>
          <w:p w:rsidR="004C2EE3" w:rsidP="007115F7" w14:paraId="740C0AE1" w14:textId="77777777">
            <w:pPr>
              <w:tabs>
                <w:tab w:val="center" w:pos="4680"/>
              </w:tabs>
              <w:suppressAutoHyphens/>
              <w:rPr>
                <w:spacing w:val="-2"/>
              </w:rPr>
            </w:pPr>
            <w:r>
              <w:rPr>
                <w:spacing w:val="-2"/>
              </w:rPr>
              <w:t>Improving Wireless Emergency Alerts and Community-Initiated Alerting</w:t>
            </w:r>
          </w:p>
          <w:p w:rsidR="004F0451" w:rsidP="007115F7" w14:paraId="0D0A4FC1" w14:textId="77777777">
            <w:pPr>
              <w:tabs>
                <w:tab w:val="center" w:pos="4680"/>
              </w:tabs>
              <w:suppressAutoHyphens/>
              <w:rPr>
                <w:spacing w:val="-2"/>
              </w:rPr>
            </w:pPr>
          </w:p>
          <w:p w:rsidR="004F0451" w:rsidRPr="007115F7" w:rsidP="007115F7" w14:paraId="5FA255E2" w14:textId="77777777">
            <w:pPr>
              <w:tabs>
                <w:tab w:val="center" w:pos="4680"/>
              </w:tabs>
              <w:suppressAutoHyphens/>
              <w:rPr>
                <w:spacing w:val="-2"/>
              </w:rPr>
            </w:pPr>
            <w:r>
              <w:rPr>
                <w:spacing w:val="-2"/>
              </w:rPr>
              <w:t>Amendments to Part 11 of the Commission’s Rules Regarding the Emergency Alert System</w:t>
            </w:r>
          </w:p>
        </w:tc>
        <w:tc>
          <w:tcPr>
            <w:tcW w:w="630" w:type="dxa"/>
          </w:tcPr>
          <w:p w:rsidR="004C2EE3" w14:paraId="71C5B6D6" w14:textId="77777777">
            <w:pPr>
              <w:tabs>
                <w:tab w:val="center" w:pos="4680"/>
              </w:tabs>
              <w:suppressAutoHyphens/>
              <w:rPr>
                <w:b/>
                <w:spacing w:val="-2"/>
              </w:rPr>
            </w:pPr>
            <w:r>
              <w:rPr>
                <w:b/>
                <w:spacing w:val="-2"/>
              </w:rPr>
              <w:t>)</w:t>
            </w:r>
          </w:p>
          <w:p w:rsidR="004C2EE3" w14:paraId="4904139F" w14:textId="77777777">
            <w:pPr>
              <w:tabs>
                <w:tab w:val="center" w:pos="4680"/>
              </w:tabs>
              <w:suppressAutoHyphens/>
              <w:rPr>
                <w:b/>
                <w:spacing w:val="-2"/>
              </w:rPr>
            </w:pPr>
            <w:r>
              <w:rPr>
                <w:b/>
                <w:spacing w:val="-2"/>
              </w:rPr>
              <w:t>)</w:t>
            </w:r>
          </w:p>
          <w:p w:rsidR="004C2EE3" w14:paraId="3C71998C" w14:textId="77777777">
            <w:pPr>
              <w:tabs>
                <w:tab w:val="center" w:pos="4680"/>
              </w:tabs>
              <w:suppressAutoHyphens/>
              <w:rPr>
                <w:b/>
                <w:spacing w:val="-2"/>
              </w:rPr>
            </w:pPr>
            <w:r>
              <w:rPr>
                <w:b/>
                <w:spacing w:val="-2"/>
              </w:rPr>
              <w:t>)</w:t>
            </w:r>
          </w:p>
          <w:p w:rsidR="004C2EE3" w14:paraId="6D1C6114" w14:textId="77777777">
            <w:pPr>
              <w:tabs>
                <w:tab w:val="center" w:pos="4680"/>
              </w:tabs>
              <w:suppressAutoHyphens/>
              <w:rPr>
                <w:b/>
                <w:spacing w:val="-2"/>
              </w:rPr>
            </w:pPr>
            <w:r>
              <w:rPr>
                <w:b/>
                <w:spacing w:val="-2"/>
              </w:rPr>
              <w:t>)</w:t>
            </w:r>
          </w:p>
          <w:p w:rsidR="004C2EE3" w14:paraId="74C53892" w14:textId="77777777">
            <w:pPr>
              <w:tabs>
                <w:tab w:val="center" w:pos="4680"/>
              </w:tabs>
              <w:suppressAutoHyphens/>
              <w:rPr>
                <w:b/>
                <w:spacing w:val="-2"/>
              </w:rPr>
            </w:pPr>
            <w:r>
              <w:rPr>
                <w:b/>
                <w:spacing w:val="-2"/>
              </w:rPr>
              <w:t>)</w:t>
            </w:r>
          </w:p>
          <w:p w:rsidR="004C2EE3" w14:paraId="4D182011" w14:textId="77777777">
            <w:pPr>
              <w:tabs>
                <w:tab w:val="center" w:pos="4680"/>
              </w:tabs>
              <w:suppressAutoHyphens/>
              <w:rPr>
                <w:b/>
                <w:spacing w:val="-2"/>
              </w:rPr>
            </w:pPr>
            <w:r>
              <w:rPr>
                <w:b/>
                <w:spacing w:val="-2"/>
              </w:rPr>
              <w:t>)</w:t>
            </w:r>
          </w:p>
          <w:p w:rsidR="004C2EE3" w14:paraId="3192FCBA" w14:textId="77777777">
            <w:pPr>
              <w:tabs>
                <w:tab w:val="center" w:pos="4680"/>
              </w:tabs>
              <w:suppressAutoHyphens/>
              <w:rPr>
                <w:b/>
                <w:spacing w:val="-2"/>
              </w:rPr>
            </w:pPr>
            <w:r>
              <w:rPr>
                <w:b/>
                <w:spacing w:val="-2"/>
              </w:rPr>
              <w:t>)</w:t>
            </w:r>
          </w:p>
          <w:p w:rsidR="004C2EE3" w14:paraId="6EF62929" w14:textId="77777777">
            <w:pPr>
              <w:tabs>
                <w:tab w:val="center" w:pos="4680"/>
              </w:tabs>
              <w:suppressAutoHyphens/>
              <w:rPr>
                <w:b/>
                <w:spacing w:val="-2"/>
              </w:rPr>
            </w:pPr>
            <w:r>
              <w:rPr>
                <w:b/>
                <w:spacing w:val="-2"/>
              </w:rPr>
              <w:t>)</w:t>
            </w:r>
          </w:p>
          <w:p w:rsidR="004C2EE3" w14:paraId="7495EF92" w14:textId="77777777">
            <w:pPr>
              <w:tabs>
                <w:tab w:val="center" w:pos="4680"/>
              </w:tabs>
              <w:suppressAutoHyphens/>
              <w:rPr>
                <w:spacing w:val="-2"/>
              </w:rPr>
            </w:pPr>
            <w:r>
              <w:rPr>
                <w:b/>
                <w:spacing w:val="-2"/>
              </w:rPr>
              <w:t>)</w:t>
            </w:r>
          </w:p>
        </w:tc>
        <w:tc>
          <w:tcPr>
            <w:tcW w:w="4248" w:type="dxa"/>
          </w:tcPr>
          <w:p w:rsidR="004C2EE3" w14:paraId="3714A09C" w14:textId="77777777">
            <w:pPr>
              <w:tabs>
                <w:tab w:val="center" w:pos="4680"/>
              </w:tabs>
              <w:suppressAutoHyphens/>
              <w:rPr>
                <w:spacing w:val="-2"/>
              </w:rPr>
            </w:pPr>
          </w:p>
          <w:p w:rsidR="004C2EE3" w14:paraId="2D626228" w14:textId="77777777">
            <w:pPr>
              <w:pStyle w:val="TOAHeading"/>
              <w:tabs>
                <w:tab w:val="center" w:pos="4680"/>
                <w:tab w:val="clear" w:pos="9360"/>
              </w:tabs>
              <w:rPr>
                <w:spacing w:val="-2"/>
              </w:rPr>
            </w:pPr>
          </w:p>
          <w:p w:rsidR="004C2EE3" w14:paraId="325C5812" w14:textId="77777777">
            <w:pPr>
              <w:tabs>
                <w:tab w:val="center" w:pos="4680"/>
              </w:tabs>
              <w:suppressAutoHyphens/>
              <w:rPr>
                <w:spacing w:val="-2"/>
              </w:rPr>
            </w:pPr>
            <w:r>
              <w:rPr>
                <w:spacing w:val="-2"/>
              </w:rPr>
              <w:t>PS Docket No. 15-91</w:t>
            </w:r>
          </w:p>
          <w:p w:rsidR="004F0451" w14:paraId="1BAB8594" w14:textId="77777777">
            <w:pPr>
              <w:tabs>
                <w:tab w:val="center" w:pos="4680"/>
              </w:tabs>
              <w:suppressAutoHyphens/>
              <w:rPr>
                <w:spacing w:val="-2"/>
              </w:rPr>
            </w:pPr>
          </w:p>
          <w:p w:rsidR="004F0451" w14:paraId="1E304CD8" w14:textId="77777777">
            <w:pPr>
              <w:tabs>
                <w:tab w:val="center" w:pos="4680"/>
              </w:tabs>
              <w:suppressAutoHyphens/>
              <w:rPr>
                <w:spacing w:val="-2"/>
              </w:rPr>
            </w:pPr>
          </w:p>
          <w:p w:rsidR="004F0451" w14:paraId="3E00B849" w14:textId="77777777">
            <w:pPr>
              <w:tabs>
                <w:tab w:val="center" w:pos="4680"/>
              </w:tabs>
              <w:suppressAutoHyphens/>
              <w:rPr>
                <w:spacing w:val="-2"/>
              </w:rPr>
            </w:pPr>
            <w:r>
              <w:rPr>
                <w:spacing w:val="-2"/>
              </w:rPr>
              <w:t>PS Docket No. 15-94</w:t>
            </w:r>
          </w:p>
        </w:tc>
      </w:tr>
    </w:tbl>
    <w:p w:rsidR="004C2EE3" w:rsidP="0070224F" w14:paraId="784BDECA" w14:textId="77777777"/>
    <w:p w:rsidR="00841AB1" w:rsidP="00F021FA" w14:paraId="11AEED50" w14:textId="77777777">
      <w:pPr>
        <w:pStyle w:val="StyleBoldCentered"/>
      </w:pPr>
      <w:r>
        <w:t>order</w:t>
      </w:r>
    </w:p>
    <w:p w:rsidR="004C2EE3" w14:paraId="7ED2C856" w14:textId="77777777">
      <w:pPr>
        <w:tabs>
          <w:tab w:val="left" w:pos="-720"/>
        </w:tabs>
        <w:suppressAutoHyphens/>
        <w:spacing w:line="227" w:lineRule="auto"/>
        <w:rPr>
          <w:spacing w:val="-2"/>
        </w:rPr>
      </w:pPr>
    </w:p>
    <w:p w:rsidR="004C2EE3" w:rsidP="00133F79" w14:paraId="775C86DF" w14:textId="31609325">
      <w:pPr>
        <w:tabs>
          <w:tab w:val="left" w:pos="720"/>
          <w:tab w:val="right" w:pos="9360"/>
        </w:tabs>
        <w:suppressAutoHyphens/>
        <w:spacing w:line="227" w:lineRule="auto"/>
        <w:rPr>
          <w:spacing w:val="-2"/>
        </w:rPr>
      </w:pPr>
      <w:r>
        <w:rPr>
          <w:b/>
          <w:spacing w:val="-2"/>
        </w:rPr>
        <w:t xml:space="preserve">Adopted:  </w:t>
      </w:r>
      <w:r w:rsidR="00C6262D">
        <w:rPr>
          <w:b/>
          <w:spacing w:val="-2"/>
        </w:rPr>
        <w:t>February 26,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6262D">
        <w:rPr>
          <w:b/>
          <w:spacing w:val="-2"/>
        </w:rPr>
        <w:t>February 26, 2020</w:t>
      </w:r>
    </w:p>
    <w:p w:rsidR="00822CE0" w14:paraId="33AF0E20" w14:textId="77777777"/>
    <w:p w:rsidR="004C2EE3" w14:paraId="5DBDB7DE" w14:textId="77777777">
      <w:pPr>
        <w:rPr>
          <w:spacing w:val="-2"/>
        </w:rPr>
      </w:pPr>
      <w:r>
        <w:t xml:space="preserve">By </w:t>
      </w:r>
      <w:r w:rsidR="004E4A22">
        <w:t>the</w:t>
      </w:r>
      <w:r w:rsidR="002A2D2E">
        <w:t xml:space="preserve"> </w:t>
      </w:r>
      <w:r w:rsidR="006A2672">
        <w:rPr>
          <w:spacing w:val="-2"/>
        </w:rPr>
        <w:t>Deputy Chief, Public Safety and Homeland Security Bureau</w:t>
      </w:r>
      <w:r>
        <w:rPr>
          <w:spacing w:val="-2"/>
        </w:rPr>
        <w:t>:</w:t>
      </w:r>
    </w:p>
    <w:p w:rsidR="00822CE0" w14:paraId="52439C1C" w14:textId="77777777">
      <w:pPr>
        <w:rPr>
          <w:spacing w:val="-2"/>
        </w:rPr>
      </w:pPr>
    </w:p>
    <w:p w:rsidR="00412FC5" w:rsidP="00C36B4C" w14:paraId="06C8BD8F" w14:textId="77777777">
      <w:pPr>
        <w:pStyle w:val="Heading1"/>
      </w:pPr>
      <w:r>
        <w:t>introduction</w:t>
      </w:r>
    </w:p>
    <w:p w:rsidR="006A2672" w:rsidRPr="009D5A49" w:rsidP="00F65410" w14:paraId="5E1CD331" w14:textId="79668686">
      <w:pPr>
        <w:pStyle w:val="ParaNum"/>
        <w:tabs>
          <w:tab w:val="clear" w:pos="1080"/>
        </w:tabs>
      </w:pPr>
      <w:r>
        <w:t xml:space="preserve">In this Order, the Public Safety and Homeland Security Bureau (Bureau) of the Federal Communications Commission (Commission) </w:t>
      </w:r>
      <w:r w:rsidR="002A169D">
        <w:t>denies</w:t>
      </w:r>
      <w:r>
        <w:t xml:space="preserve"> </w:t>
      </w:r>
      <w:r w:rsidR="00E94CDF">
        <w:t xml:space="preserve">the </w:t>
      </w:r>
      <w:r>
        <w:t xml:space="preserve">waiver </w:t>
      </w:r>
      <w:r w:rsidR="009D5A49">
        <w:t xml:space="preserve">request </w:t>
      </w:r>
      <w:r>
        <w:t xml:space="preserve">of </w:t>
      </w:r>
      <w:r w:rsidR="009D5A49">
        <w:rPr>
          <w:szCs w:val="22"/>
        </w:rPr>
        <w:t>the City of Aliso Viejo</w:t>
      </w:r>
      <w:r w:rsidR="00720162">
        <w:rPr>
          <w:szCs w:val="22"/>
        </w:rPr>
        <w:t>, California</w:t>
      </w:r>
      <w:r w:rsidR="009D5A49">
        <w:rPr>
          <w:szCs w:val="22"/>
        </w:rPr>
        <w:t xml:space="preserve"> (Aliso Viejo).  Specifically, Aliso Viejo seeks a waiver of the </w:t>
      </w:r>
      <w:r>
        <w:t>Commission’s Wireless Emergency Alerts (WEA) rules to permit Participating Commercial Mobile Service (CMS) Providers</w:t>
      </w:r>
      <w:r>
        <w:rPr>
          <w:rStyle w:val="FootnoteReference"/>
        </w:rPr>
        <w:footnoteReference w:id="3"/>
      </w:r>
      <w:r>
        <w:t xml:space="preserve"> to participate in an end-to-end </w:t>
      </w:r>
      <w:r w:rsidRPr="00551884">
        <w:rPr>
          <w:szCs w:val="22"/>
        </w:rPr>
        <w:t xml:space="preserve">WEA test that </w:t>
      </w:r>
      <w:r w:rsidR="00F65410">
        <w:rPr>
          <w:szCs w:val="22"/>
        </w:rPr>
        <w:t>it</w:t>
      </w:r>
      <w:r w:rsidR="001E24D9">
        <w:rPr>
          <w:szCs w:val="22"/>
        </w:rPr>
        <w:t xml:space="preserve"> </w:t>
      </w:r>
      <w:r w:rsidRPr="00551884" w:rsidR="00613435">
        <w:rPr>
          <w:szCs w:val="22"/>
        </w:rPr>
        <w:t xml:space="preserve">proposes to conduct on </w:t>
      </w:r>
      <w:r w:rsidR="001E24D9">
        <w:rPr>
          <w:szCs w:val="22"/>
        </w:rPr>
        <w:t xml:space="preserve">March 18, 2020 </w:t>
      </w:r>
      <w:r w:rsidRPr="00551884" w:rsidR="00613435">
        <w:rPr>
          <w:szCs w:val="22"/>
        </w:rPr>
        <w:t xml:space="preserve">at </w:t>
      </w:r>
      <w:r w:rsidR="001E24D9">
        <w:rPr>
          <w:szCs w:val="22"/>
        </w:rPr>
        <w:t>3</w:t>
      </w:r>
      <w:r w:rsidRPr="00551884" w:rsidR="00613435">
        <w:rPr>
          <w:szCs w:val="22"/>
        </w:rPr>
        <w:t xml:space="preserve">:00 </w:t>
      </w:r>
      <w:r w:rsidR="001E24D9">
        <w:rPr>
          <w:szCs w:val="22"/>
        </w:rPr>
        <w:t>p</w:t>
      </w:r>
      <w:r w:rsidRPr="00551884" w:rsidR="00613435">
        <w:rPr>
          <w:szCs w:val="22"/>
        </w:rPr>
        <w:t>.m. Pacific Standard Time (PST)</w:t>
      </w:r>
      <w:r w:rsidRPr="00551884" w:rsidR="00DF5290">
        <w:rPr>
          <w:szCs w:val="22"/>
        </w:rPr>
        <w:t xml:space="preserve"> with a </w:t>
      </w:r>
      <w:r w:rsidRPr="00551884" w:rsidR="005857F2">
        <w:rPr>
          <w:szCs w:val="22"/>
        </w:rPr>
        <w:t>backup</w:t>
      </w:r>
      <w:r w:rsidRPr="00551884" w:rsidR="00DF5290">
        <w:rPr>
          <w:szCs w:val="22"/>
        </w:rPr>
        <w:t xml:space="preserve"> dat</w:t>
      </w:r>
      <w:r w:rsidR="00175BEB">
        <w:rPr>
          <w:szCs w:val="22"/>
        </w:rPr>
        <w:t>e</w:t>
      </w:r>
      <w:r w:rsidRPr="00551884" w:rsidR="00DF5290">
        <w:rPr>
          <w:szCs w:val="22"/>
        </w:rPr>
        <w:t xml:space="preserve"> of </w:t>
      </w:r>
      <w:r w:rsidR="001E24D9">
        <w:rPr>
          <w:szCs w:val="22"/>
        </w:rPr>
        <w:t>March</w:t>
      </w:r>
      <w:r w:rsidRPr="00551884" w:rsidR="00DF5290">
        <w:rPr>
          <w:szCs w:val="22"/>
        </w:rPr>
        <w:t xml:space="preserve"> 2</w:t>
      </w:r>
      <w:r w:rsidR="001E24D9">
        <w:rPr>
          <w:szCs w:val="22"/>
        </w:rPr>
        <w:t>5</w:t>
      </w:r>
      <w:r w:rsidRPr="00551884" w:rsidR="00DF5290">
        <w:rPr>
          <w:szCs w:val="22"/>
        </w:rPr>
        <w:t xml:space="preserve">, 2020 at </w:t>
      </w:r>
      <w:r w:rsidR="001E24D9">
        <w:rPr>
          <w:szCs w:val="22"/>
        </w:rPr>
        <w:t>3</w:t>
      </w:r>
      <w:r w:rsidRPr="00551884" w:rsidR="00DF5290">
        <w:rPr>
          <w:szCs w:val="22"/>
        </w:rPr>
        <w:t xml:space="preserve">:00 </w:t>
      </w:r>
      <w:r w:rsidR="001E24D9">
        <w:rPr>
          <w:szCs w:val="22"/>
        </w:rPr>
        <w:t>p.m.</w:t>
      </w:r>
      <w:r w:rsidRPr="00551884" w:rsidR="00DF5290">
        <w:rPr>
          <w:szCs w:val="22"/>
        </w:rPr>
        <w:t xml:space="preserve"> PST</w:t>
      </w:r>
      <w:r w:rsidRPr="00551884" w:rsidR="00613435">
        <w:rPr>
          <w:szCs w:val="22"/>
        </w:rPr>
        <w:t>.</w:t>
      </w:r>
      <w:r>
        <w:rPr>
          <w:rStyle w:val="FootnoteReference"/>
          <w:sz w:val="22"/>
          <w:szCs w:val="22"/>
        </w:rPr>
        <w:footnoteReference w:id="4"/>
      </w:r>
      <w:r w:rsidRPr="00551884" w:rsidR="00613435">
        <w:rPr>
          <w:szCs w:val="22"/>
        </w:rPr>
        <w:t xml:space="preserve">  For the reasons discussed below</w:t>
      </w:r>
      <w:r w:rsidR="00613435">
        <w:t xml:space="preserve">, we </w:t>
      </w:r>
      <w:r w:rsidR="00DF5290">
        <w:t>deny</w:t>
      </w:r>
      <w:r w:rsidR="00613435">
        <w:t xml:space="preserve"> the </w:t>
      </w:r>
      <w:r w:rsidR="00C65B1A">
        <w:t>Aliso Viejo</w:t>
      </w:r>
      <w:r w:rsidR="00613435">
        <w:t xml:space="preserve"> </w:t>
      </w:r>
      <w:r w:rsidR="00E94CDF">
        <w:t xml:space="preserve">waiver </w:t>
      </w:r>
      <w:r w:rsidR="00613435">
        <w:t xml:space="preserve">request. </w:t>
      </w:r>
    </w:p>
    <w:p w:rsidR="00613435" w:rsidP="00613435" w14:paraId="12DEDA24" w14:textId="77777777">
      <w:pPr>
        <w:pStyle w:val="Heading1"/>
      </w:pPr>
      <w:r>
        <w:t>background</w:t>
      </w:r>
    </w:p>
    <w:p w:rsidR="00841437" w:rsidRPr="00585B6C" w:rsidP="00841437" w14:paraId="1CC3DC96" w14:textId="7F0DD63A">
      <w:pPr>
        <w:pStyle w:val="ParaNum"/>
        <w:tabs>
          <w:tab w:val="clear" w:pos="1080"/>
          <w:tab w:val="num" w:pos="1440"/>
        </w:tabs>
      </w:pPr>
      <w:r w:rsidRPr="00841437">
        <w:t>The WEA system allows authori</w:t>
      </w:r>
      <w:bookmarkStart w:id="0" w:name="_GoBack"/>
      <w:bookmarkEnd w:id="0"/>
      <w:r w:rsidRPr="00841437">
        <w:t>zed government entities to send geographically-targeted emergency alerts to commercial wireless subscribers who have WEA-capable mobile devices, and whose commercial mobile service providers are Participating CMS Providers.</w:t>
      </w:r>
      <w:r>
        <w:rPr>
          <w:rStyle w:val="FootnoteReference"/>
          <w:szCs w:val="22"/>
        </w:rPr>
        <w:footnoteReference w:id="5"/>
      </w:r>
      <w:r w:rsidR="00F65410">
        <w:rPr>
          <w:szCs w:val="22"/>
        </w:rPr>
        <w:t xml:space="preserve"> </w:t>
      </w:r>
      <w:r w:rsidRPr="00841437">
        <w:t xml:space="preserve"> The Commission’s rules prohibit use of the WEA Attention Signal except during actual emergencies, authorized tests, and certain public service announcements.</w:t>
      </w:r>
      <w:r>
        <w:rPr>
          <w:rStyle w:val="FootnoteReference"/>
          <w:szCs w:val="22"/>
        </w:rPr>
        <w:footnoteReference w:id="6"/>
      </w:r>
      <w:r w:rsidRPr="00841437">
        <w:t xml:space="preserve"> </w:t>
      </w:r>
      <w:r w:rsidR="0023674F">
        <w:t xml:space="preserve"> </w:t>
      </w:r>
      <w:r w:rsidRPr="00841437">
        <w:t>The Commission’s rules allow testing of WEA functionality only in limited circumstances, allowing end-to-end tests that reach the public only in the case of State/Local WEA Tests.</w:t>
      </w:r>
      <w:r>
        <w:rPr>
          <w:rStyle w:val="FootnoteReference"/>
          <w:szCs w:val="22"/>
        </w:rPr>
        <w:footnoteReference w:id="7"/>
      </w:r>
      <w:r w:rsidRPr="00841437">
        <w:rPr>
          <w:rStyle w:val="FootnoteReference"/>
          <w:szCs w:val="22"/>
        </w:rPr>
        <w:t xml:space="preserve"> </w:t>
      </w:r>
      <w:r w:rsidRPr="00841437">
        <w:t xml:space="preserve"> </w:t>
      </w:r>
      <w:bookmarkStart w:id="1" w:name="_Hlk33521239"/>
      <w:r>
        <w:t xml:space="preserve">State/Local WEA Test messages </w:t>
      </w:r>
      <w:bookmarkEnd w:id="1"/>
      <w:r>
        <w:t xml:space="preserve">differ from actual alert messages to </w:t>
      </w:r>
      <w:r w:rsidR="00E94CDF">
        <w:t xml:space="preserve">reduce confusion and </w:t>
      </w:r>
      <w:r>
        <w:t>minimize any chance that they might be misconstrued as actual alerts.  Consumers will not receive State/Local WEA Tests by default; instead, they must affirmatively opt in to receive these test messages.</w:t>
      </w:r>
      <w:r>
        <w:rPr>
          <w:rStyle w:val="FootnoteReference"/>
          <w:szCs w:val="22"/>
        </w:rPr>
        <w:footnoteReference w:id="8"/>
      </w:r>
      <w:r w:rsidR="00F65410">
        <w:rPr>
          <w:szCs w:val="22"/>
        </w:rPr>
        <w:t xml:space="preserve"> </w:t>
      </w:r>
      <w:r>
        <w:t xml:space="preserve"> Further, State/Local WEA Tests must include conspicuous language sufficient to make clear to the public that the message is only a test.</w:t>
      </w:r>
      <w:r>
        <w:rPr>
          <w:rStyle w:val="FootnoteReference"/>
          <w:szCs w:val="22"/>
        </w:rPr>
        <w:footnoteReference w:id="9"/>
      </w:r>
      <w:r>
        <w:t xml:space="preserve">  </w:t>
      </w:r>
      <w:r w:rsidRPr="00841437">
        <w:t>While the rules allowing such State/Local WEA Tests became effective on May 1, 2019,</w:t>
      </w:r>
      <w:r>
        <w:rPr>
          <w:rStyle w:val="FootnoteReference"/>
          <w:szCs w:val="22"/>
        </w:rPr>
        <w:footnoteReference w:id="10"/>
      </w:r>
      <w:r w:rsidRPr="00841437">
        <w:t xml:space="preserve"> Participating CMS Providers were not required to support State/Local WEA Tests until December 19, 2019, at which time the Integrated Public Alert and Warning System (IPAWS) infrastructure (through which all alerts are authenticated, validated, and delivered to Participating CMS Providers) was capable of fully supporting these enhancements.</w:t>
      </w:r>
      <w:r>
        <w:rPr>
          <w:rStyle w:val="FootnoteReference"/>
          <w:szCs w:val="22"/>
        </w:rPr>
        <w:footnoteReference w:id="11"/>
      </w:r>
      <w:r w:rsidRPr="00841437">
        <w:t xml:space="preserve">  Accordingly, as of December 19, 2019, alert originators wishing to conduct end-to-end WEA tests using the State/Local WEA Tests category do not need to request a waiver to permit such alerts to be transmitted to the public.</w:t>
      </w:r>
      <w:r>
        <w:rPr>
          <w:rStyle w:val="FootnoteReference"/>
          <w:szCs w:val="22"/>
        </w:rPr>
        <w:footnoteReference w:id="12"/>
      </w:r>
      <w:r w:rsidRPr="00841437">
        <w:t xml:space="preserve">  </w:t>
      </w:r>
    </w:p>
    <w:p w:rsidR="00585B6C" w:rsidRPr="00F148A0" w:rsidP="00F65410" w14:paraId="2099FF74" w14:textId="3BD74A21">
      <w:pPr>
        <w:pStyle w:val="ParaNum"/>
        <w:tabs>
          <w:tab w:val="clear" w:pos="1080"/>
          <w:tab w:val="num" w:pos="1440"/>
        </w:tabs>
      </w:pPr>
      <w:r w:rsidRPr="00656DF2">
        <w:rPr>
          <w:szCs w:val="22"/>
        </w:rPr>
        <w:t>Aliso Viejo</w:t>
      </w:r>
      <w:r w:rsidRPr="00656DF2" w:rsidR="00F148A0">
        <w:rPr>
          <w:szCs w:val="22"/>
        </w:rPr>
        <w:t xml:space="preserve"> requests a waiver of the Commission’s rules to allow Participating CMS Providers to participate in an end-to-end WEA test on </w:t>
      </w:r>
      <w:r w:rsidRPr="00656DF2" w:rsidR="00802CA9">
        <w:rPr>
          <w:szCs w:val="22"/>
        </w:rPr>
        <w:t>March 18</w:t>
      </w:r>
      <w:r w:rsidRPr="00656DF2" w:rsidR="00F148A0">
        <w:rPr>
          <w:szCs w:val="22"/>
        </w:rPr>
        <w:t>, 20</w:t>
      </w:r>
      <w:r w:rsidRPr="00656DF2" w:rsidR="004E7B5A">
        <w:rPr>
          <w:szCs w:val="22"/>
        </w:rPr>
        <w:t>20</w:t>
      </w:r>
      <w:r w:rsidRPr="00656DF2" w:rsidR="00F148A0">
        <w:rPr>
          <w:szCs w:val="22"/>
        </w:rPr>
        <w:t xml:space="preserve">, at </w:t>
      </w:r>
      <w:r w:rsidRPr="00656DF2" w:rsidR="00802CA9">
        <w:rPr>
          <w:szCs w:val="22"/>
        </w:rPr>
        <w:t>3</w:t>
      </w:r>
      <w:r w:rsidRPr="00656DF2" w:rsidR="00F148A0">
        <w:rPr>
          <w:szCs w:val="22"/>
        </w:rPr>
        <w:t xml:space="preserve">:00 </w:t>
      </w:r>
      <w:r w:rsidRPr="00656DF2" w:rsidR="00802CA9">
        <w:rPr>
          <w:szCs w:val="22"/>
        </w:rPr>
        <w:t>p</w:t>
      </w:r>
      <w:r w:rsidRPr="00656DF2" w:rsidR="00F148A0">
        <w:rPr>
          <w:szCs w:val="22"/>
        </w:rPr>
        <w:t>.m. PST.</w:t>
      </w:r>
      <w:r>
        <w:rPr>
          <w:rStyle w:val="FootnoteReference"/>
          <w:szCs w:val="22"/>
        </w:rPr>
        <w:footnoteReference w:id="13"/>
      </w:r>
      <w:r w:rsidRPr="00656DF2" w:rsidR="00F148A0">
        <w:rPr>
          <w:szCs w:val="22"/>
        </w:rPr>
        <w:t xml:space="preserve">  </w:t>
      </w:r>
      <w:r w:rsidR="0079014E">
        <w:t>The proposed WEA end-to-end test w</w:t>
      </w:r>
      <w:r w:rsidR="00EE231E">
        <w:t>ould</w:t>
      </w:r>
      <w:r w:rsidR="0079014E">
        <w:t xml:space="preserve"> be targeted to the City of Aliso Viejo,</w:t>
      </w:r>
      <w:r>
        <w:rPr>
          <w:rStyle w:val="FootnoteReference"/>
        </w:rPr>
        <w:footnoteReference w:id="14"/>
      </w:r>
      <w:r w:rsidR="0079014E">
        <w:t xml:space="preserve"> and the proposed alert message would read: </w:t>
      </w:r>
      <w:r w:rsidRPr="007704AB" w:rsidR="0079014E">
        <w:rPr>
          <w:szCs w:val="22"/>
        </w:rPr>
        <w:t>“</w:t>
      </w:r>
      <w:r w:rsidR="0079014E">
        <w:rPr>
          <w:szCs w:val="22"/>
        </w:rPr>
        <w:t>Aliso Viejo emergency alert test.  No action required</w:t>
      </w:r>
      <w:r w:rsidRPr="007704AB" w:rsidR="0079014E">
        <w:t>.</w:t>
      </w:r>
      <w:r w:rsidR="0079014E">
        <w:t xml:space="preserve">  Details and feedback </w:t>
      </w:r>
      <w:r w:rsidRPr="00901DDD" w:rsidR="0079014E">
        <w:t>www.av</w:t>
      </w:r>
      <w:r w:rsidR="0079014E">
        <w:t>city.org.</w:t>
      </w:r>
      <w:r w:rsidRPr="007704AB" w:rsidR="0079014E">
        <w:t>”</w:t>
      </w:r>
      <w:r>
        <w:rPr>
          <w:rStyle w:val="FootnoteReference"/>
        </w:rPr>
        <w:footnoteReference w:id="15"/>
      </w:r>
      <w:r w:rsidR="0079014E">
        <w:t xml:space="preserve"> </w:t>
      </w:r>
      <w:r w:rsidR="002A169D">
        <w:t xml:space="preserve"> </w:t>
      </w:r>
      <w:r w:rsidR="009D5A49">
        <w:t xml:space="preserve">Aliso Viejo seeks </w:t>
      </w:r>
      <w:r w:rsidR="00F65410">
        <w:t xml:space="preserve">a waiver </w:t>
      </w:r>
      <w:r w:rsidR="009D5A49">
        <w:t xml:space="preserve">to use </w:t>
      </w:r>
      <w:r w:rsidR="002A169D">
        <w:t>a</w:t>
      </w:r>
      <w:r w:rsidR="009D5A49">
        <w:t xml:space="preserve"> Public Safety </w:t>
      </w:r>
      <w:r w:rsidR="008D2205">
        <w:t>M</w:t>
      </w:r>
      <w:r w:rsidR="009D5A49">
        <w:t xml:space="preserve">essage to conduct its </w:t>
      </w:r>
      <w:r w:rsidR="00F65410">
        <w:t xml:space="preserve">“live” end-to-end </w:t>
      </w:r>
      <w:r w:rsidR="00751DBA">
        <w:t xml:space="preserve">WEA </w:t>
      </w:r>
      <w:r w:rsidR="009D5A49">
        <w:t>test.</w:t>
      </w:r>
      <w:r>
        <w:rPr>
          <w:rStyle w:val="FootnoteReference"/>
        </w:rPr>
        <w:footnoteReference w:id="16"/>
      </w:r>
      <w:r w:rsidR="009D5A49">
        <w:t xml:space="preserve">  </w:t>
      </w:r>
      <w:r w:rsidR="001A15BB">
        <w:t>Aliso Viejo states that it relies on WEA to warn the public of the threats posed by several natural hazards, including wildfires in the area.</w:t>
      </w:r>
      <w:r>
        <w:rPr>
          <w:rStyle w:val="FootnoteReference"/>
        </w:rPr>
        <w:footnoteReference w:id="17"/>
      </w:r>
      <w:r w:rsidR="001A15BB">
        <w:t xml:space="preserve">  </w:t>
      </w:r>
      <w:r w:rsidRPr="0079014E" w:rsidR="00F148A0">
        <w:rPr>
          <w:szCs w:val="22"/>
        </w:rPr>
        <w:t xml:space="preserve">According to </w:t>
      </w:r>
      <w:r w:rsidR="008A15C0">
        <w:rPr>
          <w:szCs w:val="22"/>
        </w:rPr>
        <w:t>A</w:t>
      </w:r>
      <w:r w:rsidRPr="0079014E">
        <w:rPr>
          <w:szCs w:val="22"/>
        </w:rPr>
        <w:t>liso Viejo</w:t>
      </w:r>
      <w:r w:rsidRPr="0079014E" w:rsidR="00901DDD">
        <w:rPr>
          <w:szCs w:val="22"/>
        </w:rPr>
        <w:t>, t</w:t>
      </w:r>
      <w:r w:rsidRPr="0079014E" w:rsidR="00F148A0">
        <w:rPr>
          <w:szCs w:val="22"/>
        </w:rPr>
        <w:t xml:space="preserve">he purpose of the test is to </w:t>
      </w:r>
      <w:r w:rsidRPr="0079014E" w:rsidR="00901DDD">
        <w:rPr>
          <w:szCs w:val="22"/>
        </w:rPr>
        <w:t>help public officials understand how WEAs “perform in our community</w:t>
      </w:r>
      <w:r w:rsidR="008A15C0">
        <w:rPr>
          <w:szCs w:val="22"/>
        </w:rPr>
        <w:t>” and to ensure</w:t>
      </w:r>
      <w:r w:rsidR="008A15C0">
        <w:t xml:space="preserve"> its citizens are familiar with the format of a WEA message.</w:t>
      </w:r>
      <w:r>
        <w:rPr>
          <w:rStyle w:val="FootnoteReference"/>
          <w:szCs w:val="22"/>
        </w:rPr>
        <w:footnoteReference w:id="18"/>
      </w:r>
      <w:r w:rsidRPr="0079014E" w:rsidR="00F148A0">
        <w:rPr>
          <w:szCs w:val="22"/>
        </w:rPr>
        <w:t xml:space="preserve">  </w:t>
      </w:r>
      <w:r w:rsidRPr="0079014E" w:rsidR="005857F2">
        <w:rPr>
          <w:szCs w:val="22"/>
        </w:rPr>
        <w:t>Aliso Viejo</w:t>
      </w:r>
      <w:r w:rsidRPr="0079014E" w:rsidR="008E2BC2">
        <w:rPr>
          <w:szCs w:val="22"/>
        </w:rPr>
        <w:t xml:space="preserve"> also</w:t>
      </w:r>
      <w:r w:rsidRPr="0079014E" w:rsidR="005857F2">
        <w:rPr>
          <w:szCs w:val="22"/>
        </w:rPr>
        <w:t xml:space="preserve"> states that it</w:t>
      </w:r>
      <w:r w:rsidRPr="0079014E" w:rsidR="008E2BC2">
        <w:rPr>
          <w:szCs w:val="22"/>
        </w:rPr>
        <w:t xml:space="preserve"> intends to test the WEA enhancements </w:t>
      </w:r>
      <w:r w:rsidR="00751DBA">
        <w:rPr>
          <w:szCs w:val="22"/>
        </w:rPr>
        <w:t>that became available</w:t>
      </w:r>
      <w:r w:rsidRPr="0079014E" w:rsidR="008E2BC2">
        <w:rPr>
          <w:szCs w:val="22"/>
        </w:rPr>
        <w:t xml:space="preserve"> in the </w:t>
      </w:r>
      <w:r w:rsidRPr="0079014E" w:rsidR="008E2BC2">
        <w:rPr>
          <w:i/>
          <w:iCs/>
          <w:szCs w:val="22"/>
        </w:rPr>
        <w:t>Dec. 19</w:t>
      </w:r>
      <w:r w:rsidRPr="0079014E" w:rsidR="008E2BC2">
        <w:rPr>
          <w:i/>
          <w:iCs/>
          <w:szCs w:val="22"/>
          <w:vertAlign w:val="superscript"/>
        </w:rPr>
        <w:t>th</w:t>
      </w:r>
      <w:r w:rsidRPr="0079014E" w:rsidR="008E2BC2">
        <w:rPr>
          <w:i/>
          <w:iCs/>
          <w:szCs w:val="22"/>
        </w:rPr>
        <w:t xml:space="preserve"> PN.</w:t>
      </w:r>
      <w:r>
        <w:rPr>
          <w:rStyle w:val="FootnoteReference"/>
          <w:szCs w:val="22"/>
        </w:rPr>
        <w:footnoteReference w:id="19"/>
      </w:r>
      <w:r w:rsidRPr="0079014E" w:rsidR="00656DF2">
        <w:rPr>
          <w:szCs w:val="22"/>
        </w:rPr>
        <w:t xml:space="preserve">  </w:t>
      </w:r>
      <w:r w:rsidR="00656DF2">
        <w:t xml:space="preserve">This is the second </w:t>
      </w:r>
      <w:r w:rsidR="005857F2">
        <w:t>“live” end-to-end WEA</w:t>
      </w:r>
      <w:r w:rsidR="00656DF2">
        <w:t xml:space="preserve"> test </w:t>
      </w:r>
      <w:r w:rsidR="00656DF2">
        <w:t xml:space="preserve">requested by </w:t>
      </w:r>
      <w:r w:rsidRPr="0079014E" w:rsidR="00656DF2">
        <w:rPr>
          <w:szCs w:val="22"/>
        </w:rPr>
        <w:t>Aliso Viejo</w:t>
      </w:r>
      <w:r w:rsidR="00656DF2">
        <w:t xml:space="preserve">.  The first was approved </w:t>
      </w:r>
      <w:r w:rsidR="006F3A2D">
        <w:t xml:space="preserve">by the Bureau </w:t>
      </w:r>
      <w:r w:rsidR="00656DF2">
        <w:t>on February 7, 2019 and conducted on March 6, 2019.</w:t>
      </w:r>
      <w:r>
        <w:rPr>
          <w:rStyle w:val="FootnoteReference"/>
        </w:rPr>
        <w:footnoteReference w:id="20"/>
      </w:r>
      <w:r w:rsidR="00656DF2">
        <w:t xml:space="preserve">  </w:t>
      </w:r>
    </w:p>
    <w:p w:rsidR="007928DF" w:rsidP="00F65410" w14:paraId="7C7DFBF7" w14:textId="6BB79564">
      <w:pPr>
        <w:pStyle w:val="ParaNum"/>
        <w:tabs>
          <w:tab w:val="clear" w:pos="1080"/>
          <w:tab w:val="num" w:pos="1440"/>
        </w:tabs>
      </w:pPr>
      <w:r>
        <w:t xml:space="preserve">Aliso Viejo </w:t>
      </w:r>
      <w:r>
        <w:t xml:space="preserve">states that </w:t>
      </w:r>
      <w:r w:rsidR="00F458D2">
        <w:t>it</w:t>
      </w:r>
      <w:r>
        <w:t xml:space="preserve"> </w:t>
      </w:r>
      <w:r>
        <w:t>intends to conduct</w:t>
      </w:r>
      <w:r w:rsidR="007832C2">
        <w:t xml:space="preserve"> </w:t>
      </w:r>
      <w:r w:rsidR="00273F8E">
        <w:t>outreach to</w:t>
      </w:r>
      <w:r>
        <w:t xml:space="preserve"> the public about the WEA test.</w:t>
      </w:r>
      <w:r>
        <w:rPr>
          <w:rStyle w:val="FootnoteReference"/>
        </w:rPr>
        <w:footnoteReference w:id="21"/>
      </w:r>
      <w:r>
        <w:t xml:space="preserve">  According to </w:t>
      </w:r>
      <w:r w:rsidR="00300732">
        <w:t>Aliso Viejo</w:t>
      </w:r>
      <w:r>
        <w:t xml:space="preserve">, the outreach initiative includes advance notification and collaboration </w:t>
      </w:r>
      <w:r w:rsidR="00263D03">
        <w:t>with</w:t>
      </w:r>
      <w:r>
        <w:t xml:space="preserve"> stakeholders, surrounding communities, and businesses.</w:t>
      </w:r>
      <w:r>
        <w:rPr>
          <w:rStyle w:val="FootnoteReference"/>
        </w:rPr>
        <w:footnoteReference w:id="22"/>
      </w:r>
      <w:r>
        <w:t xml:space="preserve">  </w:t>
      </w:r>
      <w:r w:rsidR="00C77B22">
        <w:t>Specifically, Aliso Viejo states that it plans to engage in considerable public outreach to inform the public of the test through, for example, press releases, social media posts, local news media, and other means, as well as to collaborate and coordinate with CMS providers, PSAPs, neighboring cities and their PSAPs, emergency response organizations, and the County’s Operational area.</w:t>
      </w:r>
      <w:r>
        <w:rPr>
          <w:rStyle w:val="FootnoteReference"/>
        </w:rPr>
        <w:footnoteReference w:id="23"/>
      </w:r>
      <w:r w:rsidR="00C77B22">
        <w:t xml:space="preserve">  </w:t>
      </w:r>
      <w:r w:rsidR="000D0922">
        <w:t xml:space="preserve">It </w:t>
      </w:r>
      <w:r w:rsidR="007C58A9">
        <w:t xml:space="preserve">also states that </w:t>
      </w:r>
      <w:r w:rsidR="00263D03">
        <w:t>it</w:t>
      </w:r>
      <w:r w:rsidR="007C58A9">
        <w:t xml:space="preserve"> intends to </w:t>
      </w:r>
      <w:r w:rsidR="00263D03">
        <w:t>use</w:t>
      </w:r>
      <w:r w:rsidR="007C58A9">
        <w:t xml:space="preserve"> surveys to capture feedback from the public following the test.</w:t>
      </w:r>
      <w:r>
        <w:rPr>
          <w:rStyle w:val="FootnoteReference"/>
        </w:rPr>
        <w:footnoteReference w:id="24"/>
      </w:r>
    </w:p>
    <w:p w:rsidR="007C58A9" w:rsidP="007C58A9" w14:paraId="6E6E737F" w14:textId="77777777">
      <w:pPr>
        <w:pStyle w:val="Heading1"/>
      </w:pPr>
      <w:r>
        <w:t>discussion</w:t>
      </w:r>
    </w:p>
    <w:p w:rsidR="00E91012" w:rsidRPr="00F65410" w:rsidP="00F65410" w14:paraId="7E476374" w14:textId="2C1BDD38">
      <w:pPr>
        <w:pStyle w:val="ParaNum"/>
        <w:tabs>
          <w:tab w:val="clear" w:pos="1080"/>
          <w:tab w:val="num" w:pos="1440"/>
        </w:tabs>
      </w:pPr>
      <w:r w:rsidRPr="00641BA8">
        <w:rPr>
          <w:szCs w:val="22"/>
        </w:rPr>
        <w:t>A provision of the Commission’s rules “may</w:t>
      </w:r>
      <w:r w:rsidRPr="00641BA8">
        <w:rPr>
          <w:spacing w:val="-5"/>
          <w:szCs w:val="22"/>
        </w:rPr>
        <w:t xml:space="preserve"> </w:t>
      </w:r>
      <w:r w:rsidRPr="00641BA8">
        <w:rPr>
          <w:szCs w:val="22"/>
        </w:rPr>
        <w:t>be</w:t>
      </w:r>
      <w:r w:rsidRPr="00641BA8">
        <w:rPr>
          <w:spacing w:val="-5"/>
          <w:szCs w:val="22"/>
        </w:rPr>
        <w:t xml:space="preserve"> </w:t>
      </w:r>
      <w:r w:rsidRPr="00641BA8">
        <w:rPr>
          <w:spacing w:val="-1"/>
          <w:szCs w:val="22"/>
        </w:rPr>
        <w:t>waived</w:t>
      </w:r>
      <w:r w:rsidRPr="00641BA8">
        <w:rPr>
          <w:spacing w:val="-4"/>
          <w:szCs w:val="22"/>
        </w:rPr>
        <w:t xml:space="preserve"> </w:t>
      </w:r>
      <w:r w:rsidRPr="00641BA8">
        <w:rPr>
          <w:szCs w:val="22"/>
        </w:rPr>
        <w:t>by</w:t>
      </w:r>
      <w:r w:rsidRPr="00641BA8">
        <w:rPr>
          <w:spacing w:val="-4"/>
          <w:szCs w:val="22"/>
        </w:rPr>
        <w:t xml:space="preserve"> </w:t>
      </w:r>
      <w:r w:rsidRPr="00641BA8">
        <w:rPr>
          <w:szCs w:val="22"/>
        </w:rPr>
        <w:t>the</w:t>
      </w:r>
      <w:r w:rsidRPr="00641BA8">
        <w:rPr>
          <w:spacing w:val="-4"/>
          <w:szCs w:val="22"/>
        </w:rPr>
        <w:t xml:space="preserve"> </w:t>
      </w:r>
      <w:r w:rsidRPr="00641BA8">
        <w:rPr>
          <w:spacing w:val="-1"/>
          <w:szCs w:val="22"/>
        </w:rPr>
        <w:t>Commission</w:t>
      </w:r>
      <w:r w:rsidRPr="00641BA8">
        <w:rPr>
          <w:spacing w:val="-4"/>
          <w:szCs w:val="22"/>
        </w:rPr>
        <w:t xml:space="preserve"> </w:t>
      </w:r>
      <w:r w:rsidRPr="00641BA8">
        <w:rPr>
          <w:szCs w:val="22"/>
        </w:rPr>
        <w:t>on</w:t>
      </w:r>
      <w:r w:rsidRPr="00641BA8">
        <w:rPr>
          <w:spacing w:val="-4"/>
          <w:szCs w:val="22"/>
        </w:rPr>
        <w:t xml:space="preserve"> </w:t>
      </w:r>
      <w:r w:rsidRPr="00641BA8">
        <w:rPr>
          <w:szCs w:val="22"/>
        </w:rPr>
        <w:t>its</w:t>
      </w:r>
      <w:r w:rsidRPr="00641BA8">
        <w:rPr>
          <w:spacing w:val="-4"/>
          <w:szCs w:val="22"/>
        </w:rPr>
        <w:t xml:space="preserve"> </w:t>
      </w:r>
      <w:r w:rsidRPr="00641BA8">
        <w:rPr>
          <w:szCs w:val="22"/>
        </w:rPr>
        <w:t>own</w:t>
      </w:r>
      <w:r w:rsidRPr="00641BA8">
        <w:rPr>
          <w:spacing w:val="27"/>
          <w:szCs w:val="22"/>
        </w:rPr>
        <w:t xml:space="preserve"> </w:t>
      </w:r>
      <w:r w:rsidRPr="00641BA8">
        <w:rPr>
          <w:spacing w:val="-1"/>
          <w:szCs w:val="22"/>
        </w:rPr>
        <w:t>motion</w:t>
      </w:r>
      <w:r w:rsidRPr="00641BA8">
        <w:rPr>
          <w:spacing w:val="-3"/>
          <w:szCs w:val="22"/>
        </w:rPr>
        <w:t xml:space="preserve"> </w:t>
      </w:r>
      <w:r w:rsidRPr="00641BA8">
        <w:rPr>
          <w:szCs w:val="22"/>
        </w:rPr>
        <w:t>or</w:t>
      </w:r>
      <w:r w:rsidRPr="00641BA8">
        <w:rPr>
          <w:spacing w:val="-3"/>
          <w:szCs w:val="22"/>
        </w:rPr>
        <w:t xml:space="preserve"> </w:t>
      </w:r>
      <w:r w:rsidRPr="00641BA8">
        <w:rPr>
          <w:szCs w:val="22"/>
        </w:rPr>
        <w:t>on</w:t>
      </w:r>
      <w:r w:rsidRPr="00641BA8">
        <w:rPr>
          <w:spacing w:val="-3"/>
          <w:szCs w:val="22"/>
        </w:rPr>
        <w:t xml:space="preserve"> </w:t>
      </w:r>
      <w:r w:rsidRPr="00641BA8">
        <w:rPr>
          <w:szCs w:val="22"/>
        </w:rPr>
        <w:t>petition</w:t>
      </w:r>
      <w:r w:rsidRPr="00641BA8">
        <w:rPr>
          <w:spacing w:val="-3"/>
          <w:szCs w:val="22"/>
        </w:rPr>
        <w:t xml:space="preserve"> </w:t>
      </w:r>
      <w:r w:rsidRPr="00641BA8">
        <w:rPr>
          <w:spacing w:val="-1"/>
          <w:szCs w:val="22"/>
        </w:rPr>
        <w:t>if</w:t>
      </w:r>
      <w:r w:rsidRPr="00641BA8">
        <w:rPr>
          <w:spacing w:val="-3"/>
          <w:szCs w:val="22"/>
        </w:rPr>
        <w:t xml:space="preserve"> </w:t>
      </w:r>
      <w:r w:rsidRPr="00641BA8">
        <w:rPr>
          <w:szCs w:val="22"/>
        </w:rPr>
        <w:t>good</w:t>
      </w:r>
      <w:r w:rsidRPr="00641BA8">
        <w:rPr>
          <w:spacing w:val="-2"/>
          <w:szCs w:val="22"/>
        </w:rPr>
        <w:t xml:space="preserve"> </w:t>
      </w:r>
      <w:r w:rsidRPr="00641BA8">
        <w:rPr>
          <w:szCs w:val="22"/>
        </w:rPr>
        <w:t>cause</w:t>
      </w:r>
      <w:r w:rsidRPr="00641BA8">
        <w:rPr>
          <w:spacing w:val="-4"/>
          <w:szCs w:val="22"/>
        </w:rPr>
        <w:t xml:space="preserve"> </w:t>
      </w:r>
      <w:r w:rsidRPr="00641BA8">
        <w:rPr>
          <w:szCs w:val="22"/>
        </w:rPr>
        <w:t>therefor</w:t>
      </w:r>
      <w:r w:rsidRPr="00641BA8">
        <w:rPr>
          <w:spacing w:val="-4"/>
          <w:szCs w:val="22"/>
        </w:rPr>
        <w:t xml:space="preserve"> </w:t>
      </w:r>
      <w:r w:rsidRPr="00641BA8">
        <w:rPr>
          <w:spacing w:val="-1"/>
          <w:szCs w:val="22"/>
        </w:rPr>
        <w:t>is</w:t>
      </w:r>
      <w:r w:rsidRPr="00641BA8">
        <w:rPr>
          <w:spacing w:val="-3"/>
          <w:szCs w:val="22"/>
        </w:rPr>
        <w:t xml:space="preserve"> </w:t>
      </w:r>
      <w:r w:rsidRPr="00641BA8">
        <w:rPr>
          <w:spacing w:val="-1"/>
          <w:szCs w:val="22"/>
        </w:rPr>
        <w:t>shown.”</w:t>
      </w:r>
      <w:r>
        <w:rPr>
          <w:rStyle w:val="FootnoteReference"/>
          <w:spacing w:val="-1"/>
          <w:sz w:val="22"/>
          <w:szCs w:val="22"/>
        </w:rPr>
        <w:footnoteReference w:id="25"/>
      </w:r>
      <w:r w:rsidRPr="00641BA8">
        <w:rPr>
          <w:szCs w:val="22"/>
        </w:rPr>
        <w:t xml:space="preserve">  The</w:t>
      </w:r>
      <w:r w:rsidRPr="00641BA8">
        <w:rPr>
          <w:spacing w:val="-4"/>
          <w:szCs w:val="22"/>
        </w:rPr>
        <w:t xml:space="preserve"> </w:t>
      </w:r>
      <w:r w:rsidRPr="00641BA8">
        <w:rPr>
          <w:szCs w:val="22"/>
        </w:rPr>
        <w:t>Commission</w:t>
      </w:r>
      <w:r w:rsidRPr="00641BA8">
        <w:rPr>
          <w:spacing w:val="-3"/>
          <w:szCs w:val="22"/>
        </w:rPr>
        <w:t xml:space="preserve"> </w:t>
      </w:r>
      <w:r w:rsidRPr="00641BA8">
        <w:rPr>
          <w:szCs w:val="22"/>
        </w:rPr>
        <w:t>may</w:t>
      </w:r>
      <w:r w:rsidRPr="00641BA8">
        <w:rPr>
          <w:spacing w:val="-4"/>
          <w:szCs w:val="22"/>
        </w:rPr>
        <w:t xml:space="preserve"> </w:t>
      </w:r>
      <w:r w:rsidRPr="00641BA8">
        <w:rPr>
          <w:szCs w:val="22"/>
        </w:rPr>
        <w:t>find</w:t>
      </w:r>
      <w:r w:rsidRPr="00641BA8">
        <w:rPr>
          <w:spacing w:val="-3"/>
          <w:szCs w:val="22"/>
        </w:rPr>
        <w:t xml:space="preserve"> </w:t>
      </w:r>
      <w:r w:rsidRPr="00641BA8">
        <w:rPr>
          <w:szCs w:val="22"/>
        </w:rPr>
        <w:t>good</w:t>
      </w:r>
      <w:r w:rsidRPr="00641BA8">
        <w:rPr>
          <w:spacing w:val="-2"/>
          <w:szCs w:val="22"/>
        </w:rPr>
        <w:t xml:space="preserve"> </w:t>
      </w:r>
      <w:r w:rsidRPr="00641BA8">
        <w:rPr>
          <w:szCs w:val="22"/>
        </w:rPr>
        <w:t>cause to extend</w:t>
      </w:r>
      <w:r w:rsidRPr="00641BA8">
        <w:rPr>
          <w:spacing w:val="-6"/>
          <w:szCs w:val="22"/>
        </w:rPr>
        <w:t xml:space="preserve"> </w:t>
      </w:r>
      <w:r w:rsidRPr="00641BA8">
        <w:rPr>
          <w:szCs w:val="22"/>
        </w:rPr>
        <w:t>a</w:t>
      </w:r>
      <w:r w:rsidRPr="00641BA8">
        <w:rPr>
          <w:spacing w:val="-7"/>
          <w:szCs w:val="22"/>
        </w:rPr>
        <w:t xml:space="preserve"> </w:t>
      </w:r>
      <w:r w:rsidRPr="00641BA8">
        <w:rPr>
          <w:spacing w:val="-1"/>
          <w:szCs w:val="22"/>
        </w:rPr>
        <w:t>waiver</w:t>
      </w:r>
      <w:r w:rsidRPr="00641BA8">
        <w:rPr>
          <w:spacing w:val="-6"/>
          <w:szCs w:val="22"/>
        </w:rPr>
        <w:t xml:space="preserve">, </w:t>
      </w:r>
      <w:r w:rsidRPr="00641BA8">
        <w:rPr>
          <w:szCs w:val="22"/>
        </w:rPr>
        <w:t>“if</w:t>
      </w:r>
      <w:r w:rsidRPr="00641BA8">
        <w:rPr>
          <w:spacing w:val="-6"/>
          <w:szCs w:val="22"/>
        </w:rPr>
        <w:t xml:space="preserve"> </w:t>
      </w:r>
      <w:r w:rsidRPr="00641BA8">
        <w:rPr>
          <w:spacing w:val="-1"/>
          <w:szCs w:val="22"/>
        </w:rPr>
        <w:t>special</w:t>
      </w:r>
      <w:r w:rsidRPr="00641BA8">
        <w:rPr>
          <w:spacing w:val="-5"/>
          <w:szCs w:val="22"/>
        </w:rPr>
        <w:t xml:space="preserve"> </w:t>
      </w:r>
      <w:r w:rsidRPr="00641BA8">
        <w:rPr>
          <w:szCs w:val="22"/>
        </w:rPr>
        <w:t>circumstances</w:t>
      </w:r>
      <w:r w:rsidRPr="00641BA8">
        <w:rPr>
          <w:spacing w:val="-5"/>
          <w:szCs w:val="22"/>
        </w:rPr>
        <w:t xml:space="preserve"> </w:t>
      </w:r>
      <w:r w:rsidRPr="00641BA8">
        <w:rPr>
          <w:spacing w:val="-1"/>
          <w:szCs w:val="22"/>
        </w:rPr>
        <w:t>warrant</w:t>
      </w:r>
      <w:r w:rsidRPr="00641BA8">
        <w:rPr>
          <w:spacing w:val="-5"/>
          <w:szCs w:val="22"/>
        </w:rPr>
        <w:t xml:space="preserve"> </w:t>
      </w:r>
      <w:r w:rsidRPr="00641BA8">
        <w:rPr>
          <w:szCs w:val="22"/>
        </w:rPr>
        <w:t>a</w:t>
      </w:r>
      <w:r w:rsidRPr="00641BA8">
        <w:rPr>
          <w:spacing w:val="-5"/>
          <w:szCs w:val="22"/>
        </w:rPr>
        <w:t xml:space="preserve"> </w:t>
      </w:r>
      <w:r w:rsidRPr="00641BA8">
        <w:rPr>
          <w:spacing w:val="-1"/>
          <w:szCs w:val="22"/>
        </w:rPr>
        <w:t>deviation</w:t>
      </w:r>
      <w:r w:rsidRPr="00641BA8">
        <w:rPr>
          <w:spacing w:val="-6"/>
          <w:szCs w:val="22"/>
        </w:rPr>
        <w:t xml:space="preserve"> </w:t>
      </w:r>
      <w:r w:rsidRPr="00641BA8">
        <w:rPr>
          <w:szCs w:val="22"/>
        </w:rPr>
        <w:t>from</w:t>
      </w:r>
      <w:r w:rsidRPr="00641BA8">
        <w:rPr>
          <w:spacing w:val="-5"/>
          <w:szCs w:val="22"/>
        </w:rPr>
        <w:t xml:space="preserve"> </w:t>
      </w:r>
      <w:r w:rsidRPr="00641BA8">
        <w:rPr>
          <w:szCs w:val="22"/>
        </w:rPr>
        <w:t>the</w:t>
      </w:r>
      <w:r w:rsidRPr="00641BA8">
        <w:rPr>
          <w:spacing w:val="-6"/>
          <w:szCs w:val="22"/>
        </w:rPr>
        <w:t xml:space="preserve"> </w:t>
      </w:r>
      <w:r w:rsidRPr="00641BA8">
        <w:rPr>
          <w:szCs w:val="22"/>
        </w:rPr>
        <w:t>general</w:t>
      </w:r>
      <w:r w:rsidRPr="00641BA8">
        <w:rPr>
          <w:spacing w:val="-5"/>
          <w:szCs w:val="22"/>
        </w:rPr>
        <w:t xml:space="preserve"> </w:t>
      </w:r>
      <w:r w:rsidRPr="00641BA8">
        <w:rPr>
          <w:szCs w:val="22"/>
        </w:rPr>
        <w:t>rule</w:t>
      </w:r>
      <w:r w:rsidRPr="00641BA8">
        <w:rPr>
          <w:spacing w:val="-5"/>
          <w:szCs w:val="22"/>
        </w:rPr>
        <w:t xml:space="preserve"> </w:t>
      </w:r>
      <w:r w:rsidRPr="00641BA8">
        <w:rPr>
          <w:spacing w:val="-1"/>
          <w:szCs w:val="22"/>
        </w:rPr>
        <w:t>and</w:t>
      </w:r>
      <w:r w:rsidRPr="00641BA8">
        <w:rPr>
          <w:spacing w:val="-5"/>
          <w:szCs w:val="22"/>
        </w:rPr>
        <w:t xml:space="preserve"> </w:t>
      </w:r>
      <w:r w:rsidRPr="00641BA8">
        <w:rPr>
          <w:spacing w:val="-1"/>
          <w:szCs w:val="22"/>
        </w:rPr>
        <w:t>such</w:t>
      </w:r>
      <w:r w:rsidRPr="00641BA8">
        <w:rPr>
          <w:spacing w:val="-6"/>
          <w:szCs w:val="22"/>
        </w:rPr>
        <w:t xml:space="preserve"> </w:t>
      </w:r>
      <w:r w:rsidRPr="00641BA8">
        <w:rPr>
          <w:szCs w:val="22"/>
        </w:rPr>
        <w:t xml:space="preserve">deviation </w:t>
      </w:r>
      <w:r w:rsidRPr="00641BA8">
        <w:rPr>
          <w:spacing w:val="-1"/>
          <w:szCs w:val="22"/>
        </w:rPr>
        <w:t>will</w:t>
      </w:r>
      <w:r w:rsidRPr="00641BA8">
        <w:rPr>
          <w:spacing w:val="-4"/>
          <w:szCs w:val="22"/>
        </w:rPr>
        <w:t xml:space="preserve"> </w:t>
      </w:r>
      <w:r w:rsidRPr="00641BA8">
        <w:rPr>
          <w:spacing w:val="-1"/>
          <w:szCs w:val="22"/>
        </w:rPr>
        <w:t>serve</w:t>
      </w:r>
      <w:r w:rsidRPr="00641BA8">
        <w:rPr>
          <w:spacing w:val="-4"/>
          <w:szCs w:val="22"/>
        </w:rPr>
        <w:t xml:space="preserve"> </w:t>
      </w:r>
      <w:r w:rsidRPr="00641BA8">
        <w:rPr>
          <w:szCs w:val="22"/>
        </w:rPr>
        <w:t>the</w:t>
      </w:r>
      <w:r w:rsidRPr="00641BA8">
        <w:rPr>
          <w:spacing w:val="-5"/>
          <w:szCs w:val="22"/>
        </w:rPr>
        <w:t xml:space="preserve"> </w:t>
      </w:r>
      <w:r w:rsidRPr="00641BA8">
        <w:rPr>
          <w:szCs w:val="22"/>
        </w:rPr>
        <w:t>public</w:t>
      </w:r>
      <w:r w:rsidRPr="00641BA8">
        <w:rPr>
          <w:spacing w:val="-3"/>
          <w:szCs w:val="22"/>
        </w:rPr>
        <w:t xml:space="preserve"> </w:t>
      </w:r>
      <w:r w:rsidRPr="00641BA8">
        <w:rPr>
          <w:spacing w:val="-1"/>
          <w:szCs w:val="22"/>
        </w:rPr>
        <w:t>interest.”</w:t>
      </w:r>
      <w:r>
        <w:rPr>
          <w:rStyle w:val="FootnoteReference"/>
          <w:spacing w:val="-1"/>
          <w:sz w:val="22"/>
          <w:szCs w:val="22"/>
        </w:rPr>
        <w:footnoteReference w:id="26"/>
      </w:r>
      <w:r w:rsidRPr="00641BA8">
        <w:rPr>
          <w:spacing w:val="-1"/>
          <w:szCs w:val="22"/>
        </w:rPr>
        <w:t xml:space="preserve">  </w:t>
      </w:r>
      <w:r>
        <w:rPr>
          <w:spacing w:val="-1"/>
          <w:szCs w:val="22"/>
        </w:rPr>
        <w:t xml:space="preserve">Based on the circumstances set forth in the Aliso Viejo Letter, we do not find good cause to grant a waiver in this case.  </w:t>
      </w:r>
    </w:p>
    <w:p w:rsidR="007C58A9" w:rsidRPr="00F65410" w:rsidP="00F65410" w14:paraId="1E51D111" w14:textId="7FC72BF5">
      <w:pPr>
        <w:pStyle w:val="ParaNum"/>
        <w:tabs>
          <w:tab w:val="clear" w:pos="1080"/>
          <w:tab w:val="num" w:pos="1440"/>
        </w:tabs>
        <w:rPr>
          <w:rFonts w:ascii="TimesNewRomanPSMT" w:hAnsi="TimesNewRomanPSMT" w:cs="TimesNewRomanPSMT"/>
          <w:snapToGrid/>
          <w:kern w:val="0"/>
          <w:szCs w:val="22"/>
        </w:rPr>
      </w:pPr>
      <w:r>
        <w:t xml:space="preserve">Aliso Viejo </w:t>
      </w:r>
      <w:r w:rsidR="009D18EE">
        <w:t xml:space="preserve">wishes to conduct </w:t>
      </w:r>
      <w:r w:rsidR="00D066EF">
        <w:t xml:space="preserve">its test </w:t>
      </w:r>
      <w:r w:rsidR="009D18EE">
        <w:t>to see how WEA functions in light of the WEA system’s recently enacted enhancements and the region’s risk of wildfires</w:t>
      </w:r>
      <w:r w:rsidR="00CC5873">
        <w:t>.</w:t>
      </w:r>
      <w:r>
        <w:rPr>
          <w:rStyle w:val="FootnoteReference"/>
        </w:rPr>
        <w:footnoteReference w:id="27"/>
      </w:r>
      <w:r w:rsidR="00CC5873">
        <w:t xml:space="preserve">  In conducting its test, Aliso Viejo seeks to ensure its public officials have a clear understanding of how WEA functions in its community and </w:t>
      </w:r>
      <w:r w:rsidR="008A15C0">
        <w:t xml:space="preserve">that </w:t>
      </w:r>
      <w:r w:rsidR="00CC5873">
        <w:t>it</w:t>
      </w:r>
      <w:r w:rsidR="008A15C0">
        <w:t>s</w:t>
      </w:r>
      <w:r w:rsidR="00CC5873">
        <w:t xml:space="preserve"> citizens are familiar with the format of a WEA message</w:t>
      </w:r>
      <w:r w:rsidR="009D18EE">
        <w:t>.</w:t>
      </w:r>
      <w:r>
        <w:rPr>
          <w:rStyle w:val="FootnoteReference"/>
        </w:rPr>
        <w:footnoteReference w:id="28"/>
      </w:r>
      <w:r w:rsidR="009D18EE">
        <w:t xml:space="preserve"> </w:t>
      </w:r>
      <w:r w:rsidRPr="007D4061" w:rsidR="007D4061">
        <w:t xml:space="preserve"> </w:t>
      </w:r>
      <w:r w:rsidR="007D4061">
        <w:t xml:space="preserve">Aliso Viejo essentially states that it wishes to conduct </w:t>
      </w:r>
      <w:r w:rsidR="00D066EF">
        <w:t xml:space="preserve">both </w:t>
      </w:r>
      <w:r w:rsidR="007D4061">
        <w:t xml:space="preserve">a </w:t>
      </w:r>
      <w:r w:rsidR="00D066EF">
        <w:t xml:space="preserve">public preparedness and </w:t>
      </w:r>
      <w:r w:rsidR="007D4061">
        <w:t xml:space="preserve">proficiency training exercise to </w:t>
      </w:r>
      <w:r w:rsidR="00D066EF">
        <w:t xml:space="preserve">test and </w:t>
      </w:r>
      <w:r w:rsidR="007D4061">
        <w:t xml:space="preserve">see how WEA functions in light of the WEA system’s recently enacted enhancements and the region’s risk of wildfires.  </w:t>
      </w:r>
      <w:r w:rsidR="00B5244E">
        <w:t xml:space="preserve">We </w:t>
      </w:r>
      <w:r w:rsidR="009D18EE">
        <w:t xml:space="preserve">agree that </w:t>
      </w:r>
      <w:r w:rsidR="00D066EF">
        <w:t xml:space="preserve">public preparedness and </w:t>
      </w:r>
      <w:r w:rsidRPr="00E61DBB" w:rsidR="009D18EE">
        <w:t xml:space="preserve">proficiency training exercises are a helpful </w:t>
      </w:r>
      <w:r w:rsidR="009D18EE">
        <w:t xml:space="preserve">tool for </w:t>
      </w:r>
      <w:r w:rsidR="00B01F1C">
        <w:t xml:space="preserve">the public, city officials, and </w:t>
      </w:r>
      <w:r w:rsidR="009D18EE">
        <w:t>alert originators</w:t>
      </w:r>
      <w:r w:rsidR="00B5244E">
        <w:t>.  And that is why</w:t>
      </w:r>
      <w:r w:rsidR="009D18EE">
        <w:t xml:space="preserve"> </w:t>
      </w:r>
      <w:r w:rsidR="00B5244E">
        <w:t xml:space="preserve">the Commission’s rules now provide end-to-end WEA tests using </w:t>
      </w:r>
      <w:r w:rsidRPr="00B5244E" w:rsidR="00B5244E">
        <w:t>State/Local WEA Test messages</w:t>
      </w:r>
      <w:r w:rsidR="00B5244E">
        <w:t>.</w:t>
      </w:r>
      <w:r w:rsidRPr="00B5244E" w:rsidR="00B5244E">
        <w:t xml:space="preserve"> </w:t>
      </w:r>
      <w:r w:rsidR="00B5244E">
        <w:t xml:space="preserve"> </w:t>
      </w:r>
      <w:r w:rsidR="000C2274">
        <w:t xml:space="preserve">But </w:t>
      </w:r>
      <w:r w:rsidR="009D18EE">
        <w:t xml:space="preserve">Aliso Viejo fails to explain why it must </w:t>
      </w:r>
      <w:r w:rsidR="009D18EE">
        <w:t xml:space="preserve">conduct an end-to-end test using </w:t>
      </w:r>
      <w:r w:rsidR="00D066EF">
        <w:rPr>
          <w:rFonts w:ascii="TimesNewRomanPSMT" w:hAnsi="TimesNewRomanPSMT" w:cs="TimesNewRomanPSMT"/>
          <w:snapToGrid/>
          <w:kern w:val="0"/>
          <w:szCs w:val="22"/>
        </w:rPr>
        <w:t xml:space="preserve">a Public Safety </w:t>
      </w:r>
      <w:r w:rsidR="008D2205">
        <w:rPr>
          <w:rFonts w:ascii="TimesNewRomanPSMT" w:hAnsi="TimesNewRomanPSMT" w:cs="TimesNewRomanPSMT"/>
          <w:snapToGrid/>
          <w:kern w:val="0"/>
          <w:szCs w:val="22"/>
        </w:rPr>
        <w:t>M</w:t>
      </w:r>
      <w:r w:rsidR="00D066EF">
        <w:rPr>
          <w:rFonts w:ascii="TimesNewRomanPSMT" w:hAnsi="TimesNewRomanPSMT" w:cs="TimesNewRomanPSMT"/>
          <w:snapToGrid/>
          <w:kern w:val="0"/>
          <w:szCs w:val="22"/>
        </w:rPr>
        <w:t>essage</w:t>
      </w:r>
      <w:r w:rsidR="006D132F">
        <w:rPr>
          <w:rFonts w:ascii="TimesNewRomanPSMT" w:hAnsi="TimesNewRomanPSMT" w:cs="TimesNewRomanPSMT"/>
          <w:snapToGrid/>
          <w:kern w:val="0"/>
          <w:szCs w:val="22"/>
        </w:rPr>
        <w:t>,</w:t>
      </w:r>
      <w:r>
        <w:rPr>
          <w:rStyle w:val="FootnoteReference"/>
          <w:rFonts w:cs="TimesNewRomanPSMT"/>
          <w:snapToGrid/>
          <w:kern w:val="0"/>
          <w:szCs w:val="22"/>
        </w:rPr>
        <w:footnoteReference w:id="29"/>
      </w:r>
      <w:r>
        <w:rPr>
          <w:rFonts w:ascii="TimesNewRomanPSMT" w:hAnsi="TimesNewRomanPSMT" w:cs="TimesNewRomanPSMT"/>
          <w:snapToGrid/>
          <w:kern w:val="0"/>
          <w:szCs w:val="22"/>
        </w:rPr>
        <w:t xml:space="preserve"> rather than the State/Local test category</w:t>
      </w:r>
      <w:r w:rsidR="009D18EE">
        <w:rPr>
          <w:rFonts w:ascii="TimesNewRomanPSMT" w:hAnsi="TimesNewRomanPSMT" w:cs="TimesNewRomanPSMT"/>
          <w:snapToGrid/>
          <w:kern w:val="0"/>
          <w:szCs w:val="22"/>
        </w:rPr>
        <w:t>.</w:t>
      </w:r>
      <w:r>
        <w:rPr>
          <w:rStyle w:val="FootnoteReference"/>
          <w:rFonts w:cs="TimesNewRomanPSMT"/>
          <w:snapToGrid/>
          <w:kern w:val="0"/>
          <w:szCs w:val="22"/>
        </w:rPr>
        <w:footnoteReference w:id="30"/>
      </w:r>
      <w:r w:rsidR="009D18EE">
        <w:rPr>
          <w:rFonts w:ascii="TimesNewRomanPSMT" w:hAnsi="TimesNewRomanPSMT" w:cs="TimesNewRomanPSMT"/>
          <w:snapToGrid/>
          <w:kern w:val="0"/>
          <w:szCs w:val="22"/>
        </w:rPr>
        <w:t xml:space="preserve">  </w:t>
      </w:r>
      <w:r>
        <w:rPr>
          <w:rFonts w:ascii="TimesNewRomanPSMT" w:hAnsi="TimesNewRomanPSMT" w:cs="TimesNewRomanPSMT"/>
          <w:snapToGrid/>
          <w:kern w:val="0"/>
          <w:szCs w:val="22"/>
        </w:rPr>
        <w:t xml:space="preserve">The </w:t>
      </w:r>
      <w:r w:rsidR="009D18EE">
        <w:rPr>
          <w:rFonts w:ascii="TimesNewRomanPSMT" w:hAnsi="TimesNewRomanPSMT" w:cs="TimesNewRomanPSMT"/>
          <w:snapToGrid/>
          <w:kern w:val="0"/>
          <w:szCs w:val="22"/>
        </w:rPr>
        <w:t xml:space="preserve">Commission specifically adopted the State/Local WEA test category </w:t>
      </w:r>
      <w:r w:rsidRPr="00F65410" w:rsidR="00E91012">
        <w:rPr>
          <w:rFonts w:ascii="TimesNewRomanPSMT" w:hAnsi="TimesNewRomanPSMT" w:cs="TimesNewRomanPSMT"/>
          <w:snapToGrid/>
          <w:kern w:val="0"/>
          <w:szCs w:val="22"/>
        </w:rPr>
        <w:t>to provide emergency managers with a way “to test in an environment that mirrors</w:t>
      </w:r>
      <w:r w:rsidR="00E91012">
        <w:rPr>
          <w:rFonts w:ascii="TimesNewRomanPSMT" w:hAnsi="TimesNewRomanPSMT" w:cs="TimesNewRomanPSMT"/>
          <w:snapToGrid/>
          <w:kern w:val="0"/>
          <w:szCs w:val="22"/>
        </w:rPr>
        <w:t xml:space="preserve"> </w:t>
      </w:r>
      <w:r w:rsidRPr="003E0AD2" w:rsidR="00E91012">
        <w:rPr>
          <w:rFonts w:ascii="TimesNewRomanPSMT" w:hAnsi="TimesNewRomanPSMT" w:cs="TimesNewRomanPSMT"/>
          <w:snapToGrid/>
          <w:kern w:val="0"/>
          <w:szCs w:val="22"/>
        </w:rPr>
        <w:t>actual alert conditions and evaluate, for example, the accuracy with which various Participating CMS</w:t>
      </w:r>
      <w:r w:rsidR="00E91012">
        <w:rPr>
          <w:rFonts w:ascii="TimesNewRomanPSMT" w:hAnsi="TimesNewRomanPSMT" w:cs="TimesNewRomanPSMT"/>
          <w:snapToGrid/>
          <w:kern w:val="0"/>
          <w:szCs w:val="22"/>
        </w:rPr>
        <w:t xml:space="preserve"> </w:t>
      </w:r>
      <w:r w:rsidRPr="00F65410" w:rsidR="00E91012">
        <w:rPr>
          <w:rFonts w:ascii="TimesNewRomanPSMT" w:hAnsi="TimesNewRomanPSMT" w:cs="TimesNewRomanPSMT"/>
          <w:snapToGrid/>
          <w:kern w:val="0"/>
          <w:szCs w:val="22"/>
        </w:rPr>
        <w:t>Providers geo-target Alert Messages in their community,” while also protecting wireless consumers from</w:t>
      </w:r>
      <w:r w:rsidR="00E91012">
        <w:rPr>
          <w:rFonts w:ascii="TimesNewRomanPSMT" w:hAnsi="TimesNewRomanPSMT" w:cs="TimesNewRomanPSMT"/>
          <w:snapToGrid/>
          <w:kern w:val="0"/>
          <w:szCs w:val="22"/>
        </w:rPr>
        <w:t xml:space="preserve"> </w:t>
      </w:r>
      <w:r w:rsidRPr="003E0AD2" w:rsidR="00E91012">
        <w:rPr>
          <w:rFonts w:ascii="TimesNewRomanPSMT" w:hAnsi="TimesNewRomanPSMT" w:cs="TimesNewRomanPSMT"/>
          <w:snapToGrid/>
          <w:kern w:val="0"/>
          <w:szCs w:val="22"/>
        </w:rPr>
        <w:t>alert fatigue, which could lead the public to opt out of receiving WEA messages entirely</w:t>
      </w:r>
      <w:r w:rsidR="00E91012">
        <w:rPr>
          <w:rFonts w:ascii="TimesNewRomanPSMT" w:hAnsi="TimesNewRomanPSMT" w:cs="TimesNewRomanPSMT"/>
          <w:snapToGrid/>
          <w:kern w:val="0"/>
          <w:szCs w:val="22"/>
        </w:rPr>
        <w:t>.</w:t>
      </w:r>
      <w:r>
        <w:rPr>
          <w:rStyle w:val="FootnoteReference"/>
          <w:rFonts w:cs="TimesNewRomanPSMT"/>
          <w:snapToGrid/>
          <w:kern w:val="0"/>
          <w:szCs w:val="22"/>
        </w:rPr>
        <w:footnoteReference w:id="31"/>
      </w:r>
      <w:r w:rsidRPr="003E0AD2" w:rsidR="00E91012">
        <w:rPr>
          <w:rFonts w:ascii="TimesNewRomanPSMT" w:hAnsi="TimesNewRomanPSMT" w:cs="TimesNewRomanPSMT"/>
          <w:snapToGrid/>
          <w:kern w:val="0"/>
          <w:szCs w:val="22"/>
        </w:rPr>
        <w:t xml:space="preserve"> </w:t>
      </w:r>
      <w:r>
        <w:rPr>
          <w:rFonts w:ascii="TimesNewRomanPSMT" w:hAnsi="TimesNewRomanPSMT" w:cs="TimesNewRomanPSMT"/>
          <w:snapToGrid/>
          <w:kern w:val="0"/>
          <w:szCs w:val="22"/>
        </w:rPr>
        <w:t xml:space="preserve"> </w:t>
      </w:r>
      <w:r w:rsidR="00B5244E">
        <w:rPr>
          <w:rFonts w:ascii="TimesNewRomanPSMT" w:hAnsi="TimesNewRomanPSMT" w:cs="TimesNewRomanPSMT"/>
          <w:snapToGrid/>
          <w:kern w:val="0"/>
          <w:szCs w:val="22"/>
        </w:rPr>
        <w:t xml:space="preserve">Because </w:t>
      </w:r>
      <w:r>
        <w:rPr>
          <w:rFonts w:ascii="TimesNewRomanPSMT" w:hAnsi="TimesNewRomanPSMT" w:cs="TimesNewRomanPSMT"/>
          <w:snapToGrid/>
          <w:kern w:val="0"/>
          <w:szCs w:val="22"/>
        </w:rPr>
        <w:t xml:space="preserve">Aliso Viejo </w:t>
      </w:r>
      <w:r w:rsidR="00B5244E">
        <w:rPr>
          <w:rFonts w:ascii="TimesNewRomanPSMT" w:hAnsi="TimesNewRomanPSMT" w:cs="TimesNewRomanPSMT"/>
          <w:snapToGrid/>
          <w:kern w:val="0"/>
          <w:szCs w:val="22"/>
        </w:rPr>
        <w:t xml:space="preserve">provides no reason why it cannot achieve </w:t>
      </w:r>
      <w:r w:rsidR="000C2274">
        <w:rPr>
          <w:rFonts w:ascii="TimesNewRomanPSMT" w:hAnsi="TimesNewRomanPSMT" w:cs="TimesNewRomanPSMT"/>
          <w:snapToGrid/>
          <w:kern w:val="0"/>
          <w:szCs w:val="22"/>
        </w:rPr>
        <w:t xml:space="preserve">its </w:t>
      </w:r>
      <w:r w:rsidR="00B5244E">
        <w:rPr>
          <w:rFonts w:ascii="TimesNewRomanPSMT" w:hAnsi="TimesNewRomanPSMT" w:cs="TimesNewRomanPSMT"/>
          <w:snapToGrid/>
          <w:kern w:val="0"/>
          <w:szCs w:val="22"/>
        </w:rPr>
        <w:t>objective</w:t>
      </w:r>
      <w:r w:rsidR="000C2274">
        <w:rPr>
          <w:rFonts w:ascii="TimesNewRomanPSMT" w:hAnsi="TimesNewRomanPSMT" w:cs="TimesNewRomanPSMT"/>
          <w:snapToGrid/>
          <w:kern w:val="0"/>
          <w:szCs w:val="22"/>
        </w:rPr>
        <w:t>s</w:t>
      </w:r>
      <w:r>
        <w:rPr>
          <w:rFonts w:ascii="TimesNewRomanPSMT" w:hAnsi="TimesNewRomanPSMT" w:cs="TimesNewRomanPSMT"/>
          <w:snapToGrid/>
          <w:kern w:val="0"/>
          <w:szCs w:val="22"/>
        </w:rPr>
        <w:t xml:space="preserve"> using the State/Local Test category, or why its interest in conducting a test using </w:t>
      </w:r>
      <w:r w:rsidR="008D2205">
        <w:rPr>
          <w:rFonts w:ascii="TimesNewRomanPSMT" w:hAnsi="TimesNewRomanPSMT" w:cs="TimesNewRomanPSMT"/>
          <w:snapToGrid/>
          <w:kern w:val="0"/>
          <w:szCs w:val="22"/>
        </w:rPr>
        <w:t>a</w:t>
      </w:r>
      <w:r w:rsidR="00D066EF">
        <w:rPr>
          <w:rFonts w:ascii="TimesNewRomanPSMT" w:hAnsi="TimesNewRomanPSMT" w:cs="TimesNewRomanPSMT"/>
          <w:snapToGrid/>
          <w:kern w:val="0"/>
          <w:szCs w:val="22"/>
        </w:rPr>
        <w:t xml:space="preserve"> Public Safety </w:t>
      </w:r>
      <w:r w:rsidR="008D2205">
        <w:rPr>
          <w:rFonts w:ascii="TimesNewRomanPSMT" w:hAnsi="TimesNewRomanPSMT" w:cs="TimesNewRomanPSMT"/>
          <w:snapToGrid/>
          <w:kern w:val="0"/>
          <w:szCs w:val="22"/>
        </w:rPr>
        <w:t xml:space="preserve">Message </w:t>
      </w:r>
      <w:r w:rsidR="000C2274">
        <w:rPr>
          <w:rFonts w:ascii="TimesNewRomanPSMT" w:hAnsi="TimesNewRomanPSMT" w:cs="TimesNewRomanPSMT"/>
          <w:snapToGrid/>
          <w:kern w:val="0"/>
          <w:szCs w:val="22"/>
        </w:rPr>
        <w:t>would serve the public interest</w:t>
      </w:r>
      <w:r w:rsidR="00B5244E">
        <w:rPr>
          <w:rFonts w:ascii="TimesNewRomanPSMT" w:hAnsi="TimesNewRomanPSMT" w:cs="TimesNewRomanPSMT"/>
          <w:snapToGrid/>
          <w:kern w:val="0"/>
          <w:szCs w:val="22"/>
        </w:rPr>
        <w:t>,</w:t>
      </w:r>
      <w:r w:rsidR="000C2274">
        <w:rPr>
          <w:rFonts w:ascii="TimesNewRomanPSMT" w:hAnsi="TimesNewRomanPSMT" w:cs="TimesNewRomanPSMT"/>
          <w:snapToGrid/>
          <w:kern w:val="0"/>
          <w:szCs w:val="22"/>
        </w:rPr>
        <w:t xml:space="preserve"> we deny the request</w:t>
      </w:r>
      <w:r>
        <w:rPr>
          <w:rFonts w:ascii="TimesNewRomanPSMT" w:hAnsi="TimesNewRomanPSMT" w:cs="TimesNewRomanPSMT"/>
          <w:snapToGrid/>
          <w:kern w:val="0"/>
          <w:szCs w:val="22"/>
        </w:rPr>
        <w:t xml:space="preserve">.  </w:t>
      </w:r>
    </w:p>
    <w:p w:rsidR="009D0AE5" w:rsidP="00F65410" w14:paraId="53D4F1A1" w14:textId="66442986">
      <w:pPr>
        <w:pStyle w:val="ParaNum"/>
        <w:tabs>
          <w:tab w:val="clear" w:pos="1080"/>
          <w:tab w:val="num" w:pos="1440"/>
        </w:tabs>
      </w:pPr>
      <w:r>
        <w:t xml:space="preserve">Given that </w:t>
      </w:r>
      <w:r>
        <w:t xml:space="preserve">Aliso Viejo states that it </w:t>
      </w:r>
      <w:r>
        <w:t xml:space="preserve">already </w:t>
      </w:r>
      <w:r>
        <w:t>plans to engage in considerable public outreach to inform them of the test</w:t>
      </w:r>
      <w:r>
        <w:t>,</w:t>
      </w:r>
      <w:r>
        <w:rPr>
          <w:rStyle w:val="FootnoteReference"/>
        </w:rPr>
        <w:footnoteReference w:id="32"/>
      </w:r>
      <w:r>
        <w:t xml:space="preserve"> </w:t>
      </w:r>
      <w:r>
        <w:t>it could</w:t>
      </w:r>
      <w:r w:rsidR="00BA7010">
        <w:t xml:space="preserve"> </w:t>
      </w:r>
      <w:r>
        <w:t xml:space="preserve">use this </w:t>
      </w:r>
      <w:r w:rsidR="00BA7010">
        <w:t xml:space="preserve">opportunity to encourage </w:t>
      </w:r>
      <w:r w:rsidR="00B1499A">
        <w:t xml:space="preserve">its </w:t>
      </w:r>
      <w:r w:rsidR="007D4061">
        <w:t>community</w:t>
      </w:r>
      <w:r w:rsidR="00BA7010">
        <w:t xml:space="preserve"> to opt-in to receive</w:t>
      </w:r>
      <w:r w:rsidR="007D4061">
        <w:t xml:space="preserve"> a State/Local WEA test message</w:t>
      </w:r>
      <w:r w:rsidR="002F4F16">
        <w:t>.  Such participation also will</w:t>
      </w:r>
      <w:r w:rsidR="00384FC7">
        <w:t xml:space="preserve"> afford residents and visitors alike with the opportunity to become familiar with the county’s emergency alerts systems and its WEA alerts in particular</w:t>
      </w:r>
      <w:r w:rsidR="0031508B">
        <w:t xml:space="preserve"> in non-emergency circumstances</w:t>
      </w:r>
      <w:r w:rsidR="00384FC7">
        <w:t>.</w:t>
      </w:r>
      <w:r w:rsidRPr="00FE1D91" w:rsidR="00FE1D91">
        <w:rPr>
          <w:rStyle w:val="FootnoteReference"/>
        </w:rPr>
        <w:t xml:space="preserve"> </w:t>
      </w:r>
      <w:r>
        <w:rPr>
          <w:rStyle w:val="FootnoteReference"/>
        </w:rPr>
        <w:footnoteReference w:id="33"/>
      </w:r>
      <w:r w:rsidR="00384FC7">
        <w:t xml:space="preserve">  </w:t>
      </w:r>
      <w:r w:rsidR="00D4037C">
        <w:t>Finally</w:t>
      </w:r>
      <w:r w:rsidR="00384FC7">
        <w:t>, w</w:t>
      </w:r>
      <w:r w:rsidR="00BA7010">
        <w:t>e remind Aliso Viejo that we require State/Local WEA tests to include conspicuous language in the WEA alerts sufficient to make clear to the public that the message is, in fact, only a test</w:t>
      </w:r>
      <w:r w:rsidR="0027113F">
        <w:t xml:space="preserve"> to</w:t>
      </w:r>
      <w:r w:rsidR="00BA7010">
        <w:t xml:space="preserve"> minimize any</w:t>
      </w:r>
      <w:r w:rsidR="0027113F">
        <w:t xml:space="preserve"> </w:t>
      </w:r>
      <w:r w:rsidR="00BA7010">
        <w:t>chance that such test messages might be misconstrued as actual Alert Messages.</w:t>
      </w:r>
    </w:p>
    <w:p w:rsidR="007C58A9" w:rsidP="007551E7" w14:paraId="78DF48BE" w14:textId="77777777">
      <w:pPr>
        <w:pStyle w:val="Heading1"/>
      </w:pPr>
      <w:r>
        <w:t>ordering clause</w:t>
      </w:r>
    </w:p>
    <w:p w:rsidR="007551E7" w:rsidRPr="00641BA8" w:rsidP="00F65410" w14:paraId="28F68F9F" w14:textId="0B0A5BE1">
      <w:pPr>
        <w:pStyle w:val="ParaNum"/>
        <w:tabs>
          <w:tab w:val="clear" w:pos="1080"/>
          <w:tab w:val="num" w:pos="1440"/>
        </w:tabs>
        <w:rPr>
          <w:szCs w:val="22"/>
        </w:rPr>
      </w:pPr>
      <w:r w:rsidRPr="00641BA8">
        <w:rPr>
          <w:szCs w:val="22"/>
        </w:rPr>
        <w:t xml:space="preserve">Accordingly, IT IS ORDERED that, pursuant to Section 4(i) of the Communications Act of 1934, as amended, 47 U.S.C. § 154(i), and Section 1.3 of the Commission’s rules, 47 CFR § 1.3, of the Commission’s rules, </w:t>
      </w:r>
      <w:r w:rsidR="00212ECE">
        <w:rPr>
          <w:szCs w:val="22"/>
        </w:rPr>
        <w:t>the City of Aliso Viejo</w:t>
      </w:r>
      <w:r w:rsidR="008E771B">
        <w:rPr>
          <w:szCs w:val="22"/>
        </w:rPr>
        <w:t>’s request for waiver IS DENIED</w:t>
      </w:r>
      <w:r w:rsidRPr="00641BA8">
        <w:rPr>
          <w:szCs w:val="22"/>
        </w:rPr>
        <w:t>.  This action is taken under delegated authority pursuant to Sections 0.191 and 0.392 of the Commission’s rules, 47 CFR §§ 0.191 and 0.392.</w:t>
      </w:r>
    </w:p>
    <w:p w:rsidR="007551E7" w:rsidP="007551E7" w14:paraId="15F07E23" w14:textId="77777777">
      <w:pPr>
        <w:pStyle w:val="ParaNum"/>
        <w:numPr>
          <w:ilvl w:val="0"/>
          <w:numId w:val="0"/>
        </w:numPr>
      </w:pPr>
    </w:p>
    <w:p w:rsidR="007551E7" w:rsidRPr="00436ED9" w:rsidP="007551E7" w14:paraId="4623C11B" w14:textId="77777777">
      <w:pPr>
        <w:pStyle w:val="BodyText"/>
        <w:keepNext/>
        <w:widowControl/>
        <w:spacing w:before="154"/>
        <w:ind w:left="3577" w:firstLine="720"/>
      </w:pPr>
      <w:r w:rsidRPr="00436ED9">
        <w:rPr>
          <w:spacing w:val="-1"/>
        </w:rPr>
        <w:t>FEDERAL</w:t>
      </w:r>
      <w:r w:rsidRPr="00436ED9">
        <w:t xml:space="preserve"> </w:t>
      </w:r>
      <w:r w:rsidRPr="00436ED9">
        <w:rPr>
          <w:spacing w:val="-1"/>
        </w:rPr>
        <w:t>COMMUNICATIONS</w:t>
      </w:r>
      <w:r w:rsidRPr="00436ED9">
        <w:t xml:space="preserve"> </w:t>
      </w:r>
      <w:r w:rsidRPr="00436ED9">
        <w:rPr>
          <w:spacing w:val="-1"/>
        </w:rPr>
        <w:t>COMMISSION</w:t>
      </w:r>
    </w:p>
    <w:p w:rsidR="007551E7" w:rsidRPr="00436ED9" w:rsidP="007551E7" w14:paraId="64B41215" w14:textId="77777777">
      <w:pPr>
        <w:keepNext/>
        <w:widowControl/>
        <w:rPr>
          <w:szCs w:val="22"/>
        </w:rPr>
      </w:pPr>
    </w:p>
    <w:p w:rsidR="007551E7" w:rsidRPr="00436ED9" w:rsidP="007551E7" w14:paraId="6B269155" w14:textId="77777777">
      <w:pPr>
        <w:keepNext/>
        <w:widowControl/>
        <w:rPr>
          <w:szCs w:val="22"/>
        </w:rPr>
      </w:pPr>
    </w:p>
    <w:p w:rsidR="007551E7" w:rsidRPr="00436ED9" w:rsidP="007551E7" w14:paraId="41A264B0" w14:textId="77777777">
      <w:pPr>
        <w:rPr>
          <w:szCs w:val="22"/>
        </w:rPr>
      </w:pPr>
    </w:p>
    <w:p w:rsidR="007551E7" w:rsidRPr="00436ED9" w:rsidP="007551E7" w14:paraId="0DFD82B1" w14:textId="77777777">
      <w:pPr>
        <w:spacing w:before="2"/>
        <w:rPr>
          <w:szCs w:val="22"/>
        </w:rPr>
      </w:pPr>
    </w:p>
    <w:p w:rsidR="007551E7" w:rsidRPr="00436ED9" w:rsidP="007551E7" w14:paraId="518B701B" w14:textId="77777777">
      <w:pPr>
        <w:pStyle w:val="BodyText"/>
        <w:ind w:left="4297" w:right="3533"/>
        <w:jc w:val="center"/>
      </w:pPr>
      <w:bookmarkStart w:id="2" w:name="sp_999_4"/>
      <w:bookmarkStart w:id="3" w:name="SDU_4"/>
      <w:bookmarkEnd w:id="2"/>
      <w:bookmarkEnd w:id="3"/>
      <w:r>
        <w:t>Nicole McGinnis</w:t>
      </w:r>
    </w:p>
    <w:p w:rsidR="007551E7" w:rsidP="007551E7" w14:paraId="6D58914D" w14:textId="77777777">
      <w:pPr>
        <w:pStyle w:val="BodyText"/>
        <w:ind w:left="4680" w:right="271" w:hanging="360"/>
        <w:rPr>
          <w:spacing w:val="-7"/>
        </w:rPr>
      </w:pPr>
      <w:r>
        <w:t xml:space="preserve">Deputy </w:t>
      </w:r>
      <w:r w:rsidRPr="00436ED9">
        <w:t>Chief</w:t>
      </w:r>
      <w:r w:rsidRPr="00436ED9">
        <w:rPr>
          <w:spacing w:val="-7"/>
        </w:rPr>
        <w:t xml:space="preserve"> </w:t>
      </w:r>
    </w:p>
    <w:p w:rsidR="007551E7" w:rsidP="007551E7" w14:paraId="79CB1A79" w14:textId="77777777">
      <w:pPr>
        <w:pStyle w:val="BodyText"/>
        <w:ind w:left="4680" w:right="271" w:hanging="360"/>
      </w:pPr>
      <w:r w:rsidRPr="00436ED9">
        <w:rPr>
          <w:spacing w:val="-1"/>
        </w:rPr>
        <w:t>Public</w:t>
      </w:r>
      <w:r w:rsidRPr="00436ED9">
        <w:rPr>
          <w:spacing w:val="-7"/>
        </w:rPr>
        <w:t xml:space="preserve"> </w:t>
      </w:r>
      <w:r w:rsidRPr="00436ED9">
        <w:rPr>
          <w:spacing w:val="-1"/>
        </w:rPr>
        <w:t>Safety</w:t>
      </w:r>
      <w:r w:rsidRPr="00436ED9">
        <w:rPr>
          <w:spacing w:val="-7"/>
        </w:rPr>
        <w:t xml:space="preserve"> </w:t>
      </w:r>
      <w:r w:rsidRPr="00436ED9">
        <w:t>and</w:t>
      </w:r>
      <w:r w:rsidRPr="00436ED9">
        <w:rPr>
          <w:spacing w:val="-8"/>
        </w:rPr>
        <w:t xml:space="preserve"> </w:t>
      </w:r>
      <w:r w:rsidRPr="00436ED9">
        <w:rPr>
          <w:spacing w:val="-1"/>
        </w:rPr>
        <w:t>Homeland</w:t>
      </w:r>
      <w:r w:rsidRPr="00436ED9">
        <w:rPr>
          <w:spacing w:val="-8"/>
        </w:rPr>
        <w:t xml:space="preserve"> </w:t>
      </w:r>
      <w:r w:rsidRPr="00436ED9">
        <w:rPr>
          <w:spacing w:val="-1"/>
        </w:rPr>
        <w:t>Security</w:t>
      </w:r>
      <w:r w:rsidRPr="00436ED9">
        <w:rPr>
          <w:spacing w:val="-8"/>
        </w:rPr>
        <w:t xml:space="preserve"> </w:t>
      </w:r>
      <w:r w:rsidRPr="00436ED9">
        <w:t>Bureau</w:t>
      </w:r>
    </w:p>
    <w:p w:rsidR="007551E7" w:rsidRPr="007551E7" w:rsidP="007551E7" w14:paraId="7FC39C8C" w14:textId="77777777">
      <w:pPr>
        <w:pStyle w:val="BodyText"/>
        <w:ind w:left="4680" w:right="271" w:hanging="360"/>
      </w:pPr>
      <w:r w:rsidRPr="00436ED9">
        <w:rPr>
          <w:spacing w:val="-1"/>
        </w:rPr>
        <w:t>Federal</w:t>
      </w:r>
      <w:r w:rsidRPr="00436ED9">
        <w:rPr>
          <w:spacing w:val="-15"/>
        </w:rPr>
        <w:t xml:space="preserve"> </w:t>
      </w:r>
      <w:r w:rsidRPr="00436ED9">
        <w:rPr>
          <w:spacing w:val="-1"/>
        </w:rPr>
        <w:t>Communications</w:t>
      </w:r>
      <w:r w:rsidRPr="00436ED9">
        <w:rPr>
          <w:spacing w:val="-15"/>
        </w:rPr>
        <w:t xml:space="preserve"> </w:t>
      </w:r>
      <w:r w:rsidRPr="00436ED9">
        <w:rPr>
          <w:spacing w:val="-1"/>
        </w:rPr>
        <w:t>Commission</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B16FD0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BF6560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C53086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rsidP="00613435" w14:paraId="7876B4C1" w14:textId="0E0FB353">
    <w:pPr>
      <w:pStyle w:val="Footer"/>
      <w:tabs>
        <w:tab w:val="clear" w:pos="864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6A2672" w14:paraId="5ED1D1EE" w14:textId="13C20218">
    <w:pPr>
      <w:pStyle w:val="Footer"/>
      <w:tabs>
        <w:tab w:val="clear"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84082" w14:paraId="0B21812E" w14:textId="77777777">
      <w:r>
        <w:separator/>
      </w:r>
    </w:p>
  </w:footnote>
  <w:footnote w:type="continuationSeparator" w:id="1">
    <w:p w:rsidR="00584082" w:rsidP="00C721AC" w14:paraId="14E5863D" w14:textId="77777777">
      <w:pPr>
        <w:spacing w:before="120"/>
        <w:rPr>
          <w:sz w:val="20"/>
        </w:rPr>
      </w:pPr>
      <w:r>
        <w:rPr>
          <w:sz w:val="20"/>
        </w:rPr>
        <w:t xml:space="preserve">(Continued from previous page)  </w:t>
      </w:r>
      <w:r>
        <w:rPr>
          <w:sz w:val="20"/>
        </w:rPr>
        <w:separator/>
      </w:r>
    </w:p>
  </w:footnote>
  <w:footnote w:type="continuationNotice" w:id="2">
    <w:p w:rsidR="00584082" w:rsidP="00C721AC" w14:paraId="07226461" w14:textId="77777777">
      <w:pPr>
        <w:jc w:val="right"/>
        <w:rPr>
          <w:sz w:val="20"/>
        </w:rPr>
      </w:pPr>
      <w:r>
        <w:rPr>
          <w:sz w:val="20"/>
        </w:rPr>
        <w:t>(continued….)</w:t>
      </w:r>
    </w:p>
  </w:footnote>
  <w:footnote w:id="3">
    <w:p w:rsidR="002219FC" w:rsidP="002219FC" w14:paraId="0863A533" w14:textId="77777777">
      <w:pPr>
        <w:pStyle w:val="FootnoteText"/>
      </w:pPr>
      <w:r>
        <w:rPr>
          <w:rStyle w:val="FootnoteReference"/>
        </w:rPr>
        <w:footnoteRef/>
      </w:r>
      <w:r>
        <w:t xml:space="preserve"> Participating CMS Providers are commercial mobile service providers that have elected voluntarily to transmit WEA alert messages.  47 CFR § 10.10(d), (f).</w:t>
      </w:r>
    </w:p>
  </w:footnote>
  <w:footnote w:id="4">
    <w:p w:rsidR="00613435" w:rsidRPr="00613435" w14:paraId="71C54F4B" w14:textId="286036CB">
      <w:pPr>
        <w:pStyle w:val="FootnoteText"/>
      </w:pPr>
      <w:r>
        <w:rPr>
          <w:rStyle w:val="FootnoteReference"/>
        </w:rPr>
        <w:footnoteRef/>
      </w:r>
      <w:r>
        <w:t xml:space="preserve"> </w:t>
      </w:r>
      <w:r>
        <w:rPr>
          <w:i/>
        </w:rPr>
        <w:t xml:space="preserve">See </w:t>
      </w:r>
      <w:r>
        <w:t xml:space="preserve">Letter from </w:t>
      </w:r>
      <w:r w:rsidR="001E24D9">
        <w:t>David Doyle</w:t>
      </w:r>
      <w:r>
        <w:t xml:space="preserve">, </w:t>
      </w:r>
      <w:r w:rsidR="001E24D9">
        <w:t>City Manager</w:t>
      </w:r>
      <w:r>
        <w:t xml:space="preserve">, </w:t>
      </w:r>
      <w:r w:rsidR="001E24D9">
        <w:t>City of Aliso Viejo</w:t>
      </w:r>
      <w:r>
        <w:t xml:space="preserve">, to </w:t>
      </w:r>
      <w:r w:rsidR="001E24D9">
        <w:t>Ms. Marlene Dortch</w:t>
      </w:r>
      <w:r>
        <w:t xml:space="preserve">, </w:t>
      </w:r>
      <w:r w:rsidR="001E24D9">
        <w:t>Secretary</w:t>
      </w:r>
      <w:r>
        <w:t xml:space="preserve">, Federal Communications Commission (filed </w:t>
      </w:r>
      <w:r w:rsidR="001E24D9">
        <w:t>Jan.</w:t>
      </w:r>
      <w:r>
        <w:t xml:space="preserve"> </w:t>
      </w:r>
      <w:r w:rsidR="001E24D9">
        <w:t>2</w:t>
      </w:r>
      <w:r w:rsidR="00FA3FA1">
        <w:t>8</w:t>
      </w:r>
      <w:r>
        <w:t>, 20</w:t>
      </w:r>
      <w:r w:rsidR="001E24D9">
        <w:t>20</w:t>
      </w:r>
      <w:r>
        <w:t>) (on file in PS Docket No. 15-91) (</w:t>
      </w:r>
      <w:r w:rsidR="001E24D9">
        <w:t>Aliso Viejo</w:t>
      </w:r>
      <w:r>
        <w:t xml:space="preserve"> Letter).  </w:t>
      </w:r>
    </w:p>
  </w:footnote>
  <w:footnote w:id="5">
    <w:p w:rsidR="00841437" w:rsidRPr="00B0643B" w:rsidP="00841437" w14:paraId="20F22669" w14:textId="3B5434CD">
      <w:pPr>
        <w:pStyle w:val="FootnoteText"/>
      </w:pPr>
      <w:r w:rsidRPr="00B90802">
        <w:rPr>
          <w:rStyle w:val="FootnoteReference"/>
        </w:rPr>
        <w:footnoteRef/>
      </w:r>
      <w:r w:rsidRPr="00B0643B">
        <w:t xml:space="preserve"> </w:t>
      </w:r>
      <w:r w:rsidRPr="00681200">
        <w:rPr>
          <w:i/>
        </w:rPr>
        <w:t>Commercial Mobile Alert System</w:t>
      </w:r>
      <w:r w:rsidRPr="00B0643B">
        <w:t>, PS Docket No. 07-287, Third Report and Order, 23 FCC Rcd 12561, 12575, para. 32 (2008) (stating the requirements for wireless providers volunteering to participate in WEA).</w:t>
      </w:r>
      <w:r>
        <w:t xml:space="preserve">  </w:t>
      </w:r>
    </w:p>
  </w:footnote>
  <w:footnote w:id="6">
    <w:p w:rsidR="00841437" w:rsidRPr="00B0643B" w:rsidP="00841437" w14:paraId="04B83B4D" w14:textId="77777777">
      <w:pPr>
        <w:pStyle w:val="FootnoteText"/>
      </w:pPr>
      <w:r w:rsidRPr="00B0643B">
        <w:rPr>
          <w:rStyle w:val="FootnoteReference"/>
        </w:rPr>
        <w:footnoteRef/>
      </w:r>
      <w:r w:rsidRPr="00B0643B">
        <w:t xml:space="preserve"> 47 CFR § 10.520(d).  The Attention Signal is a loud, attention-grabbing, two-tone audio signal that uses frequencies and sounds identical to the attention signal used by the </w:t>
      </w:r>
      <w:r>
        <w:t>EAS</w:t>
      </w:r>
      <w:r w:rsidRPr="00B0643B">
        <w:t xml:space="preserve">.  </w:t>
      </w:r>
      <w:r w:rsidRPr="00B0643B">
        <w:rPr>
          <w:i/>
        </w:rPr>
        <w:t>Compare</w:t>
      </w:r>
      <w:r w:rsidRPr="00B0643B">
        <w:t xml:space="preserve"> 47 CFR § 10.520 </w:t>
      </w:r>
      <w:r w:rsidRPr="00B0643B">
        <w:rPr>
          <w:i/>
        </w:rPr>
        <w:t>with</w:t>
      </w:r>
      <w:r w:rsidRPr="00B0643B">
        <w:t xml:space="preserve"> 47 CFR § 11.31(a)(2).</w:t>
      </w:r>
      <w:r>
        <w:t xml:space="preserve">  </w:t>
      </w:r>
    </w:p>
  </w:footnote>
  <w:footnote w:id="7">
    <w:p w:rsidR="00841437" w:rsidRPr="00205FC3" w:rsidP="00841437" w14:paraId="2AC7B272" w14:textId="77777777">
      <w:pPr>
        <w:pStyle w:val="FootnoteText"/>
      </w:pPr>
      <w:r w:rsidRPr="00B0643B">
        <w:rPr>
          <w:rStyle w:val="FootnoteReference"/>
        </w:rPr>
        <w:footnoteRef/>
      </w:r>
      <w:r w:rsidRPr="00B0643B">
        <w:t xml:space="preserve"> 47 CFR</w:t>
      </w:r>
      <w:r w:rsidRPr="00B0643B">
        <w:rPr>
          <w:i/>
        </w:rPr>
        <w:t xml:space="preserve"> </w:t>
      </w:r>
      <w:r w:rsidRPr="00B0643B">
        <w:t xml:space="preserve">§ 10.350.  Specifically, the Commission’s rules require Participating CMS Providers to participate in monthly tests initiated by </w:t>
      </w:r>
      <w:r>
        <w:t>the Federal Emergency Management Agency (</w:t>
      </w:r>
      <w:r w:rsidRPr="00B0643B">
        <w:t>FEMA</w:t>
      </w:r>
      <w:r>
        <w:t>)</w:t>
      </w:r>
      <w:r w:rsidRPr="00B0643B">
        <w:t xml:space="preserve"> and in periodic tests of WEA’s C-Interface.  </w:t>
      </w:r>
      <w:r w:rsidRPr="00B0643B">
        <w:rPr>
          <w:i/>
        </w:rPr>
        <w:t>Id.</w:t>
      </w:r>
      <w:r>
        <w:rPr>
          <w:i/>
        </w:rPr>
        <w:t xml:space="preserve">  </w:t>
      </w:r>
      <w:r w:rsidRPr="00641BA8">
        <w:rPr>
          <w:szCs w:val="22"/>
        </w:rPr>
        <w:t>On November 1, 2016, the Commission adopted a Report and Order that amend</w:t>
      </w:r>
      <w:r>
        <w:rPr>
          <w:szCs w:val="22"/>
        </w:rPr>
        <w:t>ed</w:t>
      </w:r>
      <w:r w:rsidRPr="00641BA8">
        <w:rPr>
          <w:szCs w:val="22"/>
        </w:rPr>
        <w:t xml:space="preserve"> the WEA testing rules to permit emergency managers to conduct end-to-end WEA tests to the public to assess how WEA is working within their jurisdictions</w:t>
      </w:r>
      <w:r>
        <w:rPr>
          <w:szCs w:val="22"/>
        </w:rPr>
        <w:t xml:space="preserve">.  </w:t>
      </w:r>
      <w:r>
        <w:rPr>
          <w:i/>
          <w:szCs w:val="22"/>
        </w:rPr>
        <w:t xml:space="preserve">See </w:t>
      </w:r>
      <w:r w:rsidRPr="00B0643B">
        <w:rPr>
          <w:i/>
        </w:rPr>
        <w:t>Wireless Emergency Alerts; Amendments to Part 11 of the Commission’s Rules Regarding the Emergency Alert System</w:t>
      </w:r>
      <w:r w:rsidRPr="00B0643B">
        <w:t xml:space="preserve">, </w:t>
      </w:r>
      <w:r>
        <w:t xml:space="preserve">Report and Order and Further Notice of Proposed Rulemaking, </w:t>
      </w:r>
      <w:r w:rsidRPr="00B0643B">
        <w:rPr>
          <w:iCs/>
        </w:rPr>
        <w:t>31 FCC Rcd 11112</w:t>
      </w:r>
      <w:r w:rsidRPr="00B0643B">
        <w:t>, 11154-57, paras. 65-68 (2016)</w:t>
      </w:r>
      <w:r>
        <w:t xml:space="preserve"> (</w:t>
      </w:r>
      <w:r w:rsidRPr="00E83918">
        <w:rPr>
          <w:i/>
        </w:rPr>
        <w:t>WEA R&amp;O</w:t>
      </w:r>
      <w:r>
        <w:t>)</w:t>
      </w:r>
      <w:r w:rsidRPr="00B0643B">
        <w:t>.</w:t>
      </w:r>
    </w:p>
  </w:footnote>
  <w:footnote w:id="8">
    <w:p w:rsidR="00841437" w:rsidP="00841437" w14:paraId="4A157F1A" w14:textId="77777777">
      <w:pPr>
        <w:pStyle w:val="FootnoteText"/>
      </w:pPr>
      <w:r>
        <w:rPr>
          <w:rStyle w:val="FootnoteReference"/>
        </w:rPr>
        <w:footnoteRef/>
      </w:r>
      <w:r>
        <w:t xml:space="preserve"> </w:t>
      </w:r>
      <w:r w:rsidRPr="00D46BC6">
        <w:rPr>
          <w:i/>
        </w:rPr>
        <w:t>WEA R&amp;O</w:t>
      </w:r>
      <w:r>
        <w:t>, 31 FCC Rcd at 11154-55, para. 65 (requiring Participating CMS Providers to provide their subscribers with the option to receive State/Local WEA Tests, whereby subscribers must affirmatively select the option to receive State/Local WEA Test messages).</w:t>
      </w:r>
    </w:p>
  </w:footnote>
  <w:footnote w:id="9">
    <w:p w:rsidR="00841437" w:rsidP="00841437" w14:paraId="35B9F16C" w14:textId="77777777">
      <w:pPr>
        <w:pStyle w:val="FootnoteText"/>
      </w:pPr>
      <w:r>
        <w:rPr>
          <w:rStyle w:val="FootnoteReference"/>
        </w:rPr>
        <w:footnoteRef/>
      </w:r>
      <w:r>
        <w:t xml:space="preserve"> </w:t>
      </w:r>
      <w:r w:rsidRPr="00D46BC6">
        <w:rPr>
          <w:i/>
        </w:rPr>
        <w:t>Id.</w:t>
      </w:r>
      <w:r>
        <w:t xml:space="preserve"> (requiring State/Local WEA Tests to include conspicuous language sufficient to make clear to the public that the message is only a test).</w:t>
      </w:r>
    </w:p>
  </w:footnote>
  <w:footnote w:id="10">
    <w:p w:rsidR="00841437" w:rsidRPr="002A285F" w:rsidP="00841437" w14:paraId="396F8211" w14:textId="77777777">
      <w:pPr>
        <w:pStyle w:val="FootnoteText"/>
      </w:pPr>
      <w:r w:rsidRPr="00B0643B">
        <w:rPr>
          <w:rStyle w:val="FootnoteReference"/>
        </w:rPr>
        <w:footnoteRef/>
      </w:r>
      <w:r w:rsidRPr="00B0643B">
        <w:t xml:space="preserve"> </w:t>
      </w:r>
      <w:r w:rsidRPr="00B0643B">
        <w:rPr>
          <w:i/>
        </w:rPr>
        <w:t xml:space="preserve">Id. </w:t>
      </w:r>
      <w:r w:rsidRPr="00B0643B">
        <w:t>at 11161, 11165, paras. 79, 85 (stating that the deadline for state and local testing is 30 months after the rule’s publication in the Federal Register</w:t>
      </w:r>
      <w:r w:rsidRPr="006B00FB">
        <w:t>);</w:t>
      </w:r>
      <w:r w:rsidRPr="00B0643B">
        <w:rPr>
          <w:i/>
        </w:rPr>
        <w:t xml:space="preserve"> </w:t>
      </w:r>
      <w:r w:rsidRPr="00B0643B">
        <w:rPr>
          <w:i/>
          <w:iCs/>
        </w:rPr>
        <w:t xml:space="preserve">Federal Communications Commission, </w:t>
      </w:r>
      <w:r w:rsidRPr="00B0643B">
        <w:rPr>
          <w:i/>
        </w:rPr>
        <w:t>Wireless Emergency Alerts, Amendments to Rules Regarding the Emergency Alert System,</w:t>
      </w:r>
      <w:r w:rsidRPr="00B0643B">
        <w:rPr>
          <w:iCs/>
        </w:rPr>
        <w:t xml:space="preserve"> 81 Fed. Reg. 75710 </w:t>
      </w:r>
      <w:r w:rsidRPr="00B0643B">
        <w:t>(Nov. 1, 2016) (establishing the date of Federal Register publication).</w:t>
      </w:r>
    </w:p>
  </w:footnote>
  <w:footnote w:id="11">
    <w:p w:rsidR="00841437" w:rsidP="00841437" w14:paraId="05DDAB1C" w14:textId="77777777">
      <w:pPr>
        <w:pStyle w:val="FootnoteText"/>
      </w:pPr>
      <w:r>
        <w:rPr>
          <w:rStyle w:val="FootnoteReference"/>
        </w:rPr>
        <w:footnoteRef/>
      </w:r>
      <w:r>
        <w:t xml:space="preserve"> </w:t>
      </w:r>
      <w:r>
        <w:rPr>
          <w:i/>
        </w:rPr>
        <w:t xml:space="preserve">See </w:t>
      </w:r>
      <w:r w:rsidRPr="00C8055D">
        <w:rPr>
          <w:i/>
        </w:rPr>
        <w:t>Public Safety and Homeland Security Bureau Announces New Enhancements to Wireless Emergency Alerts Are Now Available</w:t>
      </w:r>
      <w:r>
        <w:t xml:space="preserve">, </w:t>
      </w:r>
      <w:r w:rsidRPr="001D29EE">
        <w:t>PS Docket No</w:t>
      </w:r>
      <w:r>
        <w:t>.</w:t>
      </w:r>
      <w:r w:rsidRPr="001D29EE">
        <w:t xml:space="preserve"> 15-91, </w:t>
      </w:r>
      <w:r>
        <w:t>Public Notice, DA 19-1297 (PSHSB Dec. 19, 2019) (</w:t>
      </w:r>
      <w:r w:rsidRPr="009B0D5E">
        <w:rPr>
          <w:i/>
        </w:rPr>
        <w:t>Dec. 19</w:t>
      </w:r>
      <w:r w:rsidRPr="009B0D5E">
        <w:rPr>
          <w:i/>
          <w:vertAlign w:val="superscript"/>
        </w:rPr>
        <w:t>th</w:t>
      </w:r>
      <w:r w:rsidRPr="009B0D5E">
        <w:rPr>
          <w:i/>
        </w:rPr>
        <w:t xml:space="preserve"> PN</w:t>
      </w:r>
      <w:r>
        <w:t>).</w:t>
      </w:r>
    </w:p>
  </w:footnote>
  <w:footnote w:id="12">
    <w:p w:rsidR="00841437" w:rsidP="00841437" w14:paraId="23F9F7FD" w14:textId="77777777">
      <w:pPr>
        <w:pStyle w:val="FootnoteText"/>
      </w:pPr>
      <w:r>
        <w:rPr>
          <w:rStyle w:val="FootnoteReference"/>
        </w:rPr>
        <w:footnoteRef/>
      </w:r>
      <w:r>
        <w:t xml:space="preserve"> </w:t>
      </w:r>
      <w:r>
        <w:rPr>
          <w:i/>
        </w:rPr>
        <w:t>Id.</w:t>
      </w:r>
    </w:p>
  </w:footnote>
  <w:footnote w:id="13">
    <w:p w:rsidR="00F148A0" w14:paraId="60F6C723" w14:textId="418B0EF3">
      <w:pPr>
        <w:pStyle w:val="FootnoteText"/>
      </w:pPr>
      <w:r>
        <w:rPr>
          <w:rStyle w:val="FootnoteReference"/>
        </w:rPr>
        <w:footnoteRef/>
      </w:r>
      <w:r>
        <w:t xml:space="preserve"> </w:t>
      </w:r>
      <w:r w:rsidR="00802CA9">
        <w:rPr>
          <w:szCs w:val="22"/>
        </w:rPr>
        <w:t>Aliso Viejo</w:t>
      </w:r>
      <w:r w:rsidR="00802CA9">
        <w:t xml:space="preserve"> </w:t>
      </w:r>
      <w:r>
        <w:t xml:space="preserve">Letter at 1. </w:t>
      </w:r>
    </w:p>
  </w:footnote>
  <w:footnote w:id="14">
    <w:p w:rsidR="0079014E" w:rsidP="0079014E" w14:paraId="6EB8589E" w14:textId="0117DEA9">
      <w:pPr>
        <w:pStyle w:val="FootnoteText"/>
      </w:pPr>
      <w:r>
        <w:rPr>
          <w:rStyle w:val="FootnoteReference"/>
        </w:rPr>
        <w:footnoteRef/>
      </w:r>
      <w:r>
        <w:t xml:space="preserve"> </w:t>
      </w:r>
      <w:r w:rsidR="008A15C0">
        <w:rPr>
          <w:i/>
          <w:iCs/>
        </w:rPr>
        <w:t>Id.</w:t>
      </w:r>
      <w:r>
        <w:rPr>
          <w:i/>
        </w:rPr>
        <w:t xml:space="preserve"> </w:t>
      </w:r>
    </w:p>
  </w:footnote>
  <w:footnote w:id="15">
    <w:p w:rsidR="0079014E" w:rsidP="0079014E" w14:paraId="312C9D49" w14:textId="3B01279D">
      <w:pPr>
        <w:pStyle w:val="FootnoteText"/>
      </w:pPr>
      <w:r>
        <w:rPr>
          <w:rStyle w:val="FootnoteReference"/>
        </w:rPr>
        <w:footnoteRef/>
      </w:r>
      <w:r>
        <w:t xml:space="preserve"> </w:t>
      </w:r>
      <w:r>
        <w:rPr>
          <w:i/>
        </w:rPr>
        <w:t>Id</w:t>
      </w:r>
      <w:r>
        <w:t xml:space="preserve">. </w:t>
      </w:r>
    </w:p>
  </w:footnote>
  <w:footnote w:id="16">
    <w:p w:rsidR="00751DBA" w:rsidP="008D2205" w14:paraId="3390EB4A" w14:textId="6070F413">
      <w:pPr>
        <w:pStyle w:val="FootnoteText"/>
      </w:pPr>
      <w:r>
        <w:rPr>
          <w:rStyle w:val="FootnoteReference"/>
        </w:rPr>
        <w:footnoteRef/>
      </w:r>
      <w:r>
        <w:t xml:space="preserve"> </w:t>
      </w:r>
      <w:r w:rsidR="008D2205">
        <w:t>Telep</w:t>
      </w:r>
      <w:r w:rsidR="00D63263">
        <w:t xml:space="preserve">hone call between </w:t>
      </w:r>
      <w:r w:rsidR="008D2205">
        <w:t>Sarah Limones, Senior Emergency Management Program Coordinator, Orange County Sheriff’s Department, City of Aliso Viejo</w:t>
      </w:r>
      <w:r w:rsidR="00D63263">
        <w:t xml:space="preserve">, and Maureen Bizhko, </w:t>
      </w:r>
      <w:r w:rsidR="008D2205">
        <w:t>A</w:t>
      </w:r>
      <w:r w:rsidR="00D63263">
        <w:t xml:space="preserve">ttorney, </w:t>
      </w:r>
      <w:r w:rsidR="00F65410">
        <w:t>P</w:t>
      </w:r>
      <w:r w:rsidR="00D63263">
        <w:t>ublic Safety and Homeland Security Bureau, FCC (February 20, 2020)</w:t>
      </w:r>
      <w:r w:rsidR="00C6262D">
        <w:t>.</w:t>
      </w:r>
      <w:r w:rsidR="00D63263">
        <w:t xml:space="preserve"> </w:t>
      </w:r>
    </w:p>
  </w:footnote>
  <w:footnote w:id="17">
    <w:p w:rsidR="001A15BB" w:rsidP="001A15BB" w14:paraId="654A22F0" w14:textId="5BA5E69B">
      <w:pPr>
        <w:pStyle w:val="FootnoteText"/>
      </w:pPr>
      <w:r>
        <w:rPr>
          <w:rStyle w:val="FootnoteReference"/>
        </w:rPr>
        <w:footnoteRef/>
      </w:r>
      <w:r>
        <w:t xml:space="preserve"> </w:t>
      </w:r>
      <w:r w:rsidRPr="00E34264">
        <w:rPr>
          <w:iCs/>
        </w:rPr>
        <w:t>Aliso Viejo Letter at</w:t>
      </w:r>
      <w:r>
        <w:rPr>
          <w:i/>
        </w:rPr>
        <w:t xml:space="preserve"> </w:t>
      </w:r>
      <w:r>
        <w:rPr>
          <w:iCs/>
        </w:rPr>
        <w:t>1.</w:t>
      </w:r>
      <w:r>
        <w:rPr>
          <w:i/>
          <w:iCs/>
        </w:rPr>
        <w:t xml:space="preserve">  </w:t>
      </w:r>
    </w:p>
  </w:footnote>
  <w:footnote w:id="18">
    <w:p w:rsidR="00F148A0" w:rsidRPr="00F148A0" w14:paraId="76426C51" w14:textId="1A12A62B">
      <w:pPr>
        <w:pStyle w:val="FootnoteText"/>
      </w:pPr>
      <w:r>
        <w:rPr>
          <w:rStyle w:val="FootnoteReference"/>
        </w:rPr>
        <w:footnoteRef/>
      </w:r>
      <w:r>
        <w:t xml:space="preserve"> </w:t>
      </w:r>
      <w:r w:rsidR="001A15BB">
        <w:rPr>
          <w:i/>
          <w:iCs/>
        </w:rPr>
        <w:t>Id.</w:t>
      </w:r>
      <w:r w:rsidR="001A15BB">
        <w:rPr>
          <w:i/>
        </w:rPr>
        <w:t xml:space="preserve"> </w:t>
      </w:r>
      <w:r>
        <w:t xml:space="preserve"> </w:t>
      </w:r>
    </w:p>
  </w:footnote>
  <w:footnote w:id="19">
    <w:p w:rsidR="008E2BC2" w:rsidRPr="005D04D7" w14:paraId="7AD71C66" w14:textId="29D0F1C5">
      <w:pPr>
        <w:pStyle w:val="FootnoteText"/>
      </w:pPr>
      <w:r>
        <w:rPr>
          <w:rStyle w:val="FootnoteReference"/>
        </w:rPr>
        <w:footnoteRef/>
      </w:r>
      <w:r>
        <w:t xml:space="preserve"> </w:t>
      </w:r>
      <w:r w:rsidR="00E34264">
        <w:t xml:space="preserve">For example, </w:t>
      </w:r>
      <w:r w:rsidRPr="00E34264" w:rsidR="00E34264">
        <w:t>longer WEA Alert Messages (from 90 to 360 characters) for 4G LTE and future networks; a new class of Alert Message (“Public Safety Messages”) to convey recommended actions for saving lives or property (e.g., emergency shelter locations after a disaster); Spanish-language Alert Messages; and the presentation of WEA Alert Messages on the mobile device as soon as they are received.</w:t>
      </w:r>
      <w:r w:rsidR="00E34264">
        <w:t xml:space="preserve">  </w:t>
      </w:r>
      <w:r w:rsidR="00E34264">
        <w:rPr>
          <w:i/>
          <w:iCs/>
        </w:rPr>
        <w:t>See WEA R&amp;O</w:t>
      </w:r>
      <w:r w:rsidR="005D04D7">
        <w:rPr>
          <w:i/>
          <w:iCs/>
        </w:rPr>
        <w:t xml:space="preserve">, </w:t>
      </w:r>
      <w:r w:rsidR="005D04D7">
        <w:t>31 FCC Rcd at 111</w:t>
      </w:r>
      <w:r w:rsidR="001152CA">
        <w:t>19-26, 11130-43</w:t>
      </w:r>
      <w:r w:rsidR="005D04D7">
        <w:t>.</w:t>
      </w:r>
    </w:p>
  </w:footnote>
  <w:footnote w:id="20">
    <w:p w:rsidR="00656DF2" w:rsidRPr="00FE0348" w:rsidP="00656DF2" w14:paraId="316C32A8" w14:textId="77EF2D07">
      <w:pPr>
        <w:pStyle w:val="FootnoteText"/>
      </w:pPr>
      <w:r>
        <w:rPr>
          <w:rStyle w:val="FootnoteReference"/>
        </w:rPr>
        <w:footnoteRef/>
      </w:r>
      <w:r>
        <w:t xml:space="preserve"> </w:t>
      </w:r>
      <w:r w:rsidR="006F3A2D">
        <w:rPr>
          <w:iCs/>
        </w:rPr>
        <w:t>Aliso Viejo Letter at 1</w:t>
      </w:r>
      <w:r>
        <w:t xml:space="preserve">. </w:t>
      </w:r>
      <w:r w:rsidR="008D2205">
        <w:t xml:space="preserve"> </w:t>
      </w:r>
      <w:r>
        <w:rPr>
          <w:i/>
          <w:iCs/>
        </w:rPr>
        <w:t xml:space="preserve">See also Improving Wireless Emergency Alerts and Community-Initiated Alerting, </w:t>
      </w:r>
      <w:r>
        <w:t>Order, PS Docket 15-91, DA 19-57, 34 FCC Rcd 268, (PSHSB 2019).</w:t>
      </w:r>
    </w:p>
  </w:footnote>
  <w:footnote w:id="21">
    <w:p w:rsidR="007928DF" w:rsidRPr="007928DF" w14:paraId="5AC1B59C" w14:textId="3A063447">
      <w:pPr>
        <w:pStyle w:val="FootnoteText"/>
      </w:pPr>
      <w:r>
        <w:rPr>
          <w:rStyle w:val="FootnoteReference"/>
        </w:rPr>
        <w:footnoteRef/>
      </w:r>
      <w:r>
        <w:t xml:space="preserve"> </w:t>
      </w:r>
      <w:r>
        <w:rPr>
          <w:i/>
        </w:rPr>
        <w:t>Id</w:t>
      </w:r>
      <w:r>
        <w:t xml:space="preserve">. </w:t>
      </w:r>
      <w:r w:rsidR="008A15C0">
        <w:t>at 1.</w:t>
      </w:r>
    </w:p>
  </w:footnote>
  <w:footnote w:id="22">
    <w:p w:rsidR="007928DF" w:rsidRPr="007928DF" w14:paraId="54611AC1" w14:textId="4390C277">
      <w:pPr>
        <w:pStyle w:val="FootnoteText"/>
      </w:pPr>
      <w:r>
        <w:rPr>
          <w:rStyle w:val="FootnoteReference"/>
        </w:rPr>
        <w:footnoteRef/>
      </w:r>
      <w:r>
        <w:t xml:space="preserve"> </w:t>
      </w:r>
      <w:r>
        <w:rPr>
          <w:i/>
        </w:rPr>
        <w:t>Id</w:t>
      </w:r>
      <w:r>
        <w:t>.</w:t>
      </w:r>
      <w:r w:rsidR="00401CB2">
        <w:t xml:space="preserve"> at 1-2.</w:t>
      </w:r>
    </w:p>
  </w:footnote>
  <w:footnote w:id="23">
    <w:p w:rsidR="00C77B22" w:rsidP="00C77B22" w14:paraId="327366B8" w14:textId="71773BE7">
      <w:pPr>
        <w:pStyle w:val="FootnoteText"/>
      </w:pPr>
      <w:r>
        <w:rPr>
          <w:rStyle w:val="FootnoteReference"/>
        </w:rPr>
        <w:footnoteRef/>
      </w:r>
      <w:r>
        <w:t xml:space="preserve"> </w:t>
      </w:r>
      <w:r w:rsidRPr="00EF318F" w:rsidR="00712B08">
        <w:rPr>
          <w:i/>
        </w:rPr>
        <w:t>Id</w:t>
      </w:r>
      <w:r>
        <w:rPr>
          <w:iCs/>
        </w:rPr>
        <w:t>.</w:t>
      </w:r>
    </w:p>
  </w:footnote>
  <w:footnote w:id="24">
    <w:p w:rsidR="007C58A9" w:rsidRPr="007C58A9" w14:paraId="2C4C4C56" w14:textId="2A7704EF">
      <w:pPr>
        <w:pStyle w:val="FootnoteText"/>
      </w:pPr>
      <w:r>
        <w:rPr>
          <w:rStyle w:val="FootnoteReference"/>
        </w:rPr>
        <w:footnoteRef/>
      </w:r>
      <w:r>
        <w:t xml:space="preserve"> </w:t>
      </w:r>
      <w:r>
        <w:rPr>
          <w:i/>
        </w:rPr>
        <w:t>Id</w:t>
      </w:r>
      <w:r>
        <w:t xml:space="preserve">. </w:t>
      </w:r>
      <w:r w:rsidR="00401CB2">
        <w:t>at 2.</w:t>
      </w:r>
    </w:p>
  </w:footnote>
  <w:footnote w:id="25">
    <w:p w:rsidR="007C58A9" w:rsidRPr="00675326" w:rsidP="007C58A9" w14:paraId="4E922A85" w14:textId="77777777">
      <w:pPr>
        <w:pStyle w:val="FootnoteText"/>
      </w:pPr>
      <w:r w:rsidRPr="00675326">
        <w:rPr>
          <w:rStyle w:val="FootnoteReference"/>
        </w:rPr>
        <w:footnoteRef/>
      </w:r>
      <w:r w:rsidRPr="00675326">
        <w:t xml:space="preserve"> 47 CFR</w:t>
      </w:r>
      <w:r w:rsidRPr="00675326">
        <w:rPr>
          <w:spacing w:val="-1"/>
        </w:rPr>
        <w:t xml:space="preserve"> </w:t>
      </w:r>
      <w:r w:rsidRPr="00675326">
        <w:t>§ 1.3.</w:t>
      </w:r>
    </w:p>
  </w:footnote>
  <w:footnote w:id="26">
    <w:p w:rsidR="007C58A9" w:rsidRPr="00B0643B" w:rsidP="007C58A9" w14:paraId="5875FD44" w14:textId="77777777">
      <w:pPr>
        <w:pStyle w:val="FootnoteText"/>
      </w:pPr>
      <w:r w:rsidRPr="00675326">
        <w:rPr>
          <w:rStyle w:val="FootnoteReference"/>
        </w:rPr>
        <w:footnoteRef/>
      </w:r>
      <w:r w:rsidRPr="00675326">
        <w:t xml:space="preserve"> </w:t>
      </w:r>
      <w:r w:rsidRPr="00675326">
        <w:rPr>
          <w:i/>
        </w:rPr>
        <w:t>See</w:t>
      </w:r>
      <w:r w:rsidRPr="00675326">
        <w:rPr>
          <w:i/>
          <w:spacing w:val="-3"/>
        </w:rPr>
        <w:t xml:space="preserve"> </w:t>
      </w:r>
      <w:r w:rsidRPr="00675326">
        <w:rPr>
          <w:i/>
        </w:rPr>
        <w:t>Northeast</w:t>
      </w:r>
      <w:r w:rsidRPr="00B0643B">
        <w:rPr>
          <w:i/>
          <w:spacing w:val="-4"/>
        </w:rPr>
        <w:t xml:space="preserve"> </w:t>
      </w:r>
      <w:r w:rsidRPr="00B0643B">
        <w:rPr>
          <w:i/>
        </w:rPr>
        <w:t>Cellular</w:t>
      </w:r>
      <w:r w:rsidRPr="00B0643B">
        <w:rPr>
          <w:i/>
          <w:spacing w:val="-2"/>
        </w:rPr>
        <w:t xml:space="preserve"> </w:t>
      </w:r>
      <w:r w:rsidRPr="00B0643B">
        <w:rPr>
          <w:i/>
          <w:spacing w:val="-1"/>
        </w:rPr>
        <w:t>Telephone</w:t>
      </w:r>
      <w:r w:rsidRPr="00B0643B">
        <w:rPr>
          <w:i/>
          <w:spacing w:val="-3"/>
        </w:rPr>
        <w:t xml:space="preserve"> </w:t>
      </w:r>
      <w:r w:rsidRPr="00B0643B">
        <w:rPr>
          <w:i/>
        </w:rPr>
        <w:t>Co.</w:t>
      </w:r>
      <w:r w:rsidRPr="00B0643B">
        <w:rPr>
          <w:i/>
          <w:spacing w:val="-3"/>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
        </w:rPr>
        <w:t xml:space="preserve"> </w:t>
      </w:r>
      <w:r w:rsidRPr="00B0643B">
        <w:t>897</w:t>
      </w:r>
      <w:r w:rsidRPr="00B0643B">
        <w:rPr>
          <w:spacing w:val="-3"/>
        </w:rPr>
        <w:t xml:space="preserve"> </w:t>
      </w:r>
      <w:r w:rsidRPr="00B0643B">
        <w:rPr>
          <w:spacing w:val="-1"/>
        </w:rPr>
        <w:t>F.2d</w:t>
      </w:r>
      <w:r w:rsidRPr="00B0643B">
        <w:rPr>
          <w:spacing w:val="-3"/>
        </w:rPr>
        <w:t xml:space="preserve"> </w:t>
      </w:r>
      <w:r w:rsidRPr="00B0643B">
        <w:t>1164,</w:t>
      </w:r>
      <w:r w:rsidRPr="00B0643B">
        <w:rPr>
          <w:spacing w:val="-2"/>
        </w:rPr>
        <w:t xml:space="preserve"> </w:t>
      </w:r>
      <w:r w:rsidRPr="00B0643B">
        <w:t>1166</w:t>
      </w:r>
      <w:r w:rsidRPr="00B0643B">
        <w:rPr>
          <w:spacing w:val="-3"/>
        </w:rPr>
        <w:t xml:space="preserve"> </w:t>
      </w:r>
      <w:r w:rsidRPr="00B0643B">
        <w:t>(D.C.</w:t>
      </w:r>
      <w:r w:rsidRPr="00B0643B">
        <w:rPr>
          <w:spacing w:val="-4"/>
        </w:rPr>
        <w:t xml:space="preserve"> </w:t>
      </w:r>
      <w:r w:rsidRPr="00B0643B">
        <w:t>Cir.</w:t>
      </w:r>
      <w:r w:rsidRPr="00B0643B">
        <w:rPr>
          <w:spacing w:val="-3"/>
        </w:rPr>
        <w:t xml:space="preserve"> </w:t>
      </w:r>
      <w:r w:rsidRPr="00B0643B">
        <w:t>1990)</w:t>
      </w:r>
      <w:r w:rsidRPr="00B0643B">
        <w:rPr>
          <w:spacing w:val="-3"/>
        </w:rPr>
        <w:t xml:space="preserve"> </w:t>
      </w:r>
      <w:r w:rsidRPr="00B0643B">
        <w:t>(</w:t>
      </w:r>
      <w:r w:rsidRPr="00B0643B">
        <w:rPr>
          <w:i/>
        </w:rPr>
        <w:t>citing</w:t>
      </w:r>
      <w:r w:rsidRPr="00B0643B">
        <w:rPr>
          <w:i/>
          <w:spacing w:val="-4"/>
        </w:rPr>
        <w:t xml:space="preserve"> </w:t>
      </w:r>
      <w:r w:rsidRPr="00B0643B">
        <w:rPr>
          <w:i/>
          <w:spacing w:val="-1"/>
        </w:rPr>
        <w:t>WAIT</w:t>
      </w:r>
      <w:r w:rsidRPr="00B0643B">
        <w:rPr>
          <w:i/>
          <w:spacing w:val="-3"/>
        </w:rPr>
        <w:t xml:space="preserve"> </w:t>
      </w:r>
      <w:r w:rsidRPr="00B0643B">
        <w:rPr>
          <w:i/>
          <w:spacing w:val="-1"/>
        </w:rPr>
        <w:t>Radio</w:t>
      </w:r>
      <w:r w:rsidRPr="00B0643B">
        <w:rPr>
          <w:i/>
          <w:spacing w:val="-2"/>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1"/>
        </w:rPr>
        <w:t xml:space="preserve"> </w:t>
      </w:r>
      <w:r w:rsidRPr="00B0643B">
        <w:t>418</w:t>
      </w:r>
      <w:r w:rsidRPr="00B0643B">
        <w:rPr>
          <w:spacing w:val="-1"/>
        </w:rPr>
        <w:t xml:space="preserve"> F.2d </w:t>
      </w:r>
      <w:r w:rsidRPr="00B0643B">
        <w:t>1153,</w:t>
      </w:r>
      <w:r w:rsidRPr="00B0643B">
        <w:rPr>
          <w:spacing w:val="-1"/>
        </w:rPr>
        <w:t xml:space="preserve"> </w:t>
      </w:r>
      <w:r w:rsidRPr="00B0643B">
        <w:t>1159</w:t>
      </w:r>
      <w:r w:rsidRPr="00B0643B">
        <w:rPr>
          <w:spacing w:val="-1"/>
        </w:rPr>
        <w:t xml:space="preserve"> </w:t>
      </w:r>
      <w:r w:rsidRPr="00B0643B">
        <w:t>(D.C.</w:t>
      </w:r>
      <w:r w:rsidRPr="00B0643B">
        <w:rPr>
          <w:spacing w:val="-2"/>
        </w:rPr>
        <w:t xml:space="preserve"> </w:t>
      </w:r>
      <w:r w:rsidRPr="00B0643B">
        <w:t>Cir.</w:t>
      </w:r>
      <w:r w:rsidRPr="00B0643B">
        <w:rPr>
          <w:spacing w:val="-1"/>
        </w:rPr>
        <w:t xml:space="preserve"> </w:t>
      </w:r>
      <w:r w:rsidRPr="00B0643B">
        <w:t>1969),</w:t>
      </w:r>
      <w:r w:rsidRPr="00B0643B">
        <w:rPr>
          <w:spacing w:val="-1"/>
        </w:rPr>
        <w:t xml:space="preserve"> </w:t>
      </w:r>
      <w:r w:rsidRPr="00B0643B">
        <w:rPr>
          <w:i/>
        </w:rPr>
        <w:t>aff’d</w:t>
      </w:r>
      <w:r w:rsidRPr="00B0643B">
        <w:t>,</w:t>
      </w:r>
      <w:r w:rsidRPr="00B0643B">
        <w:rPr>
          <w:spacing w:val="-1"/>
        </w:rPr>
        <w:t xml:space="preserve"> </w:t>
      </w:r>
      <w:r w:rsidRPr="00B0643B">
        <w:t>459</w:t>
      </w:r>
      <w:r w:rsidRPr="00B0643B">
        <w:rPr>
          <w:spacing w:val="-1"/>
        </w:rPr>
        <w:t xml:space="preserve"> F.2d </w:t>
      </w:r>
      <w:r w:rsidRPr="00B0643B">
        <w:t>1203</w:t>
      </w:r>
      <w:r w:rsidRPr="00B0643B">
        <w:rPr>
          <w:spacing w:val="-1"/>
        </w:rPr>
        <w:t xml:space="preserve"> </w:t>
      </w:r>
      <w:r w:rsidRPr="00B0643B">
        <w:t>(1973),</w:t>
      </w:r>
      <w:r w:rsidRPr="00B0643B">
        <w:rPr>
          <w:spacing w:val="-1"/>
        </w:rPr>
        <w:t xml:space="preserve"> </w:t>
      </w:r>
      <w:r w:rsidRPr="00B0643B">
        <w:rPr>
          <w:i/>
        </w:rPr>
        <w:t>cert.</w:t>
      </w:r>
      <w:r w:rsidRPr="00B0643B">
        <w:rPr>
          <w:i/>
          <w:spacing w:val="-2"/>
        </w:rPr>
        <w:t xml:space="preserve"> </w:t>
      </w:r>
      <w:r w:rsidRPr="00B0643B">
        <w:rPr>
          <w:i/>
          <w:spacing w:val="-1"/>
        </w:rPr>
        <w:t>denied</w:t>
      </w:r>
      <w:r w:rsidRPr="00B0643B">
        <w:rPr>
          <w:spacing w:val="-1"/>
        </w:rPr>
        <w:t>,</w:t>
      </w:r>
      <w:r w:rsidRPr="00B0643B">
        <w:t xml:space="preserve"> 409</w:t>
      </w:r>
      <w:r w:rsidRPr="00B0643B">
        <w:rPr>
          <w:spacing w:val="-1"/>
        </w:rPr>
        <w:t xml:space="preserve"> U.S. </w:t>
      </w:r>
      <w:r w:rsidRPr="00B0643B">
        <w:t>1027</w:t>
      </w:r>
      <w:r w:rsidRPr="00B0643B">
        <w:rPr>
          <w:spacing w:val="-1"/>
        </w:rPr>
        <w:t xml:space="preserve"> </w:t>
      </w:r>
      <w:r w:rsidRPr="00B0643B">
        <w:t>(1972)).</w:t>
      </w:r>
    </w:p>
  </w:footnote>
  <w:footnote w:id="27">
    <w:p w:rsidR="00CC5873" w14:paraId="06CB5409" w14:textId="3965F2E8">
      <w:pPr>
        <w:pStyle w:val="FootnoteText"/>
      </w:pPr>
      <w:r>
        <w:rPr>
          <w:rStyle w:val="FootnoteReference"/>
        </w:rPr>
        <w:footnoteRef/>
      </w:r>
      <w:r>
        <w:t xml:space="preserve"> Aliso Viejo Letter at 1.</w:t>
      </w:r>
    </w:p>
  </w:footnote>
  <w:footnote w:id="28">
    <w:p w:rsidR="00761149" w14:paraId="350867C4" w14:textId="32298168">
      <w:pPr>
        <w:pStyle w:val="FootnoteText"/>
      </w:pPr>
      <w:r>
        <w:rPr>
          <w:rStyle w:val="FootnoteReference"/>
        </w:rPr>
        <w:footnoteRef/>
      </w:r>
      <w:r>
        <w:t xml:space="preserve"> </w:t>
      </w:r>
      <w:r w:rsidR="00CC5873">
        <w:rPr>
          <w:i/>
          <w:iCs/>
        </w:rPr>
        <w:t xml:space="preserve">Id.  </w:t>
      </w:r>
    </w:p>
  </w:footnote>
  <w:footnote w:id="29">
    <w:p w:rsidR="00D066EF" w:rsidP="00D63263" w14:paraId="732D78D9" w14:textId="38C0142A">
      <w:pPr>
        <w:pStyle w:val="FootnoteText"/>
      </w:pPr>
      <w:r>
        <w:rPr>
          <w:rStyle w:val="FootnoteReference"/>
        </w:rPr>
        <w:footnoteRef/>
      </w:r>
      <w:r>
        <w:t xml:space="preserve"> </w:t>
      </w:r>
      <w:r w:rsidR="008D2205">
        <w:t>Telep</w:t>
      </w:r>
      <w:r w:rsidR="00D63263">
        <w:t xml:space="preserve">hone call between </w:t>
      </w:r>
      <w:r w:rsidR="008D2205">
        <w:t>Sarah Limones, Senior Emergency Management Program Coordinator, Orange County Sheriff’s Department, City of Aliso Viejo,</w:t>
      </w:r>
      <w:r w:rsidR="00D63263">
        <w:t xml:space="preserve"> and Maureen Bizhko, </w:t>
      </w:r>
      <w:r w:rsidR="008D2205">
        <w:t>A</w:t>
      </w:r>
      <w:r w:rsidR="00D63263">
        <w:t xml:space="preserve">ttorney, Public Safety and Homeland Security Bureau, FCC (February 20, 2020). </w:t>
      </w:r>
    </w:p>
  </w:footnote>
  <w:footnote w:id="30">
    <w:p w:rsidR="009D18EE" w14:paraId="3E5426F2" w14:textId="40BF4527">
      <w:pPr>
        <w:pStyle w:val="FootnoteText"/>
      </w:pPr>
      <w:r>
        <w:rPr>
          <w:rStyle w:val="FootnoteReference"/>
        </w:rPr>
        <w:footnoteRef/>
      </w:r>
      <w:r>
        <w:t xml:space="preserve"> </w:t>
      </w:r>
      <w:r w:rsidR="00EB02BA">
        <w:t>47 CFR §10.400(</w:t>
      </w:r>
      <w:r w:rsidR="009758A1">
        <w:t>d</w:t>
      </w:r>
      <w:r w:rsidR="00EB02BA">
        <w:t>)</w:t>
      </w:r>
      <w:r w:rsidR="00347CBC">
        <w:t xml:space="preserve"> (describing the public safety message classification</w:t>
      </w:r>
      <w:r w:rsidR="001D6579">
        <w:t xml:space="preserve"> that Aliso Viejo would use in an end-to-end test</w:t>
      </w:r>
      <w:r w:rsidR="00347CBC">
        <w:t>)</w:t>
      </w:r>
      <w:r w:rsidR="00EB02BA">
        <w:t>.</w:t>
      </w:r>
    </w:p>
  </w:footnote>
  <w:footnote w:id="31">
    <w:p w:rsidR="00E91012" w14:paraId="214BFECD" w14:textId="59232756">
      <w:pPr>
        <w:pStyle w:val="FootnoteText"/>
      </w:pPr>
      <w:r>
        <w:rPr>
          <w:rStyle w:val="FootnoteReference"/>
        </w:rPr>
        <w:footnoteRef/>
      </w:r>
      <w:r>
        <w:t xml:space="preserve"> </w:t>
      </w:r>
      <w:r>
        <w:rPr>
          <w:rFonts w:ascii="TimesNewRomanPS-ItalicMT" w:hAnsi="TimesNewRomanPS-ItalicMT" w:cs="TimesNewRomanPS-ItalicMT"/>
          <w:i/>
          <w:iCs/>
        </w:rPr>
        <w:t>WEA R&amp;O</w:t>
      </w:r>
      <w:r>
        <w:rPr>
          <w:rFonts w:ascii="TimesNewRomanPSMT" w:hAnsi="TimesNewRomanPSMT" w:cs="TimesNewRomanPSMT"/>
        </w:rPr>
        <w:t>, 31 FCC Rcd at 11154-55, para. 65.</w:t>
      </w:r>
    </w:p>
  </w:footnote>
  <w:footnote w:id="32">
    <w:p w:rsidR="009D0AE5" w14:paraId="5471AF79" w14:textId="165357A6">
      <w:pPr>
        <w:pStyle w:val="FootnoteText"/>
      </w:pPr>
      <w:r>
        <w:rPr>
          <w:rStyle w:val="FootnoteReference"/>
        </w:rPr>
        <w:footnoteRef/>
      </w:r>
      <w:r>
        <w:t xml:space="preserve"> </w:t>
      </w:r>
      <w:r w:rsidRPr="00E34264">
        <w:rPr>
          <w:iCs/>
        </w:rPr>
        <w:t>Aliso Viejo Letter at</w:t>
      </w:r>
      <w:r>
        <w:rPr>
          <w:i/>
        </w:rPr>
        <w:t xml:space="preserve"> </w:t>
      </w:r>
      <w:r>
        <w:rPr>
          <w:iCs/>
        </w:rPr>
        <w:t>1-2.</w:t>
      </w:r>
    </w:p>
  </w:footnote>
  <w:footnote w:id="33">
    <w:p w:rsidR="00FE1D91" w:rsidRPr="00CB5F8A" w:rsidP="00FE1D91" w14:paraId="48A82A7E" w14:textId="77777777">
      <w:pPr>
        <w:pStyle w:val="FootnoteText"/>
      </w:pPr>
      <w:r>
        <w:rPr>
          <w:rStyle w:val="FootnoteReference"/>
        </w:rPr>
        <w:footnoteRef/>
      </w:r>
      <w:r>
        <w:t xml:space="preserve"> </w:t>
      </w:r>
      <w:r w:rsidRPr="00CB5F8A">
        <w:rPr>
          <w:i/>
          <w:iCs/>
        </w:rPr>
        <w:t>C.f</w:t>
      </w:r>
      <w:r>
        <w:t xml:space="preserve">., </w:t>
      </w:r>
      <w:r>
        <w:rPr>
          <w:i/>
          <w:iCs/>
        </w:rPr>
        <w:t xml:space="preserve">Improving Wireless Emergency Alerts and Community-Initiated Alerting, </w:t>
      </w:r>
      <w:r>
        <w:t xml:space="preserve">Order, PS Docket No. 15-91, DA 20-2, </w:t>
      </w:r>
      <w:r w:rsidRPr="00CB5F8A">
        <w:t>2020 WL 132472</w:t>
      </w:r>
      <w:r>
        <w:t xml:space="preserve"> (Jan. 2, 2020) (granting Los Angeles World Airport’s WEA waiver where </w:t>
      </w:r>
      <w:r w:rsidRPr="00CB5F8A">
        <w:t>consumers would have had an insufficient opportunity to learn about and choose to receive State/Local WEA Tests</w:t>
      </w:r>
      <w:r>
        <w:t xml:space="preserve"> </w:t>
      </w:r>
      <w:r w:rsidRPr="00CB5F8A">
        <w:t xml:space="preserve">by </w:t>
      </w:r>
      <w:r>
        <w:t>the</w:t>
      </w:r>
      <w:r w:rsidRPr="00CB5F8A">
        <w:t xml:space="preserve"> proposed test dates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F29D871" w14:textId="12141A60">
    <w:pPr>
      <w:pStyle w:val="Header"/>
      <w:rPr>
        <w:b w:val="0"/>
      </w:rPr>
    </w:pPr>
    <w:r>
      <w:tab/>
      <w:t>Federal Communications Commission</w:t>
    </w:r>
    <w:r>
      <w:tab/>
    </w:r>
    <w:r w:rsidR="00613435">
      <w:t xml:space="preserve">DA </w:t>
    </w:r>
    <w:r w:rsidR="00A22AAB">
      <w:t>20</w:t>
    </w:r>
    <w:r w:rsidR="00613435">
      <w:t>-</w:t>
    </w:r>
    <w:r w:rsidR="00C6262D">
      <w:t>190</w:t>
    </w:r>
  </w:p>
  <w:p w:rsidR="00D25FB5" w14:paraId="036153C7" w14:textId="18E28B7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7D79BF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3F4E1E2" w14:textId="0F30C88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6A2672">
      <w:rPr>
        <w:spacing w:val="-2"/>
      </w:rPr>
      <w:t xml:space="preserve">DA </w:t>
    </w:r>
    <w:r w:rsidR="00A22AAB">
      <w:rPr>
        <w:spacing w:val="-2"/>
      </w:rPr>
      <w:t>20</w:t>
    </w:r>
    <w:r w:rsidR="006A2672">
      <w:rPr>
        <w:spacing w:val="-2"/>
      </w:rPr>
      <w:t>-</w:t>
    </w:r>
    <w:r w:rsidR="00C6262D">
      <w:rPr>
        <w:spacing w:val="-2"/>
      </w:rPr>
      <w:t>190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5A81D38"/>
    <w:multiLevelType w:val="hybridMultilevel"/>
    <w:tmpl w:val="2D486F72"/>
    <w:lvl w:ilvl="0">
      <w:start w:val="2"/>
      <w:numFmt w:val="decimal"/>
      <w:lvlText w:val="%1."/>
      <w:lvlJc w:val="left"/>
      <w:pPr>
        <w:ind w:left="120" w:hanging="721"/>
      </w:pPr>
      <w:rPr>
        <w:rFonts w:ascii="Times New Roman" w:eastAsia="Times New Roman" w:hAnsi="Times New Roman" w:hint="default"/>
        <w:sz w:val="22"/>
        <w:szCs w:val="22"/>
      </w:rPr>
    </w:lvl>
    <w:lvl w:ilvl="1">
      <w:start w:val="1"/>
      <w:numFmt w:val="decimal"/>
      <w:lvlText w:val="(%2)"/>
      <w:lvlJc w:val="left"/>
      <w:pPr>
        <w:ind w:left="1200" w:hanging="312"/>
      </w:pPr>
      <w:rPr>
        <w:rFonts w:ascii="Times New Roman" w:eastAsia="Times New Roman" w:hAnsi="Times New Roman" w:hint="default"/>
        <w:sz w:val="22"/>
        <w:szCs w:val="22"/>
      </w:rPr>
    </w:lvl>
    <w:lvl w:ilvl="2">
      <w:start w:val="1"/>
      <w:numFmt w:val="bullet"/>
      <w:lvlText w:val="•"/>
      <w:lvlJc w:val="left"/>
      <w:pPr>
        <w:ind w:left="2133" w:hanging="312"/>
      </w:pPr>
      <w:rPr>
        <w:rFonts w:hint="default"/>
      </w:rPr>
    </w:lvl>
    <w:lvl w:ilvl="3">
      <w:start w:val="1"/>
      <w:numFmt w:val="bullet"/>
      <w:lvlText w:val="•"/>
      <w:lvlJc w:val="left"/>
      <w:pPr>
        <w:ind w:left="3066" w:hanging="312"/>
      </w:pPr>
      <w:rPr>
        <w:rFonts w:hint="default"/>
      </w:rPr>
    </w:lvl>
    <w:lvl w:ilvl="4">
      <w:start w:val="1"/>
      <w:numFmt w:val="bullet"/>
      <w:lvlText w:val="•"/>
      <w:lvlJc w:val="left"/>
      <w:pPr>
        <w:ind w:left="4000" w:hanging="312"/>
      </w:pPr>
      <w:rPr>
        <w:rFonts w:hint="default"/>
      </w:rPr>
    </w:lvl>
    <w:lvl w:ilvl="5">
      <w:start w:val="1"/>
      <w:numFmt w:val="bullet"/>
      <w:lvlText w:val="•"/>
      <w:lvlJc w:val="left"/>
      <w:pPr>
        <w:ind w:left="4933" w:hanging="312"/>
      </w:pPr>
      <w:rPr>
        <w:rFonts w:hint="default"/>
      </w:rPr>
    </w:lvl>
    <w:lvl w:ilvl="6">
      <w:start w:val="1"/>
      <w:numFmt w:val="bullet"/>
      <w:lvlText w:val="•"/>
      <w:lvlJc w:val="left"/>
      <w:pPr>
        <w:ind w:left="5866" w:hanging="312"/>
      </w:pPr>
      <w:rPr>
        <w:rFonts w:hint="default"/>
      </w:rPr>
    </w:lvl>
    <w:lvl w:ilvl="7">
      <w:start w:val="1"/>
      <w:numFmt w:val="bullet"/>
      <w:lvlText w:val="•"/>
      <w:lvlJc w:val="left"/>
      <w:pPr>
        <w:ind w:left="6800" w:hanging="312"/>
      </w:pPr>
      <w:rPr>
        <w:rFonts w:hint="default"/>
      </w:rPr>
    </w:lvl>
    <w:lvl w:ilvl="8">
      <w:start w:val="1"/>
      <w:numFmt w:val="bullet"/>
      <w:lvlText w:val="•"/>
      <w:lvlJc w:val="left"/>
      <w:pPr>
        <w:ind w:left="7733" w:hanging="312"/>
      </w:pPr>
      <w:rPr>
        <w:rFont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 w:numId="8">
    <w:abstractNumId w:val="5"/>
    <w:lvlOverride w:ilvl="0">
      <w:startOverride w:val="1"/>
    </w:lvlOverride>
  </w:num>
  <w:num w:numId="9">
    <w:abstractNumId w:val="5"/>
  </w:num>
  <w:num w:numId="10">
    <w:abstractNumId w:val="5"/>
  </w:num>
  <w:num w:numId="11">
    <w:abstractNumId w:val="5"/>
    <w:lvlOverride w:ilvl="0">
      <w:startOverride w:val="1"/>
    </w:lvlOverride>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451"/>
    <w:rsid w:val="0000648B"/>
    <w:rsid w:val="00036039"/>
    <w:rsid w:val="00037F90"/>
    <w:rsid w:val="00042CB5"/>
    <w:rsid w:val="00044D52"/>
    <w:rsid w:val="000514E1"/>
    <w:rsid w:val="00052017"/>
    <w:rsid w:val="00072D7A"/>
    <w:rsid w:val="000875BF"/>
    <w:rsid w:val="00096D8C"/>
    <w:rsid w:val="000A57F5"/>
    <w:rsid w:val="000C0B65"/>
    <w:rsid w:val="000C2274"/>
    <w:rsid w:val="000D0922"/>
    <w:rsid w:val="000E05FE"/>
    <w:rsid w:val="000E3807"/>
    <w:rsid w:val="000E3D42"/>
    <w:rsid w:val="000F3A96"/>
    <w:rsid w:val="000F7128"/>
    <w:rsid w:val="001152CA"/>
    <w:rsid w:val="00122BD5"/>
    <w:rsid w:val="00133F79"/>
    <w:rsid w:val="00175BEB"/>
    <w:rsid w:val="001947F2"/>
    <w:rsid w:val="00194A66"/>
    <w:rsid w:val="001A15BB"/>
    <w:rsid w:val="001A15E3"/>
    <w:rsid w:val="001B2C37"/>
    <w:rsid w:val="001C3080"/>
    <w:rsid w:val="001D29EE"/>
    <w:rsid w:val="001D6579"/>
    <w:rsid w:val="001D6BCF"/>
    <w:rsid w:val="001E01CA"/>
    <w:rsid w:val="001E23C4"/>
    <w:rsid w:val="001E24D9"/>
    <w:rsid w:val="001F3BB0"/>
    <w:rsid w:val="001F6924"/>
    <w:rsid w:val="00205FC3"/>
    <w:rsid w:val="00212ECE"/>
    <w:rsid w:val="00213FD3"/>
    <w:rsid w:val="002219FC"/>
    <w:rsid w:val="00232760"/>
    <w:rsid w:val="00235D2F"/>
    <w:rsid w:val="0023674F"/>
    <w:rsid w:val="002433A9"/>
    <w:rsid w:val="00252965"/>
    <w:rsid w:val="00252A40"/>
    <w:rsid w:val="002532BB"/>
    <w:rsid w:val="00263D03"/>
    <w:rsid w:val="0026597B"/>
    <w:rsid w:val="002703C9"/>
    <w:rsid w:val="0027113F"/>
    <w:rsid w:val="00273F8E"/>
    <w:rsid w:val="00275CF5"/>
    <w:rsid w:val="0028301F"/>
    <w:rsid w:val="00285017"/>
    <w:rsid w:val="002929C8"/>
    <w:rsid w:val="002A169D"/>
    <w:rsid w:val="002A285F"/>
    <w:rsid w:val="002A2D2E"/>
    <w:rsid w:val="002A30BD"/>
    <w:rsid w:val="002C00E8"/>
    <w:rsid w:val="002C0BA7"/>
    <w:rsid w:val="002D17C4"/>
    <w:rsid w:val="002D4AA0"/>
    <w:rsid w:val="002E4AC7"/>
    <w:rsid w:val="002F4F16"/>
    <w:rsid w:val="00300732"/>
    <w:rsid w:val="0030088A"/>
    <w:rsid w:val="00304B4C"/>
    <w:rsid w:val="0031508B"/>
    <w:rsid w:val="00327F8A"/>
    <w:rsid w:val="00343749"/>
    <w:rsid w:val="00347CBC"/>
    <w:rsid w:val="003512B0"/>
    <w:rsid w:val="003535FB"/>
    <w:rsid w:val="003660ED"/>
    <w:rsid w:val="00384FC7"/>
    <w:rsid w:val="003B0550"/>
    <w:rsid w:val="003B694F"/>
    <w:rsid w:val="003E0AD2"/>
    <w:rsid w:val="003F171C"/>
    <w:rsid w:val="003F1C75"/>
    <w:rsid w:val="00401CB2"/>
    <w:rsid w:val="00412FC5"/>
    <w:rsid w:val="00422276"/>
    <w:rsid w:val="004242F1"/>
    <w:rsid w:val="00426C48"/>
    <w:rsid w:val="00436ED9"/>
    <w:rsid w:val="004455D6"/>
    <w:rsid w:val="00445A00"/>
    <w:rsid w:val="00451B0F"/>
    <w:rsid w:val="004861F6"/>
    <w:rsid w:val="004C2EE3"/>
    <w:rsid w:val="004E39B1"/>
    <w:rsid w:val="004E4A22"/>
    <w:rsid w:val="004E7B5A"/>
    <w:rsid w:val="004F0451"/>
    <w:rsid w:val="00511968"/>
    <w:rsid w:val="005122BF"/>
    <w:rsid w:val="00551884"/>
    <w:rsid w:val="0055614C"/>
    <w:rsid w:val="0055622A"/>
    <w:rsid w:val="00566D06"/>
    <w:rsid w:val="00584082"/>
    <w:rsid w:val="005857F2"/>
    <w:rsid w:val="00585B6C"/>
    <w:rsid w:val="00591280"/>
    <w:rsid w:val="005A1478"/>
    <w:rsid w:val="005D04D7"/>
    <w:rsid w:val="005D3303"/>
    <w:rsid w:val="005D67C6"/>
    <w:rsid w:val="005E14C2"/>
    <w:rsid w:val="0060731D"/>
    <w:rsid w:val="00607BA5"/>
    <w:rsid w:val="0061180A"/>
    <w:rsid w:val="00613435"/>
    <w:rsid w:val="00626EB6"/>
    <w:rsid w:val="00633E28"/>
    <w:rsid w:val="00641BA8"/>
    <w:rsid w:val="00655D03"/>
    <w:rsid w:val="00656DF2"/>
    <w:rsid w:val="00675326"/>
    <w:rsid w:val="0067547A"/>
    <w:rsid w:val="00681200"/>
    <w:rsid w:val="00683388"/>
    <w:rsid w:val="00683F84"/>
    <w:rsid w:val="00692EC7"/>
    <w:rsid w:val="006A17A4"/>
    <w:rsid w:val="006A2672"/>
    <w:rsid w:val="006A6A81"/>
    <w:rsid w:val="006B00FB"/>
    <w:rsid w:val="006B3628"/>
    <w:rsid w:val="006D132F"/>
    <w:rsid w:val="006E2567"/>
    <w:rsid w:val="006F3A2D"/>
    <w:rsid w:val="006F7393"/>
    <w:rsid w:val="0070224F"/>
    <w:rsid w:val="007062A3"/>
    <w:rsid w:val="007115F7"/>
    <w:rsid w:val="00712B08"/>
    <w:rsid w:val="00720162"/>
    <w:rsid w:val="00747B84"/>
    <w:rsid w:val="00751DBA"/>
    <w:rsid w:val="007551E7"/>
    <w:rsid w:val="00761149"/>
    <w:rsid w:val="007704AB"/>
    <w:rsid w:val="00783114"/>
    <w:rsid w:val="007832C2"/>
    <w:rsid w:val="00785689"/>
    <w:rsid w:val="0079014E"/>
    <w:rsid w:val="007928DF"/>
    <w:rsid w:val="0079754B"/>
    <w:rsid w:val="007A105D"/>
    <w:rsid w:val="007A1E6D"/>
    <w:rsid w:val="007A5103"/>
    <w:rsid w:val="007B0EB2"/>
    <w:rsid w:val="007B4AA0"/>
    <w:rsid w:val="007C58A9"/>
    <w:rsid w:val="007D4061"/>
    <w:rsid w:val="00802CA9"/>
    <w:rsid w:val="00810B6F"/>
    <w:rsid w:val="00812B08"/>
    <w:rsid w:val="00822CE0"/>
    <w:rsid w:val="00832FFF"/>
    <w:rsid w:val="00833602"/>
    <w:rsid w:val="00841437"/>
    <w:rsid w:val="00841AB1"/>
    <w:rsid w:val="00871AE4"/>
    <w:rsid w:val="00886174"/>
    <w:rsid w:val="008A03AE"/>
    <w:rsid w:val="008A15C0"/>
    <w:rsid w:val="008C68F1"/>
    <w:rsid w:val="008D2205"/>
    <w:rsid w:val="008D49F2"/>
    <w:rsid w:val="008E2BC2"/>
    <w:rsid w:val="008E771B"/>
    <w:rsid w:val="008E7C98"/>
    <w:rsid w:val="00901DDD"/>
    <w:rsid w:val="009136C3"/>
    <w:rsid w:val="009156B9"/>
    <w:rsid w:val="00921803"/>
    <w:rsid w:val="00924BE0"/>
    <w:rsid w:val="00926503"/>
    <w:rsid w:val="00950AD9"/>
    <w:rsid w:val="009726D8"/>
    <w:rsid w:val="0097376C"/>
    <w:rsid w:val="009758A1"/>
    <w:rsid w:val="009B0D5E"/>
    <w:rsid w:val="009D0AE5"/>
    <w:rsid w:val="009D18EE"/>
    <w:rsid w:val="009D45AF"/>
    <w:rsid w:val="009D5A49"/>
    <w:rsid w:val="009D7308"/>
    <w:rsid w:val="009F76DB"/>
    <w:rsid w:val="00A05838"/>
    <w:rsid w:val="00A22AAB"/>
    <w:rsid w:val="00A32C3B"/>
    <w:rsid w:val="00A45F4F"/>
    <w:rsid w:val="00A600A9"/>
    <w:rsid w:val="00A66B6D"/>
    <w:rsid w:val="00A70080"/>
    <w:rsid w:val="00A731BC"/>
    <w:rsid w:val="00A82C40"/>
    <w:rsid w:val="00A8417F"/>
    <w:rsid w:val="00A92DB0"/>
    <w:rsid w:val="00AA01AC"/>
    <w:rsid w:val="00AA2C1A"/>
    <w:rsid w:val="00AA55B7"/>
    <w:rsid w:val="00AA5B9E"/>
    <w:rsid w:val="00AB2407"/>
    <w:rsid w:val="00AB429A"/>
    <w:rsid w:val="00AB53DF"/>
    <w:rsid w:val="00AF11E5"/>
    <w:rsid w:val="00B01F1C"/>
    <w:rsid w:val="00B0643B"/>
    <w:rsid w:val="00B07E5C"/>
    <w:rsid w:val="00B1499A"/>
    <w:rsid w:val="00B22168"/>
    <w:rsid w:val="00B345A1"/>
    <w:rsid w:val="00B4433E"/>
    <w:rsid w:val="00B5244E"/>
    <w:rsid w:val="00B811F7"/>
    <w:rsid w:val="00BA5DC6"/>
    <w:rsid w:val="00BA6196"/>
    <w:rsid w:val="00BA7010"/>
    <w:rsid w:val="00BC1967"/>
    <w:rsid w:val="00BC6D8C"/>
    <w:rsid w:val="00BE1AFF"/>
    <w:rsid w:val="00C17E9D"/>
    <w:rsid w:val="00C34006"/>
    <w:rsid w:val="00C36B4C"/>
    <w:rsid w:val="00C426B1"/>
    <w:rsid w:val="00C42733"/>
    <w:rsid w:val="00C6262D"/>
    <w:rsid w:val="00C65B1A"/>
    <w:rsid w:val="00C66160"/>
    <w:rsid w:val="00C721AC"/>
    <w:rsid w:val="00C77B22"/>
    <w:rsid w:val="00C8055D"/>
    <w:rsid w:val="00C84F56"/>
    <w:rsid w:val="00C859CD"/>
    <w:rsid w:val="00C90D6A"/>
    <w:rsid w:val="00C93350"/>
    <w:rsid w:val="00C954E0"/>
    <w:rsid w:val="00C95F1A"/>
    <w:rsid w:val="00CA247E"/>
    <w:rsid w:val="00CA3085"/>
    <w:rsid w:val="00CA6CE8"/>
    <w:rsid w:val="00CA6D21"/>
    <w:rsid w:val="00CA6DE6"/>
    <w:rsid w:val="00CB5F8A"/>
    <w:rsid w:val="00CC5873"/>
    <w:rsid w:val="00CC72B6"/>
    <w:rsid w:val="00D0218D"/>
    <w:rsid w:val="00D05C00"/>
    <w:rsid w:val="00D066EF"/>
    <w:rsid w:val="00D23D04"/>
    <w:rsid w:val="00D25FB5"/>
    <w:rsid w:val="00D4037C"/>
    <w:rsid w:val="00D44223"/>
    <w:rsid w:val="00D46BC6"/>
    <w:rsid w:val="00D61A23"/>
    <w:rsid w:val="00D63263"/>
    <w:rsid w:val="00D70E6F"/>
    <w:rsid w:val="00D8030B"/>
    <w:rsid w:val="00D91C25"/>
    <w:rsid w:val="00DA2529"/>
    <w:rsid w:val="00DB130A"/>
    <w:rsid w:val="00DB2EBB"/>
    <w:rsid w:val="00DC10A1"/>
    <w:rsid w:val="00DC655F"/>
    <w:rsid w:val="00DD0B59"/>
    <w:rsid w:val="00DD15BA"/>
    <w:rsid w:val="00DD7EBD"/>
    <w:rsid w:val="00DE3721"/>
    <w:rsid w:val="00DF5290"/>
    <w:rsid w:val="00DF62B6"/>
    <w:rsid w:val="00E07225"/>
    <w:rsid w:val="00E132D6"/>
    <w:rsid w:val="00E162A0"/>
    <w:rsid w:val="00E34264"/>
    <w:rsid w:val="00E4106F"/>
    <w:rsid w:val="00E52657"/>
    <w:rsid w:val="00E5409F"/>
    <w:rsid w:val="00E542D7"/>
    <w:rsid w:val="00E54D68"/>
    <w:rsid w:val="00E61456"/>
    <w:rsid w:val="00E61DBB"/>
    <w:rsid w:val="00E83918"/>
    <w:rsid w:val="00E84BD8"/>
    <w:rsid w:val="00E91012"/>
    <w:rsid w:val="00E91E6E"/>
    <w:rsid w:val="00E94CDF"/>
    <w:rsid w:val="00EB02BA"/>
    <w:rsid w:val="00EC53BC"/>
    <w:rsid w:val="00ED7102"/>
    <w:rsid w:val="00ED7931"/>
    <w:rsid w:val="00EE231E"/>
    <w:rsid w:val="00EE3D4C"/>
    <w:rsid w:val="00EE6488"/>
    <w:rsid w:val="00EE7318"/>
    <w:rsid w:val="00EF318F"/>
    <w:rsid w:val="00F021FA"/>
    <w:rsid w:val="00F148A0"/>
    <w:rsid w:val="00F27ABA"/>
    <w:rsid w:val="00F27CF1"/>
    <w:rsid w:val="00F44023"/>
    <w:rsid w:val="00F458D2"/>
    <w:rsid w:val="00F6097B"/>
    <w:rsid w:val="00F62E97"/>
    <w:rsid w:val="00F64209"/>
    <w:rsid w:val="00F65410"/>
    <w:rsid w:val="00F658D0"/>
    <w:rsid w:val="00F749B5"/>
    <w:rsid w:val="00F93BF5"/>
    <w:rsid w:val="00FA3FA1"/>
    <w:rsid w:val="00FB0123"/>
    <w:rsid w:val="00FB73CA"/>
    <w:rsid w:val="00FD41CD"/>
    <w:rsid w:val="00FE0348"/>
    <w:rsid w:val="00FE1D91"/>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237252C-F480-4F1E-9A00-1A40CF0D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 Char,Footnote Text Char1 Char,Footnote Text Char1 Char Char,Footnote Text Char1 Char1 Char Char Char Char,Footnote Text Char2,Footnote Text Char2 Char,Footnote Text Char2 Char Char Char Char"/>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 Char Char Char,Footnote Text Char1 Char Char Char,Footnote Text Char1 Char Char1,Footnote Text Char1 Char1 Char Char Char Char Char,Footnote Text Char2 Char Char,Footnote Text Char2 Char1"/>
    <w:link w:val="FootnoteText"/>
    <w:rsid w:val="002219FC"/>
  </w:style>
  <w:style w:type="character" w:customStyle="1" w:styleId="ParaNumChar">
    <w:name w:val="ParaNum Char"/>
    <w:link w:val="ParaNum"/>
    <w:locked/>
    <w:rsid w:val="007C58A9"/>
    <w:rPr>
      <w:snapToGrid w:val="0"/>
      <w:kern w:val="28"/>
      <w:sz w:val="22"/>
    </w:rPr>
  </w:style>
  <w:style w:type="paragraph" w:styleId="BodyText">
    <w:name w:val="Body Text"/>
    <w:basedOn w:val="Normal"/>
    <w:link w:val="BodyTextChar"/>
    <w:uiPriority w:val="1"/>
    <w:qFormat/>
    <w:rsid w:val="007C58A9"/>
    <w:pPr>
      <w:ind w:left="120"/>
    </w:pPr>
    <w:rPr>
      <w:snapToGrid/>
      <w:kern w:val="0"/>
      <w:szCs w:val="22"/>
    </w:rPr>
  </w:style>
  <w:style w:type="character" w:customStyle="1" w:styleId="BodyTextChar">
    <w:name w:val="Body Text Char"/>
    <w:basedOn w:val="DefaultParagraphFont"/>
    <w:link w:val="BodyText"/>
    <w:uiPriority w:val="1"/>
    <w:rsid w:val="007C58A9"/>
    <w:rPr>
      <w:sz w:val="22"/>
      <w:szCs w:val="22"/>
    </w:rPr>
  </w:style>
  <w:style w:type="paragraph" w:styleId="ListParagraph">
    <w:name w:val="List Paragraph"/>
    <w:basedOn w:val="Normal"/>
    <w:uiPriority w:val="34"/>
    <w:qFormat/>
    <w:rsid w:val="007C58A9"/>
    <w:pPr>
      <w:ind w:left="720"/>
      <w:contextualSpacing/>
    </w:pPr>
  </w:style>
  <w:style w:type="character" w:customStyle="1" w:styleId="UnresolvedMention">
    <w:name w:val="Unresolved Mention"/>
    <w:basedOn w:val="DefaultParagraphFont"/>
    <w:uiPriority w:val="99"/>
    <w:semiHidden/>
    <w:unhideWhenUsed/>
    <w:rsid w:val="00901DDD"/>
    <w:rPr>
      <w:color w:val="605E5C"/>
      <w:shd w:val="clear" w:color="auto" w:fill="E1DFDD"/>
    </w:rPr>
  </w:style>
  <w:style w:type="paragraph" w:styleId="BalloonText">
    <w:name w:val="Balloon Text"/>
    <w:basedOn w:val="Normal"/>
    <w:link w:val="BalloonTextChar"/>
    <w:semiHidden/>
    <w:unhideWhenUsed/>
    <w:rsid w:val="00BA7010"/>
    <w:rPr>
      <w:rFonts w:ascii="Segoe UI" w:hAnsi="Segoe UI" w:cs="Segoe UI"/>
      <w:sz w:val="18"/>
      <w:szCs w:val="18"/>
    </w:rPr>
  </w:style>
  <w:style w:type="character" w:customStyle="1" w:styleId="BalloonTextChar">
    <w:name w:val="Balloon Text Char"/>
    <w:basedOn w:val="DefaultParagraphFont"/>
    <w:link w:val="BalloonText"/>
    <w:semiHidden/>
    <w:rsid w:val="00BA7010"/>
    <w:rPr>
      <w:rFonts w:ascii="Segoe UI" w:hAnsi="Segoe UI" w:cs="Segoe UI"/>
      <w:snapToGrid w:val="0"/>
      <w:kern w:val="28"/>
      <w:sz w:val="18"/>
      <w:szCs w:val="18"/>
    </w:rPr>
  </w:style>
  <w:style w:type="character" w:styleId="CommentReference">
    <w:name w:val="annotation reference"/>
    <w:basedOn w:val="DefaultParagraphFont"/>
    <w:rsid w:val="00833602"/>
    <w:rPr>
      <w:sz w:val="16"/>
      <w:szCs w:val="16"/>
    </w:rPr>
  </w:style>
  <w:style w:type="paragraph" w:styleId="CommentText">
    <w:name w:val="annotation text"/>
    <w:basedOn w:val="Normal"/>
    <w:link w:val="CommentTextChar"/>
    <w:rsid w:val="00833602"/>
    <w:rPr>
      <w:sz w:val="20"/>
    </w:rPr>
  </w:style>
  <w:style w:type="character" w:customStyle="1" w:styleId="CommentTextChar">
    <w:name w:val="Comment Text Char"/>
    <w:basedOn w:val="DefaultParagraphFont"/>
    <w:link w:val="CommentText"/>
    <w:rsid w:val="00833602"/>
    <w:rPr>
      <w:snapToGrid w:val="0"/>
      <w:kern w:val="28"/>
    </w:rPr>
  </w:style>
  <w:style w:type="paragraph" w:styleId="CommentSubject">
    <w:name w:val="annotation subject"/>
    <w:basedOn w:val="CommentText"/>
    <w:next w:val="CommentText"/>
    <w:link w:val="CommentSubjectChar"/>
    <w:rsid w:val="00833602"/>
    <w:rPr>
      <w:b/>
      <w:bCs/>
    </w:rPr>
  </w:style>
  <w:style w:type="character" w:customStyle="1" w:styleId="CommentSubjectChar">
    <w:name w:val="Comment Subject Char"/>
    <w:basedOn w:val="CommentTextChar"/>
    <w:link w:val="CommentSubject"/>
    <w:rsid w:val="00833602"/>
    <w:rPr>
      <w:b/>
      <w:bCs/>
      <w:snapToGrid w:val="0"/>
      <w:kern w:val="28"/>
    </w:rPr>
  </w:style>
  <w:style w:type="paragraph" w:styleId="Revision">
    <w:name w:val="Revision"/>
    <w:hidden/>
    <w:uiPriority w:val="99"/>
    <w:semiHidden/>
    <w:rsid w:val="0083360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