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07E41" w:rsidRPr="00054F27" w:rsidP="00873FEC" w14:paraId="172BB0EC" w14:textId="6A7CF8A3">
      <w:pPr>
        <w:spacing w:after="160"/>
        <w:jc w:val="right"/>
        <w:rPr>
          <w:b/>
          <w:bCs/>
        </w:rPr>
      </w:pPr>
      <w:r w:rsidRPr="00054F27">
        <w:rPr>
          <w:b/>
          <w:bCs/>
        </w:rPr>
        <w:t xml:space="preserve">DA </w:t>
      </w:r>
      <w:r w:rsidR="00EC600A">
        <w:rPr>
          <w:b/>
          <w:bCs/>
        </w:rPr>
        <w:t>20-199</w:t>
      </w:r>
    </w:p>
    <w:p w:rsidR="00A07E41" w:rsidRPr="00054F27" w:rsidP="00873FEC" w14:paraId="022F0D6D" w14:textId="38BDF84F">
      <w:pPr>
        <w:tabs>
          <w:tab w:val="left" w:pos="5162"/>
          <w:tab w:val="right" w:pos="9360"/>
        </w:tabs>
        <w:spacing w:before="60" w:after="160"/>
        <w:rPr>
          <w:b/>
          <w:bCs/>
        </w:rPr>
      </w:pPr>
      <w:r w:rsidRPr="00054F27">
        <w:rPr>
          <w:b/>
          <w:bCs/>
        </w:rPr>
        <w:tab/>
      </w:r>
      <w:r w:rsidRPr="00054F27">
        <w:rPr>
          <w:b/>
          <w:bCs/>
        </w:rPr>
        <w:tab/>
      </w:r>
      <w:r w:rsidR="00A116D1">
        <w:rPr>
          <w:b/>
          <w:bCs/>
        </w:rPr>
        <w:t>February 27</w:t>
      </w:r>
      <w:r w:rsidRPr="00054F27">
        <w:rPr>
          <w:b/>
          <w:bCs/>
        </w:rPr>
        <w:t>, 20</w:t>
      </w:r>
      <w:r w:rsidRPr="00054F27" w:rsidR="00622383">
        <w:rPr>
          <w:b/>
          <w:bCs/>
        </w:rPr>
        <w:t>20</w:t>
      </w:r>
    </w:p>
    <w:p w:rsidR="00BE3101" w:rsidRPr="005A3FFD" w:rsidP="00BE3101" w14:paraId="6222D135" w14:textId="77777777">
      <w:pPr>
        <w:rPr>
          <w:b/>
        </w:rPr>
      </w:pPr>
      <w:bookmarkStart w:id="0" w:name="_GoBack"/>
      <w:bookmarkEnd w:id="0"/>
    </w:p>
    <w:p w:rsidR="00927BBD" w:rsidP="00BE3101" w14:paraId="32DE8672" w14:textId="77777777">
      <w:pPr>
        <w:jc w:val="center"/>
        <w:rPr>
          <w:b/>
          <w:sz w:val="24"/>
          <w:szCs w:val="24"/>
        </w:rPr>
      </w:pPr>
      <w:r>
        <w:rPr>
          <w:b/>
          <w:sz w:val="24"/>
          <w:szCs w:val="24"/>
        </w:rPr>
        <w:t>OFFICE OF ECONOMICS AND ANALYTICS</w:t>
      </w:r>
      <w:r w:rsidRPr="00873FEC" w:rsidR="005F767C">
        <w:rPr>
          <w:b/>
          <w:sz w:val="24"/>
          <w:szCs w:val="24"/>
        </w:rPr>
        <w:t xml:space="preserve"> SEEKS COMMENT ON </w:t>
      </w:r>
    </w:p>
    <w:p w:rsidR="00BE3101" w:rsidRPr="00873FEC" w:rsidP="00BE3101" w14:paraId="6CC0CA73" w14:textId="1B7D597B">
      <w:pPr>
        <w:jc w:val="center"/>
        <w:rPr>
          <w:b/>
          <w:sz w:val="24"/>
          <w:szCs w:val="24"/>
        </w:rPr>
      </w:pPr>
      <w:r w:rsidRPr="00873FEC">
        <w:rPr>
          <w:b/>
          <w:sz w:val="24"/>
          <w:szCs w:val="24"/>
        </w:rPr>
        <w:t xml:space="preserve">THE STATE OF </w:t>
      </w:r>
      <w:r w:rsidR="00AE350B">
        <w:rPr>
          <w:b/>
          <w:sz w:val="24"/>
          <w:szCs w:val="24"/>
        </w:rPr>
        <w:t>COMPETITION IN THE COMMUNICATIONS MARKETPLACE</w:t>
      </w:r>
    </w:p>
    <w:p w:rsidR="00BE3101" w:rsidRPr="005A3FFD" w:rsidP="00BE3101" w14:paraId="3B2399B6" w14:textId="77777777">
      <w:pPr>
        <w:jc w:val="center"/>
        <w:rPr>
          <w:b/>
        </w:rPr>
      </w:pPr>
    </w:p>
    <w:p w:rsidR="00BE3101" w:rsidRPr="005A3FFD" w:rsidP="00BE3101" w14:paraId="5FCC9F60" w14:textId="2792494C">
      <w:pPr>
        <w:jc w:val="center"/>
        <w:rPr>
          <w:b/>
        </w:rPr>
      </w:pPr>
      <w:r w:rsidRPr="00A707D2">
        <w:rPr>
          <w:b/>
        </w:rPr>
        <w:t>GN</w:t>
      </w:r>
      <w:r w:rsidRPr="005A3FFD" w:rsidR="005F767C">
        <w:rPr>
          <w:b/>
        </w:rPr>
        <w:t xml:space="preserve"> Docket </w:t>
      </w:r>
      <w:r w:rsidRPr="00927BBD" w:rsidR="005F767C">
        <w:rPr>
          <w:b/>
        </w:rPr>
        <w:t xml:space="preserve">No. </w:t>
      </w:r>
      <w:r w:rsidRPr="00927BBD" w:rsidR="00927BBD">
        <w:rPr>
          <w:b/>
        </w:rPr>
        <w:t>20</w:t>
      </w:r>
      <w:r w:rsidRPr="00927BBD" w:rsidR="005F767C">
        <w:rPr>
          <w:b/>
        </w:rPr>
        <w:t>-</w:t>
      </w:r>
      <w:r w:rsidRPr="00927BBD" w:rsidR="00927BBD">
        <w:rPr>
          <w:b/>
        </w:rPr>
        <w:t>6</w:t>
      </w:r>
      <w:r w:rsidR="00927BBD">
        <w:rPr>
          <w:b/>
        </w:rPr>
        <w:t>0</w:t>
      </w:r>
    </w:p>
    <w:p w:rsidR="00BE3101" w:rsidRPr="005A3FFD" w:rsidP="00BE3101" w14:paraId="480B11EC" w14:textId="77777777">
      <w:pPr>
        <w:jc w:val="center"/>
        <w:rPr>
          <w:b/>
        </w:rPr>
      </w:pPr>
    </w:p>
    <w:p w:rsidR="00A116D1" w:rsidP="00A116D1" w14:paraId="54E73107" w14:textId="4450CB49">
      <w:pPr>
        <w:rPr>
          <w:b/>
        </w:rPr>
      </w:pPr>
      <w:r w:rsidRPr="005A3FFD">
        <w:rPr>
          <w:b/>
        </w:rPr>
        <w:t xml:space="preserve">Comments Due: </w:t>
      </w:r>
      <w:r>
        <w:rPr>
          <w:b/>
        </w:rPr>
        <w:t>April 13</w:t>
      </w:r>
      <w:r>
        <w:rPr>
          <w:b/>
        </w:rPr>
        <w:t>, 20</w:t>
      </w:r>
      <w:r w:rsidR="00DF1326">
        <w:rPr>
          <w:b/>
        </w:rPr>
        <w:t>20</w:t>
      </w:r>
      <w:r w:rsidR="00A022DC">
        <w:rPr>
          <w:b/>
        </w:rPr>
        <w:t xml:space="preserve"> </w:t>
      </w:r>
    </w:p>
    <w:p w:rsidR="00BE3101" w:rsidP="00A116D1" w14:paraId="0EA0F1FE" w14:textId="789878A0">
      <w:pPr>
        <w:rPr>
          <w:b/>
        </w:rPr>
      </w:pPr>
      <w:r w:rsidRPr="005A3FFD">
        <w:rPr>
          <w:b/>
        </w:rPr>
        <w:t xml:space="preserve">Reply Comments Due: </w:t>
      </w:r>
      <w:r w:rsidR="00A116D1">
        <w:rPr>
          <w:b/>
        </w:rPr>
        <w:t>May 13</w:t>
      </w:r>
      <w:r>
        <w:rPr>
          <w:b/>
        </w:rPr>
        <w:t>, 20</w:t>
      </w:r>
      <w:r w:rsidR="00DF1326">
        <w:rPr>
          <w:b/>
        </w:rPr>
        <w:t>20</w:t>
      </w:r>
    </w:p>
    <w:p w:rsidR="00D137F4" w:rsidRPr="002D6E22" w:rsidP="00D137F4" w14:paraId="22073CC8" w14:textId="77777777">
      <w:pPr>
        <w:rPr>
          <w:b/>
        </w:rPr>
      </w:pPr>
      <w:bookmarkStart w:id="1" w:name="_Hlk29300029"/>
      <w:bookmarkStart w:id="2" w:name="_Hlk29394645"/>
    </w:p>
    <w:p w:rsidR="00D137F4" w:rsidP="00283460" w14:paraId="0AB37C8E" w14:textId="77777777">
      <w:pPr>
        <w:pStyle w:val="Heading1"/>
      </w:pPr>
      <w:bookmarkStart w:id="3" w:name="_Toc283223449"/>
      <w:bookmarkStart w:id="4" w:name="_Toc283367870"/>
      <w:bookmarkStart w:id="5" w:name="_Toc284348838"/>
      <w:bookmarkStart w:id="6" w:name="_Toc284587564"/>
      <w:bookmarkStart w:id="7" w:name="_Toc284587927"/>
      <w:bookmarkStart w:id="8" w:name="_Toc284929130"/>
      <w:bookmarkStart w:id="9" w:name="_Toc285009993"/>
      <w:bookmarkStart w:id="10" w:name="_Toc290988865"/>
      <w:bookmarkStart w:id="11" w:name="_Toc322688625"/>
      <w:bookmarkStart w:id="12" w:name="_Toc370815930"/>
      <w:bookmarkStart w:id="13" w:name="_Toc372550649"/>
      <w:bookmarkStart w:id="14" w:name="_Toc373244924"/>
      <w:bookmarkStart w:id="15" w:name="_Toc417041235"/>
      <w:bookmarkStart w:id="16" w:name="_Toc420669237"/>
      <w:bookmarkStart w:id="17" w:name="_Toc420670506"/>
      <w:bookmarkStart w:id="18" w:name="_Toc421869074"/>
      <w:r>
        <w:t>Introduction</w:t>
      </w:r>
    </w:p>
    <w:p w:rsidR="007F3357" w:rsidP="00283460" w14:paraId="3DDFA421" w14:textId="05965FA2">
      <w:pPr>
        <w:spacing w:after="120"/>
        <w:ind w:firstLine="720"/>
      </w:pPr>
      <w:r>
        <w:t>In the last quarter of every even numbered year</w:t>
      </w:r>
      <w:r w:rsidR="0092774C">
        <w:t>,</w:t>
      </w:r>
      <w:r>
        <w:t xml:space="preserve"> </w:t>
      </w:r>
      <w:r w:rsidR="00D137F4">
        <w:t xml:space="preserve">the Commission </w:t>
      </w:r>
      <w:r>
        <w:t xml:space="preserve">must </w:t>
      </w:r>
      <w:r w:rsidR="00D137F4">
        <w:t xml:space="preserve">publish a </w:t>
      </w:r>
      <w:r w:rsidRPr="00F444CF" w:rsidR="00D137F4">
        <w:rPr>
          <w:i/>
        </w:rPr>
        <w:t>Communications Marketplace Report</w:t>
      </w:r>
      <w:r w:rsidR="00D137F4">
        <w:t xml:space="preserve"> that, among other things, “assess[es] the state of competition in the communications marketplace, </w:t>
      </w:r>
      <w:r w:rsidRPr="008E7879" w:rsidR="00D137F4">
        <w:t>including competition to deliver voice, video, aud</w:t>
      </w:r>
      <w:r w:rsidR="00D137F4">
        <w:t>i</w:t>
      </w:r>
      <w:r w:rsidRPr="008E7879" w:rsidR="00D137F4">
        <w:t>o, and data services among providers of telecommunications, providers of commercial mobile service (as defined in section 332</w:t>
      </w:r>
      <w:r w:rsidR="00601A53">
        <w:t xml:space="preserve"> of the Communications Act of 1934, as amended (the Act)</w:t>
      </w:r>
      <w:r w:rsidRPr="008E7879" w:rsidR="00601A53">
        <w:t>),</w:t>
      </w:r>
      <w:r w:rsidR="00D137F4">
        <w:t xml:space="preserve"> </w:t>
      </w:r>
      <w:r w:rsidRPr="008E7879" w:rsidR="00D137F4">
        <w:t>multichannel video programming distributors (as defined in section 602), broadcast stations, providers</w:t>
      </w:r>
      <w:r w:rsidR="00D137F4">
        <w:t xml:space="preserve"> </w:t>
      </w:r>
      <w:r w:rsidRPr="008E7879" w:rsidR="00D137F4">
        <w:t>of satellite communications, Internet service providers, and other providers of communications services</w:t>
      </w:r>
      <w:r w:rsidR="003005B0">
        <w:t>.</w:t>
      </w:r>
      <w:r w:rsidR="00D137F4">
        <w:t>”</w:t>
      </w:r>
      <w:r>
        <w:rPr>
          <w:rStyle w:val="FootnoteReference"/>
        </w:rPr>
        <w:footnoteReference w:id="3"/>
      </w:r>
      <w:r w:rsidR="003005B0">
        <w:t xml:space="preserve">  In assessing the state of competition, the Commission must consider all forms of competition, including “the effect of</w:t>
      </w:r>
      <w:r w:rsidR="003F1FAD">
        <w:t xml:space="preserve"> intermodal competition, facilities-based competition, and competition from new and emergent communications services.”</w:t>
      </w:r>
      <w:r>
        <w:rPr>
          <w:rStyle w:val="FootnoteReference"/>
        </w:rPr>
        <w:footnoteReference w:id="4"/>
      </w:r>
      <w:r w:rsidR="00C772EE">
        <w:t xml:space="preserve"> </w:t>
      </w:r>
      <w:r w:rsidR="00D137F4">
        <w:t xml:space="preserve"> The Commission </w:t>
      </w:r>
      <w:r w:rsidR="003005B0">
        <w:t xml:space="preserve">must also </w:t>
      </w:r>
      <w:r w:rsidR="00D137F4">
        <w:t>“</w:t>
      </w:r>
      <w:r w:rsidR="003005B0">
        <w:t xml:space="preserve">assess </w:t>
      </w:r>
      <w:r w:rsidR="00D137F4">
        <w:t>whether laws, regulations, regulatory practices</w:t>
      </w:r>
      <w:r w:rsidRPr="00303FFE" w:rsidR="00D137F4">
        <w:t xml:space="preserve"> (whether those of the Federal Government, States, political subdivisions of States, Indian tribes or tribal organizations (as such terms are defined in section </w:t>
      </w:r>
      <w:r w:rsidRPr="00094D8A" w:rsidR="003005B0">
        <w:rPr>
          <w:rFonts w:ascii="TimesNewRomanMTStd" w:hAnsi="TimesNewRomanMTStd" w:cs="TimesNewRomanMTStd"/>
          <w:szCs w:val="22"/>
        </w:rPr>
        <w:t>4 of the Indian Self–Determination and Education Assistance Act (25 U.S.C. 5304)</w:t>
      </w:r>
      <w:r w:rsidRPr="00303FFE" w:rsidR="00D137F4">
        <w:t>), or foreign governments), or demonstrated marketplace practices pose a barrier to competitive entry into the communications marketplace or to the competitive expansion of existing providers of communications service</w:t>
      </w:r>
      <w:r w:rsidRPr="00342851" w:rsidR="00D137F4">
        <w:t>.”</w:t>
      </w:r>
      <w:r>
        <w:rPr>
          <w:rStyle w:val="FootnoteReference"/>
        </w:rPr>
        <w:footnoteReference w:id="5"/>
      </w:r>
    </w:p>
    <w:p w:rsidR="00290ABD" w:rsidP="008555B0" w14:paraId="7D516612" w14:textId="525C65D2">
      <w:pPr>
        <w:widowControl/>
        <w:spacing w:after="120"/>
        <w:ind w:firstLine="720"/>
      </w:pPr>
      <w:r w:rsidRPr="00342851">
        <w:t xml:space="preserve">On December 12, 2018, the Commission adopted the </w:t>
      </w:r>
      <w:r w:rsidR="00C76F91">
        <w:t>first</w:t>
      </w:r>
      <w:r w:rsidRPr="00290832">
        <w:rPr>
          <w:i/>
        </w:rPr>
        <w:t xml:space="preserve"> </w:t>
      </w:r>
      <w:r w:rsidRPr="00342851">
        <w:rPr>
          <w:i/>
        </w:rPr>
        <w:t xml:space="preserve">Communications Marketplace Report </w:t>
      </w:r>
      <w:r w:rsidRPr="00342851">
        <w:t>(</w:t>
      </w:r>
      <w:r w:rsidRPr="00054F27" w:rsidR="00773514">
        <w:rPr>
          <w:i/>
          <w:iCs/>
        </w:rPr>
        <w:t xml:space="preserve">2018 </w:t>
      </w:r>
      <w:r w:rsidRPr="00054F27" w:rsidR="007F3357">
        <w:rPr>
          <w:i/>
          <w:iCs/>
        </w:rPr>
        <w:t xml:space="preserve">Communications </w:t>
      </w:r>
      <w:r w:rsidR="00283460">
        <w:rPr>
          <w:i/>
          <w:iCs/>
        </w:rPr>
        <w:t xml:space="preserve">Marketplace </w:t>
      </w:r>
      <w:r w:rsidRPr="00342851">
        <w:rPr>
          <w:rStyle w:val="Emphasis"/>
        </w:rPr>
        <w:t>Report</w:t>
      </w:r>
      <w:r w:rsidRPr="002D0885">
        <w:rPr>
          <w:rStyle w:val="Emphasis"/>
          <w:i w:val="0"/>
          <w:iCs w:val="0"/>
        </w:rPr>
        <w:t>)</w:t>
      </w:r>
      <w:r w:rsidRPr="00342851">
        <w:t xml:space="preserve">, providing a comprehensive evaluation of the state of the communications marketplace </w:t>
      </w:r>
      <w:r>
        <w:t>(</w:t>
      </w:r>
      <w:r w:rsidRPr="00342851">
        <w:t>as of year-end 2017</w:t>
      </w:r>
      <w:r>
        <w:t>)</w:t>
      </w:r>
      <w:r w:rsidRPr="00342851">
        <w:t>.</w:t>
      </w:r>
      <w:r>
        <w:rPr>
          <w:rStyle w:val="FootnoteReference"/>
        </w:rPr>
        <w:footnoteReference w:id="6"/>
      </w:r>
      <w:r w:rsidRPr="00342851">
        <w:t xml:space="preserve">  In </w:t>
      </w:r>
      <w:r w:rsidR="007F3357">
        <w:t>February 2020</w:t>
      </w:r>
      <w:r w:rsidRPr="00342851">
        <w:t xml:space="preserve">, the Commission updated certain figures, maps and tables contained in the </w:t>
      </w:r>
      <w:r w:rsidRPr="00054F27" w:rsidR="00C77EB6">
        <w:rPr>
          <w:i/>
          <w:iCs/>
        </w:rPr>
        <w:t xml:space="preserve">2018 Communications </w:t>
      </w:r>
      <w:r w:rsidR="00C77EB6">
        <w:rPr>
          <w:i/>
          <w:iCs/>
        </w:rPr>
        <w:t>Marketplace</w:t>
      </w:r>
      <w:r w:rsidRPr="00342851" w:rsidR="00C77EB6">
        <w:rPr>
          <w:i/>
          <w:iCs/>
        </w:rPr>
        <w:t xml:space="preserve"> </w:t>
      </w:r>
      <w:r w:rsidRPr="00342851">
        <w:rPr>
          <w:i/>
          <w:iCs/>
        </w:rPr>
        <w:t>Report</w:t>
      </w:r>
      <w:r w:rsidRPr="00342851">
        <w:t>, to reflect the most recent data available</w:t>
      </w:r>
      <w:r w:rsidR="00C77EB6">
        <w:t xml:space="preserve"> as of</w:t>
      </w:r>
      <w:r w:rsidR="00DC6F97">
        <w:t xml:space="preserve"> year-end 2018</w:t>
      </w:r>
      <w:r w:rsidRPr="00342851">
        <w:t>.</w:t>
      </w:r>
      <w:r>
        <w:rPr>
          <w:rStyle w:val="FootnoteReference"/>
        </w:rPr>
        <w:footnoteReference w:id="7"/>
      </w:r>
      <w:r w:rsidRPr="00342851">
        <w:t xml:space="preserve">  </w:t>
      </w:r>
    </w:p>
    <w:p w:rsidR="00D137F4" w:rsidRPr="00795E2F" w:rsidP="00611A6C" w14:paraId="7207611E" w14:textId="5A47A0D2">
      <w:pPr>
        <w:widowControl/>
        <w:spacing w:after="120"/>
        <w:ind w:firstLine="720"/>
      </w:pPr>
      <w:r w:rsidRPr="00342851">
        <w:t xml:space="preserve">This </w:t>
      </w:r>
      <w:r w:rsidRPr="00342851">
        <w:rPr>
          <w:i/>
        </w:rPr>
        <w:t>Public Notice</w:t>
      </w:r>
      <w:r w:rsidRPr="00342851">
        <w:t xml:space="preserve"> </w:t>
      </w:r>
      <w:bookmarkStart w:id="19" w:name="_Hlk33699193"/>
      <w:r w:rsidRPr="00342851">
        <w:t xml:space="preserve">seeks input on the state of the communications </w:t>
      </w:r>
      <w:r>
        <w:t xml:space="preserve">marketplace </w:t>
      </w:r>
      <w:r w:rsidR="00601A53">
        <w:t>to inform the Commission’s required assessment of the state of competition in the communications marketplace in its</w:t>
      </w:r>
      <w:r w:rsidR="00601A53">
        <w:t xml:space="preserve"> </w:t>
      </w:r>
      <w:r w:rsidR="003B4F4D">
        <w:t>second</w:t>
      </w:r>
      <w:r w:rsidRPr="00342851">
        <w:rPr>
          <w:i/>
        </w:rPr>
        <w:t xml:space="preserve"> </w:t>
      </w:r>
      <w:r w:rsidRPr="00F444CF">
        <w:rPr>
          <w:i/>
        </w:rPr>
        <w:t>Communications Marketplace Report</w:t>
      </w:r>
      <w:r>
        <w:t xml:space="preserve"> </w:t>
      </w:r>
      <w:r w:rsidR="00773514">
        <w:t>(</w:t>
      </w:r>
      <w:r w:rsidR="00773514">
        <w:rPr>
          <w:i/>
          <w:iCs/>
        </w:rPr>
        <w:t xml:space="preserve">2020 Communications </w:t>
      </w:r>
      <w:r w:rsidR="00283460">
        <w:rPr>
          <w:i/>
          <w:iCs/>
        </w:rPr>
        <w:t xml:space="preserve">Marketplace </w:t>
      </w:r>
      <w:r w:rsidRPr="00773514" w:rsidR="00773514">
        <w:rPr>
          <w:i/>
          <w:iCs/>
        </w:rPr>
        <w:t>Report</w:t>
      </w:r>
      <w:r w:rsidR="00773514">
        <w:t xml:space="preserve">) </w:t>
      </w:r>
      <w:r w:rsidRPr="00773514">
        <w:t>to</w:t>
      </w:r>
      <w:r>
        <w:t xml:space="preserve"> Congress.</w:t>
      </w:r>
      <w:bookmarkEnd w:id="19"/>
      <w:r>
        <w:t xml:space="preserve"> </w:t>
      </w:r>
      <w:r w:rsidR="00290ABD">
        <w:rPr>
          <w:szCs w:val="22"/>
        </w:rPr>
        <w:t xml:space="preserve"> </w:t>
      </w:r>
      <w:r w:rsidR="00601A53">
        <w:rPr>
          <w:szCs w:val="22"/>
        </w:rPr>
        <w:t xml:space="preserve">Specifically, </w:t>
      </w:r>
      <w:r w:rsidRPr="00167329" w:rsidR="009D7952">
        <w:rPr>
          <w:szCs w:val="22"/>
        </w:rPr>
        <w:t xml:space="preserve">we seek data, information, and comment on a wide range of issues </w:t>
      </w:r>
      <w:r w:rsidR="00601A53">
        <w:rPr>
          <w:szCs w:val="22"/>
        </w:rPr>
        <w:t>relevant to the state</w:t>
      </w:r>
      <w:r w:rsidRPr="00167329" w:rsidR="009D7952">
        <w:rPr>
          <w:szCs w:val="22"/>
        </w:rPr>
        <w:t xml:space="preserve"> of competition in the </w:t>
      </w:r>
      <w:r w:rsidR="009D7952">
        <w:rPr>
          <w:szCs w:val="22"/>
        </w:rPr>
        <w:t xml:space="preserve">communications marketplace.  </w:t>
      </w:r>
      <w:r w:rsidR="00601A53">
        <w:rPr>
          <w:szCs w:val="22"/>
        </w:rPr>
        <w:t>We request</w:t>
      </w:r>
      <w:r w:rsidRPr="005A3FFD">
        <w:t xml:space="preserve"> that commenters submit information, data, and statistics </w:t>
      </w:r>
      <w:r>
        <w:t>for 2018 and 2019</w:t>
      </w:r>
      <w:r w:rsidRPr="005A3FFD">
        <w:t xml:space="preserve">, as well as information on any notable trends and developments that have occurred during early </w:t>
      </w:r>
      <w:r>
        <w:t>2020</w:t>
      </w:r>
      <w:r w:rsidRPr="005A3FFD">
        <w:t xml:space="preserve">.  Industry stakeholders, the public, and other interested parties are encouraged to submit information, comments, and analyses.  </w:t>
      </w:r>
      <w:r w:rsidR="00601A53">
        <w:t>To</w:t>
      </w:r>
      <w:r w:rsidRPr="005A3FFD">
        <w:t xml:space="preserve"> facilitate analysis of competitive trends, parties should submit </w:t>
      </w:r>
      <w:r>
        <w:t xml:space="preserve">relevant </w:t>
      </w:r>
      <w:r w:rsidRPr="005A3FFD">
        <w:t>current</w:t>
      </w:r>
      <w:r>
        <w:t xml:space="preserve"> and historic</w:t>
      </w:r>
      <w:r w:rsidRPr="005A3FFD">
        <w:t xml:space="preserve"> data </w:t>
      </w:r>
      <w:r>
        <w:t>that</w:t>
      </w:r>
      <w:r w:rsidRPr="005A3FFD">
        <w:t xml:space="preserve"> are comparable over time.</w:t>
      </w:r>
    </w:p>
    <w:p w:rsidR="00D137F4" w:rsidRPr="009B252C" w:rsidP="00283460" w14:paraId="2025A03B" w14:textId="1A446ED2">
      <w:pPr>
        <w:pStyle w:val="Heading1"/>
      </w:pPr>
      <w:r>
        <w:t xml:space="preserve">competition and deployment in </w:t>
      </w:r>
      <w:r>
        <w:t>Mobile Wireless</w:t>
      </w:r>
      <w:r w:rsidR="00DD726D">
        <w:t xml:space="preserve"> </w:t>
      </w:r>
      <w:r>
        <w:t>services</w:t>
      </w:r>
    </w:p>
    <w:p w:rsidR="00D137F4" w:rsidP="00283460" w14:paraId="5E80B34D" w14:textId="6B2D7C64">
      <w:pPr>
        <w:spacing w:after="120"/>
        <w:ind w:firstLine="720"/>
      </w:pPr>
      <w:bookmarkStart w:id="20" w:name="_Toc21762267"/>
      <w:bookmarkStart w:id="21" w:name="_Toc55787787"/>
      <w:bookmarkStart w:id="22" w:name="_Toc57021199"/>
      <w:bookmarkStart w:id="23" w:name="_Toc65388449"/>
      <w:r>
        <w:t>Regarding</w:t>
      </w:r>
      <w:r w:rsidR="00DC6F97">
        <w:t xml:space="preserve"> the</w:t>
      </w:r>
      <w:r w:rsidR="00B5607C">
        <w:t xml:space="preserve"> </w:t>
      </w:r>
      <w:r w:rsidR="00DC6F97">
        <w:t>mobile wireless industry, w</w:t>
      </w:r>
      <w:r>
        <w:t xml:space="preserve">e request comment </w:t>
      </w:r>
      <w:r w:rsidRPr="005A3FFD">
        <w:t>on the criteria or metrics that could be used to evaluate the state of mobile wireless competition</w:t>
      </w:r>
      <w:r w:rsidR="00DC6F97">
        <w:t xml:space="preserve"> and deployment</w:t>
      </w:r>
      <w:r w:rsidRPr="005A3FFD">
        <w:t>.  Comment</w:t>
      </w:r>
      <w:r w:rsidR="0024402C">
        <w:t>s</w:t>
      </w:r>
      <w:r w:rsidRPr="005A3FFD">
        <w:t xml:space="preserve"> and information </w:t>
      </w:r>
      <w:r>
        <w:t>are</w:t>
      </w:r>
      <w:r w:rsidRPr="005A3FFD">
        <w:t xml:space="preserve"> sought on industry data, competitive dynamics, and trending factors in the mobile wireless industry, including</w:t>
      </w:r>
      <w:r w:rsidR="0085592C">
        <w:t>,</w:t>
      </w:r>
      <w:r>
        <w:t xml:space="preserve"> but not limited to,</w:t>
      </w:r>
      <w:r w:rsidRPr="005A3FFD">
        <w:t xml:space="preserve"> </w:t>
      </w:r>
      <w:r w:rsidR="0000298E">
        <w:t xml:space="preserve">factors that determine demand for mobile wireless services, </w:t>
      </w:r>
      <w:r>
        <w:t xml:space="preserve">the number of connections, </w:t>
      </w:r>
      <w:r w:rsidRPr="005A3FFD">
        <w:t xml:space="preserve">pricing, </w:t>
      </w:r>
      <w:r>
        <w:t>spectrum holdings,</w:t>
      </w:r>
      <w:r w:rsidRPr="005A3FFD">
        <w:t xml:space="preserve"> network coverage</w:t>
      </w:r>
      <w:r>
        <w:t>, and the development of innovative technologies</w:t>
      </w:r>
      <w:r w:rsidRPr="005A3FFD">
        <w:t xml:space="preserve">.  </w:t>
      </w:r>
      <w:r w:rsidR="00DC6F97">
        <w:t>We also request</w:t>
      </w:r>
      <w:r w:rsidRPr="005A3FFD" w:rsidR="00DC6F97">
        <w:t xml:space="preserve"> comment </w:t>
      </w:r>
      <w:r w:rsidR="00DC6F97">
        <w:t>on whether laws, regulations, regulatory practices</w:t>
      </w:r>
      <w:r w:rsidR="008D0CE8">
        <w:t>,</w:t>
      </w:r>
      <w:r w:rsidR="00DC6F97">
        <w:t xml:space="preserve"> or demonstrated marketplace practices pose a barrier to competitive entry into the mobile wireless marketplace, or to the competitive expansion of existing providers.  Further, </w:t>
      </w:r>
      <w:r w:rsidR="00BD44D8">
        <w:t xml:space="preserve">we seek </w:t>
      </w:r>
      <w:r w:rsidR="00DC6F97">
        <w:t>information on the extent to which any such laws, regulations</w:t>
      </w:r>
      <w:r w:rsidR="008D0CE8">
        <w:t>,</w:t>
      </w:r>
      <w:r w:rsidR="00DC6F97">
        <w:t xml:space="preserve"> or marketplace practices affect entry </w:t>
      </w:r>
      <w:r>
        <w:t xml:space="preserve">conditions </w:t>
      </w:r>
      <w:r w:rsidR="00DC6F97">
        <w:t xml:space="preserve">for entrepreneurs and other small businesses in the mobile wireless marketplace.  </w:t>
      </w:r>
      <w:r w:rsidR="009D1F1E">
        <w:t>C</w:t>
      </w:r>
      <w:r>
        <w:t>ommenters are invited to submit data and information on</w:t>
      </w:r>
      <w:r w:rsidR="009D1F1E">
        <w:t>, for example</w:t>
      </w:r>
      <w:r>
        <w:t>:</w:t>
      </w:r>
      <w:r w:rsidR="0000298E">
        <w:t xml:space="preserve">  </w:t>
      </w:r>
    </w:p>
    <w:p w:rsidR="00D137F4" w14:paraId="0A6B6FD6" w14:textId="5C3268E6">
      <w:pPr>
        <w:pStyle w:val="Paranum"/>
      </w:pPr>
      <w:r>
        <w:t>The number of mobile wireless subscribers/connections</w:t>
      </w:r>
      <w:r w:rsidR="000331DB">
        <w:t xml:space="preserve"> and churn</w:t>
      </w:r>
    </w:p>
    <w:p w:rsidR="00D137F4" w14:paraId="56AE1692" w14:textId="71B9AEDB">
      <w:pPr>
        <w:pStyle w:val="Paranum"/>
      </w:pPr>
      <w:r>
        <w:t>Trends in data traffic and consumer data usage</w:t>
      </w:r>
    </w:p>
    <w:p w:rsidR="00D137F4" w14:paraId="6FA4B0DC" w14:textId="7B75EC69">
      <w:pPr>
        <w:pStyle w:val="Paranum"/>
      </w:pPr>
      <w:r>
        <w:t>Price levels and trends, as well as trends in service offerings</w:t>
      </w:r>
    </w:p>
    <w:p w:rsidR="00D137F4" w14:paraId="1C21CF40" w14:textId="6AF4A879">
      <w:pPr>
        <w:pStyle w:val="Paranum"/>
      </w:pPr>
      <w:r>
        <w:t>Revenue metrics</w:t>
      </w:r>
      <w:r w:rsidR="00374B84">
        <w:t>─</w:t>
      </w:r>
      <w:r>
        <w:t>including total revenue and average revenue per unit</w:t>
      </w:r>
      <w:r w:rsidR="00374B84">
        <w:t>─</w:t>
      </w:r>
      <w:r>
        <w:t>for the industry as a whole and for individual providers</w:t>
      </w:r>
    </w:p>
    <w:p w:rsidR="00D137F4" w14:paraId="5818904F" w14:textId="485961B4">
      <w:pPr>
        <w:pStyle w:val="Paranum"/>
      </w:pPr>
      <w:r>
        <w:t>Capital investment and technological upgrades</w:t>
      </w:r>
    </w:p>
    <w:p w:rsidR="00D137F4" w14:paraId="4164FA2B" w14:textId="28061421">
      <w:pPr>
        <w:pStyle w:val="Paranum"/>
      </w:pPr>
      <w:r>
        <w:t>Network quality and speed of service</w:t>
      </w:r>
    </w:p>
    <w:p w:rsidR="00D137F4" w14:paraId="59DE2ACC" w14:textId="0C3EF262">
      <w:pPr>
        <w:pStyle w:val="Paranum"/>
      </w:pPr>
      <w:r>
        <w:t>Spectrum holdings, access to spectrum, spectrum usage, and spectrum aggregation</w:t>
      </w:r>
    </w:p>
    <w:p w:rsidR="00D137F4" w14:paraId="3B1CB285" w14:textId="65E55C83">
      <w:pPr>
        <w:pStyle w:val="Paranum"/>
      </w:pPr>
      <w:r>
        <w:t>The role of infrastructure in the mobile wireless marketplace</w:t>
      </w:r>
    </w:p>
    <w:p w:rsidR="00D137F4" w14:paraId="56F96D0F" w14:textId="03B2C7E7">
      <w:pPr>
        <w:pStyle w:val="Paranum"/>
      </w:pPr>
      <w:r>
        <w:t xml:space="preserve">Measurements of mobile coverage, </w:t>
      </w:r>
      <w:r w:rsidR="00DD5E16">
        <w:t xml:space="preserve">nationwide and disaggregated </w:t>
      </w:r>
      <w:r>
        <w:t xml:space="preserve">by urban and by rural areas, including discussion of </w:t>
      </w:r>
      <w:r w:rsidR="00DD5E16">
        <w:t xml:space="preserve">any </w:t>
      </w:r>
      <w:r>
        <w:t>methodological issues</w:t>
      </w:r>
      <w:r w:rsidR="00DD5E16">
        <w:t xml:space="preserve"> identified</w:t>
      </w:r>
    </w:p>
    <w:p w:rsidR="00D137F4" w14:paraId="39D9C2FF" w14:textId="6AEBB953">
      <w:pPr>
        <w:pStyle w:val="Paranum"/>
      </w:pPr>
      <w:r>
        <w:t>Innovation and 5G</w:t>
      </w:r>
    </w:p>
    <w:p w:rsidR="00D137F4" w14:paraId="721A95B6" w14:textId="0F631A37">
      <w:pPr>
        <w:pStyle w:val="Paranum"/>
      </w:pPr>
      <w:r>
        <w:t>The role of entry conditions</w:t>
      </w:r>
      <w:r w:rsidR="00BD44D8">
        <w:t xml:space="preserve"> (federal, state and/or local)</w:t>
      </w:r>
      <w:r>
        <w:t xml:space="preserve"> in mobile wireless competition, including for entrepreneurs and other small businesses</w:t>
      </w:r>
    </w:p>
    <w:p w:rsidR="00D137F4" w:rsidP="00D66899" w14:paraId="00EE6899" w14:textId="4DB9DB54">
      <w:pPr>
        <w:pStyle w:val="Paranum"/>
        <w:spacing w:after="120"/>
      </w:pPr>
      <w:r>
        <w:t xml:space="preserve">The extent of competition between mobile and fixed </w:t>
      </w:r>
      <w:r w:rsidR="00374B84">
        <w:t xml:space="preserve">(i.e., wireline, satellite, and fixed wireless) </w:t>
      </w:r>
      <w:r>
        <w:t>providers of voice, broadband, and video services</w:t>
      </w:r>
    </w:p>
    <w:p w:rsidR="004C308A" w:rsidP="00D66899" w14:paraId="24E7B4F7" w14:textId="56EB49B6">
      <w:pPr>
        <w:pStyle w:val="Heading1"/>
        <w:keepNext w:val="0"/>
        <w:widowControl/>
        <w:suppressAutoHyphens w:val="0"/>
      </w:pPr>
      <w:r>
        <w:t xml:space="preserve">competition and deployment in </w:t>
      </w:r>
      <w:r>
        <w:t xml:space="preserve">Fixed </w:t>
      </w:r>
      <w:r>
        <w:t>services</w:t>
      </w:r>
    </w:p>
    <w:p w:rsidR="004C308A" w:rsidP="00D66899" w14:paraId="681636DA" w14:textId="50993F3F">
      <w:pPr>
        <w:widowControl/>
        <w:spacing w:after="120"/>
        <w:ind w:firstLine="720"/>
      </w:pPr>
      <w:r>
        <w:t>Regarding</w:t>
      </w:r>
      <w:r w:rsidR="00DC6F97">
        <w:t xml:space="preserve"> fixed </w:t>
      </w:r>
      <w:r w:rsidR="00BD44D8">
        <w:t>services (i.e., wireline, satellite</w:t>
      </w:r>
      <w:r w:rsidR="004B2D48">
        <w:t>,</w:t>
      </w:r>
      <w:r w:rsidR="00BD44D8">
        <w:t xml:space="preserve"> and </w:t>
      </w:r>
      <w:r w:rsidR="00E729CE">
        <w:t xml:space="preserve">terrestrial </w:t>
      </w:r>
      <w:r w:rsidR="00BD44D8">
        <w:t>fixed wireless)</w:t>
      </w:r>
      <w:r w:rsidR="00DC6F97">
        <w:t>, w</w:t>
      </w:r>
      <w:r>
        <w:t xml:space="preserve">e request comment </w:t>
      </w:r>
      <w:r w:rsidRPr="005A3FFD">
        <w:t xml:space="preserve">on the criteria or metrics that could be used to evaluate the state of </w:t>
      </w:r>
      <w:r w:rsidR="009D7952">
        <w:t xml:space="preserve">competition </w:t>
      </w:r>
      <w:r w:rsidR="00BD44D8">
        <w:t xml:space="preserve">for those services </w:t>
      </w:r>
      <w:r w:rsidR="009D7952">
        <w:t xml:space="preserve">and the state of </w:t>
      </w:r>
      <w:r>
        <w:t>broadband deployment</w:t>
      </w:r>
      <w:r w:rsidRPr="005A3FFD">
        <w:t>.  Comment</w:t>
      </w:r>
      <w:r w:rsidR="0024402C">
        <w:t>s</w:t>
      </w:r>
      <w:r w:rsidRPr="005A3FFD">
        <w:t xml:space="preserve"> and information also </w:t>
      </w:r>
      <w:r>
        <w:t>are</w:t>
      </w:r>
      <w:r w:rsidRPr="005A3FFD">
        <w:t xml:space="preserve"> sought on industry data, competitive dynamics, and trending factor</w:t>
      </w:r>
      <w:r>
        <w:t>s</w:t>
      </w:r>
      <w:r w:rsidR="009D7952">
        <w:t xml:space="preserve"> in </w:t>
      </w:r>
      <w:r w:rsidR="00F946CA">
        <w:t xml:space="preserve">the provision of </w:t>
      </w:r>
      <w:r w:rsidR="009D7952">
        <w:t>fixed broadband</w:t>
      </w:r>
      <w:r w:rsidR="00BD44D8">
        <w:t xml:space="preserve"> services</w:t>
      </w:r>
      <w:r>
        <w:t>.</w:t>
      </w:r>
      <w:r w:rsidRPr="005A3FFD">
        <w:t xml:space="preserve">  </w:t>
      </w:r>
      <w:r w:rsidR="00DC6F97">
        <w:t>We also request</w:t>
      </w:r>
      <w:r w:rsidRPr="005A3FFD" w:rsidR="00DC6F97">
        <w:t xml:space="preserve"> comment </w:t>
      </w:r>
      <w:r w:rsidR="00DC6F97">
        <w:t>on whether laws, regulations, regulatory practices</w:t>
      </w:r>
      <w:r w:rsidR="008D0CE8">
        <w:t>,</w:t>
      </w:r>
      <w:r w:rsidR="00DC6F97">
        <w:t xml:space="preserve"> or demonstrated marketplace practices pose a barrier to facilities-based competitive entry into the marketplace for the provision of fixed </w:t>
      </w:r>
      <w:r w:rsidR="00F946CA">
        <w:t>services</w:t>
      </w:r>
      <w:r w:rsidR="00DC6F97">
        <w:t xml:space="preserve">, or to the competitive expansion of existing facilities-based </w:t>
      </w:r>
      <w:r>
        <w:t xml:space="preserve">service </w:t>
      </w:r>
      <w:r w:rsidR="00DC6F97">
        <w:t xml:space="preserve">providers.  Further, </w:t>
      </w:r>
      <w:r w:rsidR="00BD44D8">
        <w:t xml:space="preserve">we seek </w:t>
      </w:r>
      <w:r w:rsidR="00DC6F97">
        <w:t>information on the extent to which any such laws, regulations</w:t>
      </w:r>
      <w:r w:rsidR="008D0CE8">
        <w:t>,</w:t>
      </w:r>
      <w:r w:rsidR="00DC6F97">
        <w:t xml:space="preserve"> or marketplace practices affect entry </w:t>
      </w:r>
      <w:r>
        <w:t xml:space="preserve">conditions </w:t>
      </w:r>
      <w:r w:rsidR="00DC6F97">
        <w:t>for entrepreneurs and other small businesses in the provision of facilities-based fixed broadband</w:t>
      </w:r>
      <w:r w:rsidR="00F946CA">
        <w:t xml:space="preserve"> services</w:t>
      </w:r>
      <w:r w:rsidR="00DC6F97">
        <w:t xml:space="preserve">.  </w:t>
      </w:r>
      <w:r w:rsidR="0023773D">
        <w:t>We also request</w:t>
      </w:r>
      <w:r w:rsidRPr="00ED575F" w:rsidR="0023773D">
        <w:t xml:space="preserve"> comment</w:t>
      </w:r>
      <w:r w:rsidR="0023773D">
        <w:t xml:space="preserve"> on the criteria, metrics or methodologies that might be used to evaluate potential competition between mobile wireless and fixed broadband services, including the extent to which these services are viewed by consumers as substitutes or complements.  </w:t>
      </w:r>
      <w:r w:rsidR="009D1F1E">
        <w:t>C</w:t>
      </w:r>
      <w:r>
        <w:t>ommenters are invited to submit data and information on</w:t>
      </w:r>
      <w:r w:rsidR="009D1F1E">
        <w:t>, for example</w:t>
      </w:r>
      <w:r>
        <w:t>:</w:t>
      </w:r>
    </w:p>
    <w:p w:rsidR="00DD726D" w:rsidP="004C308A" w14:paraId="76643033" w14:textId="2182B89D">
      <w:pPr>
        <w:pStyle w:val="Paranum"/>
      </w:pPr>
      <w:r>
        <w:t>Competition in the provision of fixed voice</w:t>
      </w:r>
      <w:r w:rsidR="00DC6F97">
        <w:t xml:space="preserve"> telephone</w:t>
      </w:r>
      <w:r>
        <w:t xml:space="preserve"> </w:t>
      </w:r>
      <w:r w:rsidR="00DC6F97">
        <w:t xml:space="preserve">and broadband </w:t>
      </w:r>
      <w:r>
        <w:t>services</w:t>
      </w:r>
    </w:p>
    <w:p w:rsidR="00F946CA" w:rsidP="00F946CA" w14:paraId="5E84D691" w14:textId="673F70D9">
      <w:pPr>
        <w:pStyle w:val="Paranum"/>
      </w:pPr>
      <w:r>
        <w:t>The extent of competition between fixed broadband providers that rely on different types of transmission technologies</w:t>
      </w:r>
      <w:r w:rsidR="0085592C">
        <w:t>,</w:t>
      </w:r>
      <w:r w:rsidR="007A2642">
        <w:t xml:space="preserve"> such as fiber, cable, </w:t>
      </w:r>
      <w:r>
        <w:t>digital subscriber lines (</w:t>
      </w:r>
      <w:r w:rsidR="007A2642">
        <w:t>DSL</w:t>
      </w:r>
      <w:r>
        <w:t>)</w:t>
      </w:r>
      <w:r w:rsidR="007A2642">
        <w:t>, fixed wireless</w:t>
      </w:r>
      <w:r>
        <w:t>,</w:t>
      </w:r>
      <w:r w:rsidR="007A2642">
        <w:t xml:space="preserve"> and satellite, and the degree to which consumers consider their services to be substitutes</w:t>
      </w:r>
      <w:r w:rsidRPr="00F946CA">
        <w:t xml:space="preserve"> </w:t>
      </w:r>
    </w:p>
    <w:p w:rsidR="00F946CA" w:rsidP="00D32CB0" w14:paraId="7C51109E" w14:textId="0277FEDE">
      <w:pPr>
        <w:pStyle w:val="Paranum"/>
      </w:pPr>
      <w:r>
        <w:t>Factors that determine consumer demand for fixed broadband services</w:t>
      </w:r>
      <w:r w:rsidR="0023773D">
        <w:t xml:space="preserve"> and the number of fixed broadband subscribers</w:t>
      </w:r>
    </w:p>
    <w:p w:rsidR="00E729CE" w:rsidP="00E729CE" w14:paraId="5F53EA55" w14:textId="77777777">
      <w:pPr>
        <w:pStyle w:val="Paranum"/>
      </w:pPr>
      <w:r>
        <w:t>Trends in data traffic and consumer data usage</w:t>
      </w:r>
    </w:p>
    <w:p w:rsidR="00E729CE" w:rsidP="00E729CE" w14:paraId="3151A7DB" w14:textId="77777777">
      <w:pPr>
        <w:pStyle w:val="Paranum"/>
      </w:pPr>
      <w:r>
        <w:t>Price levels and trends, as well as trends in service offerings</w:t>
      </w:r>
    </w:p>
    <w:p w:rsidR="00E729CE" w:rsidP="00E729CE" w14:paraId="24A14265" w14:textId="77777777">
      <w:pPr>
        <w:pStyle w:val="Paranum"/>
      </w:pPr>
      <w:r>
        <w:t>Revenue metrics─including total revenue and average revenue per unit─for the industry as a whole and for individual providers</w:t>
      </w:r>
    </w:p>
    <w:p w:rsidR="004C308A" w:rsidP="004C308A" w14:paraId="06494721" w14:textId="4D13B16D">
      <w:pPr>
        <w:pStyle w:val="Paranum"/>
      </w:pPr>
      <w:r>
        <w:t>What</w:t>
      </w:r>
      <w:r w:rsidR="00F946CA">
        <w:t xml:space="preserve"> data sources the Commission should consider to evaluate competition or deployment of fixed services</w:t>
      </w:r>
      <w:r>
        <w:rPr>
          <w:rStyle w:val="FootnoteReference"/>
        </w:rPr>
        <w:footnoteReference w:id="8"/>
      </w:r>
    </w:p>
    <w:p w:rsidR="00B42BDF" w:rsidP="00B42BDF" w14:paraId="1ED37181" w14:textId="1EBD86C6">
      <w:pPr>
        <w:pStyle w:val="Paranum"/>
      </w:pPr>
      <w:r>
        <w:t>Capital investment, innovation and technological upgrades</w:t>
      </w:r>
      <w:r w:rsidR="0023773D">
        <w:t>, including the</w:t>
      </w:r>
      <w:r w:rsidRPr="0023773D" w:rsidR="0023773D">
        <w:t xml:space="preserve"> </w:t>
      </w:r>
      <w:r w:rsidR="0023773D">
        <w:t>likely effect of 5G on competition between fixed and mobile broadband services</w:t>
      </w:r>
    </w:p>
    <w:p w:rsidR="00B42BDF" w:rsidP="00B42BDF" w14:paraId="30B63064" w14:textId="5B9C9F62">
      <w:pPr>
        <w:pStyle w:val="Paranum"/>
      </w:pPr>
      <w:r>
        <w:t>Network quality and speed of service</w:t>
      </w:r>
      <w:r w:rsidR="00817630">
        <w:t>, including latency</w:t>
      </w:r>
    </w:p>
    <w:p w:rsidR="00E729CE" w:rsidP="00E729CE" w14:paraId="09E52348" w14:textId="77777777">
      <w:pPr>
        <w:pStyle w:val="Paranum"/>
        <w:spacing w:after="120"/>
      </w:pPr>
      <w:r>
        <w:t>The role of entry conditions (federal, state, and/or local) in fixed broadband services, including for entrepreneurs and other small businesses</w:t>
      </w:r>
    </w:p>
    <w:p w:rsidR="003C1D9A" w:rsidP="00611A6C" w14:paraId="638CEFB3" w14:textId="77777777">
      <w:pPr>
        <w:pStyle w:val="Paranum"/>
      </w:pPr>
      <w:r>
        <w:t>The extent to which competition between fixed and mobile broadband services constrains prices or affects service quality</w:t>
      </w:r>
    </w:p>
    <w:p w:rsidR="00F82116" w:rsidP="0023773D" w14:paraId="2345DA04" w14:textId="02AD3EDA">
      <w:pPr>
        <w:pStyle w:val="Paranum"/>
      </w:pPr>
      <w:r>
        <w:t xml:space="preserve">The extent to which </w:t>
      </w:r>
      <w:r>
        <w:t xml:space="preserve">survey data could help inform our evaluation of substitutability, </w:t>
      </w:r>
      <w:r>
        <w:t>including a discussion of reliable data</w:t>
      </w:r>
      <w:r>
        <w:t xml:space="preserve"> sources</w:t>
      </w:r>
    </w:p>
    <w:p w:rsidR="006C121E" w:rsidP="00283460" w14:paraId="0640C2F8" w14:textId="7D84467B">
      <w:pPr>
        <w:pStyle w:val="Heading1"/>
      </w:pPr>
      <w:bookmarkStart w:id="24" w:name="_Hlk33097312"/>
      <w:bookmarkEnd w:id="20"/>
      <w:bookmarkEnd w:id="21"/>
      <w:bookmarkEnd w:id="22"/>
      <w:bookmarkEnd w:id="23"/>
      <w:r>
        <w:t>VOICE</w:t>
      </w:r>
    </w:p>
    <w:p w:rsidR="00B95287" w:rsidP="00611A6C" w14:paraId="1D117BAC" w14:textId="74356659">
      <w:pPr>
        <w:spacing w:after="120"/>
        <w:ind w:firstLine="720"/>
      </w:pPr>
      <w:r>
        <w:t xml:space="preserve">Regarding voice services, we request comment </w:t>
      </w:r>
      <w:r w:rsidRPr="005A3FFD">
        <w:t xml:space="preserve">on the criteria or metrics that could be used to evaluate the state of </w:t>
      </w:r>
      <w:r>
        <w:t xml:space="preserve">competition </w:t>
      </w:r>
      <w:r w:rsidR="006B2AB5">
        <w:t xml:space="preserve"> </w:t>
      </w:r>
      <w:r w:rsidR="00E80934">
        <w:t>in this marketplace</w:t>
      </w:r>
      <w:r w:rsidRPr="005A3FFD">
        <w:t>.  Comment</w:t>
      </w:r>
      <w:r>
        <w:t>s</w:t>
      </w:r>
      <w:r w:rsidRPr="005A3FFD">
        <w:t xml:space="preserve"> and information also </w:t>
      </w:r>
      <w:r>
        <w:t>are</w:t>
      </w:r>
      <w:r w:rsidRPr="005A3FFD">
        <w:t xml:space="preserve"> sought on industry data, competitive dynamics, and trending factor</w:t>
      </w:r>
      <w:r>
        <w:t>s in the provision of voice services.</w:t>
      </w:r>
      <w:r w:rsidRPr="005A3FFD">
        <w:t xml:space="preserve">  </w:t>
      </w:r>
      <w:r>
        <w:t>We also request</w:t>
      </w:r>
      <w:r w:rsidRPr="005A3FFD">
        <w:t xml:space="preserve"> comment </w:t>
      </w:r>
      <w:r>
        <w:t xml:space="preserve">on whether laws, regulations, regulatory practices, or demonstrated marketplace practices pose a barrier to facilities-based competitive entry into the marketplace for the provision of </w:t>
      </w:r>
      <w:r>
        <w:t xml:space="preserve">voice services.  Further, we seek information on the extent to which any such laws, regulations, or marketplace practices affect entry conditions for entrepreneurs and other small businesses in the provision of voice services.  </w:t>
      </w:r>
      <w:r w:rsidR="009A6300">
        <w:t>W</w:t>
      </w:r>
      <w:r>
        <w:t>e also request</w:t>
      </w:r>
      <w:r w:rsidRPr="00ED575F">
        <w:t xml:space="preserve"> comment</w:t>
      </w:r>
      <w:r>
        <w:t xml:space="preserve"> on the criteria, metrics or methodologies that might be used to evaluate potential competition between mobile wireless and fixed voice services, including the extent to which these services are viewed by consumers as substitutes or complements.  </w:t>
      </w:r>
      <w:r w:rsidR="009A6300">
        <w:t>Finally, we seek information on the proportion of households that do not subscribe to either fixed or mobile voice,</w:t>
      </w:r>
      <w:r w:rsidR="00F82116">
        <w:t xml:space="preserve"> </w:t>
      </w:r>
      <w:r w:rsidR="00AF2B8A">
        <w:t>as</w:t>
      </w:r>
      <w:r w:rsidR="00F82116">
        <w:t xml:space="preserve"> well as the </w:t>
      </w:r>
      <w:r w:rsidR="00AF2B8A">
        <w:t>effect of</w:t>
      </w:r>
      <w:r w:rsidR="00F82116">
        <w:t xml:space="preserve"> cross-platform messaging applications.</w:t>
      </w:r>
    </w:p>
    <w:bookmarkEnd w:id="24"/>
    <w:p w:rsidR="00D137F4" w:rsidP="00283460" w14:paraId="16263E67" w14:textId="558FBC89">
      <w:pPr>
        <w:pStyle w:val="Heading1"/>
      </w:pPr>
      <w:r>
        <w:t>V</w:t>
      </w:r>
      <w:r w:rsidRPr="007F3357">
        <w:t>ideo</w:t>
      </w:r>
    </w:p>
    <w:p w:rsidR="00337BE0" w:rsidP="00283460" w14:paraId="04228ED3" w14:textId="3BC5D73C">
      <w:pPr>
        <w:spacing w:after="120"/>
        <w:ind w:firstLine="720"/>
      </w:pPr>
      <w:bookmarkStart w:id="25" w:name="_Toc284587566"/>
      <w:bookmarkStart w:id="26" w:name="_Toc284348840"/>
      <w:bookmarkStart w:id="27" w:name="_Toc284587929"/>
      <w:bookmarkStart w:id="28" w:name="_Toc284929132"/>
      <w:bookmarkStart w:id="29" w:name="_Toc285009995"/>
      <w:bookmarkStart w:id="30" w:name="_Toc29098886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 xml:space="preserve">We request </w:t>
      </w:r>
      <w:r w:rsidRPr="005A3FFD">
        <w:t xml:space="preserve">comment </w:t>
      </w:r>
      <w:r>
        <w:t xml:space="preserve">on </w:t>
      </w:r>
      <w:r w:rsidRPr="00167329">
        <w:rPr>
          <w:szCs w:val="22"/>
        </w:rPr>
        <w:t xml:space="preserve">the </w:t>
      </w:r>
      <w:r>
        <w:rPr>
          <w:szCs w:val="22"/>
        </w:rPr>
        <w:t>i</w:t>
      </w:r>
      <w:r w:rsidRPr="00167329">
        <w:rPr>
          <w:szCs w:val="22"/>
        </w:rPr>
        <w:t xml:space="preserve">ssues and trends affecting competition </w:t>
      </w:r>
      <w:r>
        <w:rPr>
          <w:szCs w:val="22"/>
        </w:rPr>
        <w:t xml:space="preserve">to deliver </w:t>
      </w:r>
      <w:r w:rsidRPr="00167329">
        <w:rPr>
          <w:szCs w:val="22"/>
        </w:rPr>
        <w:t>video</w:t>
      </w:r>
      <w:r w:rsidR="008D0CE8">
        <w:rPr>
          <w:szCs w:val="22"/>
        </w:rPr>
        <w:t xml:space="preserve"> programming</w:t>
      </w:r>
      <w:r w:rsidRPr="00167329">
        <w:rPr>
          <w:szCs w:val="22"/>
        </w:rPr>
        <w:t xml:space="preserve"> </w:t>
      </w:r>
      <w:r>
        <w:rPr>
          <w:szCs w:val="22"/>
        </w:rPr>
        <w:t>services</w:t>
      </w:r>
      <w:r w:rsidRPr="00167329">
        <w:rPr>
          <w:szCs w:val="22"/>
        </w:rPr>
        <w:t>.</w:t>
      </w:r>
      <w:r>
        <w:rPr>
          <w:szCs w:val="22"/>
          <w:vertAlign w:val="superscript"/>
        </w:rPr>
        <w:footnoteReference w:id="9"/>
      </w:r>
      <w:r w:rsidRPr="00167329">
        <w:rPr>
          <w:szCs w:val="22"/>
        </w:rPr>
        <w:t xml:space="preserve">  We </w:t>
      </w:r>
      <w:r>
        <w:rPr>
          <w:szCs w:val="22"/>
        </w:rPr>
        <w:t>plan to</w:t>
      </w:r>
      <w:r w:rsidRPr="00167329">
        <w:rPr>
          <w:szCs w:val="22"/>
        </w:rPr>
        <w:t xml:space="preserve"> use an analytical framework similar to that employed in the </w:t>
      </w:r>
      <w:r w:rsidR="009D1F1E">
        <w:rPr>
          <w:i/>
          <w:szCs w:val="22"/>
        </w:rPr>
        <w:t>2018</w:t>
      </w:r>
      <w:r w:rsidRPr="00E37DCF">
        <w:rPr>
          <w:i/>
          <w:szCs w:val="22"/>
        </w:rPr>
        <w:t xml:space="preserve"> </w:t>
      </w:r>
      <w:r w:rsidRPr="00E37DCF">
        <w:rPr>
          <w:i/>
        </w:rPr>
        <w:t>Communications</w:t>
      </w:r>
      <w:r w:rsidRPr="00F444CF">
        <w:rPr>
          <w:i/>
        </w:rPr>
        <w:t xml:space="preserve"> </w:t>
      </w:r>
      <w:r w:rsidR="00283460">
        <w:rPr>
          <w:i/>
        </w:rPr>
        <w:t xml:space="preserve">Marketplace </w:t>
      </w:r>
      <w:r w:rsidRPr="00F444CF">
        <w:rPr>
          <w:i/>
        </w:rPr>
        <w:t>Repor</w:t>
      </w:r>
      <w:r>
        <w:rPr>
          <w:i/>
        </w:rPr>
        <w:t>t</w:t>
      </w:r>
      <w:r w:rsidRPr="00611A6C">
        <w:rPr>
          <w:iCs/>
        </w:rPr>
        <w:t>,</w:t>
      </w:r>
      <w:r w:rsidRPr="00167329">
        <w:rPr>
          <w:szCs w:val="22"/>
        </w:rPr>
        <w:t xml:space="preserve"> </w:t>
      </w:r>
      <w:r>
        <w:rPr>
          <w:szCs w:val="22"/>
        </w:rPr>
        <w:t xml:space="preserve">which </w:t>
      </w:r>
      <w:r w:rsidRPr="00167329">
        <w:rPr>
          <w:szCs w:val="22"/>
        </w:rPr>
        <w:t xml:space="preserve">categorizes entities that deliver video </w:t>
      </w:r>
      <w:r>
        <w:rPr>
          <w:szCs w:val="22"/>
        </w:rPr>
        <w:t>services</w:t>
      </w:r>
      <w:r w:rsidRPr="00167329">
        <w:rPr>
          <w:szCs w:val="22"/>
        </w:rPr>
        <w:t xml:space="preserve"> into three groups—multichannel video programming distributors (MVPDs), online video distributors (OVDs)</w:t>
      </w:r>
      <w:r>
        <w:rPr>
          <w:szCs w:val="22"/>
        </w:rPr>
        <w:t>,</w:t>
      </w:r>
      <w:r w:rsidRPr="00167329">
        <w:rPr>
          <w:szCs w:val="22"/>
        </w:rPr>
        <w:t xml:space="preserve"> and OTA broadcast television stations.</w:t>
      </w:r>
      <w:r>
        <w:rPr>
          <w:szCs w:val="22"/>
          <w:vertAlign w:val="superscript"/>
        </w:rPr>
        <w:footnoteReference w:id="10"/>
      </w:r>
      <w:r w:rsidRPr="00167329">
        <w:rPr>
          <w:szCs w:val="22"/>
        </w:rPr>
        <w:t xml:space="preserve"> </w:t>
      </w:r>
      <w:r>
        <w:rPr>
          <w:szCs w:val="22"/>
        </w:rPr>
        <w:t xml:space="preserve"> We seek comment on b</w:t>
      </w:r>
      <w:r w:rsidRPr="00167329">
        <w:rPr>
          <w:szCs w:val="22"/>
        </w:rPr>
        <w:t>oth intragroup competition (i.e., competition within a group) and intergroup competition (i.e., compe</w:t>
      </w:r>
      <w:r w:rsidRPr="00EA4B74">
        <w:t>tition between groups)</w:t>
      </w:r>
      <w:r w:rsidRPr="00167329">
        <w:rPr>
          <w:szCs w:val="22"/>
        </w:rPr>
        <w:t>.</w:t>
      </w:r>
      <w:r>
        <w:rPr>
          <w:szCs w:val="22"/>
        </w:rPr>
        <w:t xml:space="preserve">  </w:t>
      </w:r>
      <w:r w:rsidR="006D284E">
        <w:t>We also request</w:t>
      </w:r>
      <w:r w:rsidRPr="005A3FFD" w:rsidR="006D284E">
        <w:t xml:space="preserve"> comment </w:t>
      </w:r>
      <w:r w:rsidR="006D284E">
        <w:t>on whether laws, regulations, regulatory practices</w:t>
      </w:r>
      <w:r w:rsidR="008D0CE8">
        <w:t>,</w:t>
      </w:r>
      <w:r w:rsidR="006D284E">
        <w:t xml:space="preserve"> or demonstrated marketplace practices pose a barrier to competitive entry into the video marketplace, or to the competitive expansion of existing providers.  Further, information is sought on the extent to which any such laws, regulations</w:t>
      </w:r>
      <w:r w:rsidR="008D0CE8">
        <w:t>,</w:t>
      </w:r>
      <w:r w:rsidR="006D284E">
        <w:t xml:space="preserve"> or marketplace practices affect entry </w:t>
      </w:r>
      <w:r w:rsidR="0085592C">
        <w:t xml:space="preserve">conditions </w:t>
      </w:r>
      <w:r w:rsidR="006D284E">
        <w:t xml:space="preserve">for entrepreneurs and other small businesses in the video marketplace.  </w:t>
      </w:r>
      <w:r>
        <w:rPr>
          <w:szCs w:val="22"/>
        </w:rPr>
        <w:t>C</w:t>
      </w:r>
      <w:r>
        <w:t xml:space="preserve">ommenters are invited to provide </w:t>
      </w:r>
      <w:r w:rsidR="00B57D96">
        <w:t xml:space="preserve">data and </w:t>
      </w:r>
      <w:r>
        <w:t xml:space="preserve">information </w:t>
      </w:r>
      <w:r w:rsidR="009D1F1E">
        <w:t>on, for example</w:t>
      </w:r>
      <w:r>
        <w:t xml:space="preserve">: </w:t>
      </w:r>
    </w:p>
    <w:p w:rsidR="00337BE0" w:rsidP="00337BE0" w14:paraId="3CCDE0C9" w14:textId="146027CC">
      <w:pPr>
        <w:pStyle w:val="Paranum"/>
      </w:pPr>
      <w:r>
        <w:t>Competition in the provision of video programming</w:t>
      </w:r>
      <w:r w:rsidR="008D0CE8">
        <w:t xml:space="preserve"> services</w:t>
      </w:r>
    </w:p>
    <w:p w:rsidR="00337BE0" w:rsidP="00337BE0" w14:paraId="41355856" w14:textId="77777777">
      <w:pPr>
        <w:pStyle w:val="Paranum"/>
      </w:pPr>
      <w:r>
        <w:t>Vertical integration</w:t>
      </w:r>
    </w:p>
    <w:p w:rsidR="00337BE0" w:rsidP="00337BE0" w14:paraId="368AA280" w14:textId="77777777">
      <w:pPr>
        <w:pStyle w:val="Paranum"/>
      </w:pPr>
      <w:r>
        <w:t>Technological developments</w:t>
      </w:r>
    </w:p>
    <w:p w:rsidR="00337BE0" w:rsidP="00337BE0" w14:paraId="7F88D85F" w14:textId="77777777">
      <w:pPr>
        <w:pStyle w:val="Paranum"/>
      </w:pPr>
      <w:r>
        <w:t>Recent entry and exit</w:t>
      </w:r>
      <w:r w:rsidRPr="00C23095">
        <w:t xml:space="preserve"> </w:t>
      </w:r>
    </w:p>
    <w:p w:rsidR="00337BE0" w:rsidP="00337BE0" w14:paraId="3FE1A67A" w14:textId="41E618AB">
      <w:pPr>
        <w:pStyle w:val="Paranum"/>
      </w:pPr>
      <w:r w:rsidRPr="00C23095">
        <w:t>Trends (e.g.</w:t>
      </w:r>
      <w:r w:rsidR="0024402C">
        <w:t>,</w:t>
      </w:r>
      <w:r w:rsidRPr="00C23095">
        <w:t xml:space="preserve"> declining MVPD subscriptions, increasing </w:t>
      </w:r>
      <w:r w:rsidR="00EC3274">
        <w:t>virtual MVPD (</w:t>
      </w:r>
      <w:r w:rsidRPr="00C23095">
        <w:t>vMVPD</w:t>
      </w:r>
      <w:r w:rsidR="00EC3274">
        <w:t>)</w:t>
      </w:r>
      <w:r w:rsidRPr="00C23095">
        <w:t xml:space="preserve"> prices</w:t>
      </w:r>
      <w:r w:rsidR="00054F27">
        <w:t>, fragmentation of Video on Demand (VOD) content, household subscription to multiple video services</w:t>
      </w:r>
      <w:r w:rsidRPr="00C23095">
        <w:t>)</w:t>
      </w:r>
    </w:p>
    <w:p w:rsidR="00337BE0" w:rsidP="00337BE0" w14:paraId="2FBFD434" w14:textId="3B8D03DF">
      <w:pPr>
        <w:pStyle w:val="Paranum"/>
      </w:pPr>
      <w:bookmarkStart w:id="31" w:name="_Hlk31188092"/>
      <w:r>
        <w:t xml:space="preserve">Service features (e.g., live vs VOD content, pricing, commercials, device compatibility, leased equipment) that lead some video </w:t>
      </w:r>
      <w:r w:rsidR="008D0CE8">
        <w:t xml:space="preserve">programming </w:t>
      </w:r>
      <w:r>
        <w:t xml:space="preserve">services to be viewed as substitutes </w:t>
      </w:r>
      <w:r w:rsidR="008D0CE8">
        <w:t xml:space="preserve">for one another </w:t>
      </w:r>
      <w:r>
        <w:t>and others as supplements</w:t>
      </w:r>
    </w:p>
    <w:bookmarkEnd w:id="31"/>
    <w:p w:rsidR="00337BE0" w:rsidP="00283460" w14:paraId="5823D5B7" w14:textId="7F317052">
      <w:pPr>
        <w:pStyle w:val="Paranum"/>
        <w:spacing w:after="120"/>
      </w:pPr>
      <w:r>
        <w:t>O</w:t>
      </w:r>
      <w:r w:rsidRPr="00EA4B74">
        <w:t xml:space="preserve">perating and financial statistics </w:t>
      </w:r>
      <w:r>
        <w:t>including subscriptions, subscription revenue, advertising revenue, retransmission consent fee</w:t>
      </w:r>
      <w:r w:rsidR="008D0CE8">
        <w:t xml:space="preserve"> revenue, and any other sources of revenue </w:t>
      </w:r>
      <w:r w:rsidRPr="007A5917">
        <w:t xml:space="preserve">  </w:t>
      </w:r>
    </w:p>
    <w:p w:rsidR="003005B0" w:rsidP="003005B0" w14:paraId="406F6CF7" w14:textId="3D0A7E98">
      <w:pPr>
        <w:pStyle w:val="Paranum"/>
        <w:spacing w:after="120"/>
      </w:pPr>
      <w:r w:rsidRPr="002C201A">
        <w:t>Data and comment that will help the Commission analyze how the ongoing evolution in the video programming market affects competition in the related market for set-top boxes and devices, including how it affects the extent to which consumer choice for devices to access MVPD content remains a relevant aspect of the competitive environment</w:t>
      </w:r>
    </w:p>
    <w:p w:rsidR="00D137F4" w:rsidP="00283460" w14:paraId="07C50D39" w14:textId="686FADE0">
      <w:pPr>
        <w:pStyle w:val="Heading1"/>
      </w:pPr>
      <w:bookmarkStart w:id="32" w:name="_Toc236556725"/>
      <w:bookmarkStart w:id="33" w:name="_Toc236558365"/>
      <w:bookmarkStart w:id="34" w:name="_Toc236558439"/>
      <w:bookmarkStart w:id="35" w:name="_Toc236558574"/>
      <w:bookmarkStart w:id="36" w:name="_Toc236563099"/>
      <w:bookmarkStart w:id="37" w:name="_Toc236660241"/>
      <w:bookmarkStart w:id="38" w:name="_Toc236660589"/>
      <w:bookmarkStart w:id="39" w:name="_Toc236730351"/>
      <w:bookmarkStart w:id="40" w:name="_Toc236801569"/>
      <w:bookmarkStart w:id="41" w:name="_Toc236815369"/>
      <w:bookmarkStart w:id="42" w:name="_Toc236815639"/>
      <w:bookmarkStart w:id="43" w:name="_Toc236819585"/>
      <w:bookmarkStart w:id="44" w:name="_Toc236821877"/>
      <w:bookmarkStart w:id="45" w:name="_Toc237088678"/>
      <w:bookmarkEnd w:id="1"/>
      <w:bookmarkEnd w:id="25"/>
      <w:bookmarkEnd w:id="26"/>
      <w:bookmarkEnd w:id="27"/>
      <w:bookmarkEnd w:id="28"/>
      <w:bookmarkEnd w:id="29"/>
      <w:bookmarkEnd w:id="30"/>
      <w:r>
        <w:t>Audio</w:t>
      </w:r>
    </w:p>
    <w:p w:rsidR="00D137F4" w:rsidP="00283460" w14:paraId="2D98FB01" w14:textId="26AEE995">
      <w:pPr>
        <w:spacing w:after="120"/>
        <w:ind w:firstLine="720"/>
      </w:pPr>
      <w:r>
        <w:t xml:space="preserve">We request comment </w:t>
      </w:r>
      <w:r w:rsidRPr="005A3FFD">
        <w:t>on the criteria or metrics that could be used to evaluate the state of competition</w:t>
      </w:r>
      <w:r>
        <w:t xml:space="preserve"> </w:t>
      </w:r>
      <w:r w:rsidRPr="005A3FFD">
        <w:t xml:space="preserve">in the </w:t>
      </w:r>
      <w:r>
        <w:t>audio programming marketplace, as well as c</w:t>
      </w:r>
      <w:r w:rsidRPr="005A3FFD">
        <w:t xml:space="preserve">omment and information on industry data, competitive dynamics, and trending factors. </w:t>
      </w:r>
      <w:r>
        <w:t xml:space="preserve"> </w:t>
      </w:r>
      <w:r w:rsidR="006D284E">
        <w:t>We also request</w:t>
      </w:r>
      <w:r w:rsidRPr="005A3FFD" w:rsidR="006D284E">
        <w:t xml:space="preserve"> comment </w:t>
      </w:r>
      <w:r w:rsidR="006D284E">
        <w:t>on whether laws, regulations, regulatory practices</w:t>
      </w:r>
      <w:r w:rsidR="008D0CE8">
        <w:t>,</w:t>
      </w:r>
      <w:r w:rsidR="006D284E">
        <w:t xml:space="preserve"> or demonstrated marketplace practices pose a barrier to competitive entry into the audio marketplace, or to the competitive expansion of existing providers.  Further, information is sought on the extent to which any such laws, regulations</w:t>
      </w:r>
      <w:r w:rsidR="008D0CE8">
        <w:t>,</w:t>
      </w:r>
      <w:r w:rsidR="006D284E">
        <w:t xml:space="preserve"> or marketplace practices affect entry </w:t>
      </w:r>
      <w:r w:rsidR="0024402C">
        <w:t xml:space="preserve">conditions </w:t>
      </w:r>
      <w:r w:rsidR="006D284E">
        <w:t xml:space="preserve">for </w:t>
      </w:r>
      <w:r w:rsidR="006D284E">
        <w:t xml:space="preserve">entrepreneurs and other small businesses in the audio marketplace.  </w:t>
      </w:r>
      <w:r>
        <w:t>For example, commenters are invited to submit data and information related to participants in the</w:t>
      </w:r>
      <w:r w:rsidRPr="00CD473D">
        <w:t xml:space="preserve"> </w:t>
      </w:r>
      <w:r>
        <w:t>marketplace for the delivery of audio programming, including, but not limited to, terrestrial radio broadcasters (</w:t>
      </w:r>
      <w:r w:rsidRPr="00967B0C">
        <w:rPr>
          <w:iCs/>
        </w:rPr>
        <w:t>i.e.</w:t>
      </w:r>
      <w:r w:rsidRPr="009A054B">
        <w:rPr>
          <w:iCs/>
        </w:rPr>
        <w:t>,</w:t>
      </w:r>
      <w:r>
        <w:t xml:space="preserve"> AM and FM radio stations), satellite radio providers, and entities that provide audio programming over the Internet and to mobile devices </w:t>
      </w:r>
      <w:r w:rsidR="006D284E">
        <w:t>on</w:t>
      </w:r>
      <w:r>
        <w:t>:</w:t>
      </w:r>
    </w:p>
    <w:p w:rsidR="00D137F4" w14:paraId="60E23126" w14:textId="7EEB5B40">
      <w:pPr>
        <w:pStyle w:val="Paranum"/>
      </w:pPr>
      <w:r>
        <w:t>Industry participants</w:t>
      </w:r>
      <w:r w:rsidR="000B26EB">
        <w:t xml:space="preserve"> in the provision of audio programming services</w:t>
      </w:r>
    </w:p>
    <w:p w:rsidR="00D137F4" w14:paraId="60846C33" w14:textId="4B9B0D65">
      <w:pPr>
        <w:pStyle w:val="Paranum"/>
      </w:pPr>
      <w:r>
        <w:t>Trends in service offerings, pricing, and consumer behavior</w:t>
      </w:r>
    </w:p>
    <w:p w:rsidR="00D137F4" w14:paraId="5337C1DC" w14:textId="1DEA228D">
      <w:pPr>
        <w:pStyle w:val="Paranum"/>
      </w:pPr>
      <w:r>
        <w:t xml:space="preserve">The extent of competition among </w:t>
      </w:r>
      <w:r w:rsidR="006D284E">
        <w:t>audio marketplace participants</w:t>
      </w:r>
      <w:r>
        <w:t xml:space="preserve">, including intramodal competition </w:t>
      </w:r>
      <w:r w:rsidRPr="0024402C">
        <w:t>(</w:t>
      </w:r>
      <w:r w:rsidRPr="00967B0C">
        <w:t>i.e.</w:t>
      </w:r>
      <w:r w:rsidRPr="0024402C">
        <w:t>,</w:t>
      </w:r>
      <w:r>
        <w:t xml:space="preserve"> competition among providers of the same type, such as terrestrial radio broadcast stations) and intermodal competition (</w:t>
      </w:r>
      <w:r w:rsidRPr="00967B0C">
        <w:rPr>
          <w:iCs/>
        </w:rPr>
        <w:t>i.e.</w:t>
      </w:r>
      <w:r w:rsidRPr="0024402C">
        <w:rPr>
          <w:iCs/>
        </w:rPr>
        <w:t>, competition</w:t>
      </w:r>
      <w:r>
        <w:t xml:space="preserve"> among providers of different types, such as terrestrial radio broadcast stations and satellite radio providers)</w:t>
      </w:r>
    </w:p>
    <w:p w:rsidR="00D137F4" w14:paraId="1D14ECE4" w14:textId="50AE747D">
      <w:pPr>
        <w:pStyle w:val="Paranum"/>
      </w:pPr>
      <w:r>
        <w:t xml:space="preserve">Ratings, subscribership, and revenue information, for the marketplace as a whole and for individual </w:t>
      </w:r>
      <w:r w:rsidR="000B26EB">
        <w:t xml:space="preserve">industry </w:t>
      </w:r>
      <w:r w:rsidR="006D284E">
        <w:t>p</w:t>
      </w:r>
      <w:r>
        <w:t>articipants</w:t>
      </w:r>
    </w:p>
    <w:p w:rsidR="00D137F4" w14:paraId="46D0A3BF" w14:textId="1AC47CA5">
      <w:pPr>
        <w:pStyle w:val="Paranum"/>
      </w:pPr>
      <w:r>
        <w:t>Capital investment, innovation, and the deployment of advanced technology</w:t>
      </w:r>
    </w:p>
    <w:p w:rsidR="00D137F4" w14:paraId="4D26A3B6" w14:textId="7EEE76A4">
      <w:pPr>
        <w:pStyle w:val="Paranum"/>
      </w:pPr>
      <w:r>
        <w:t>Requirements for entry into the marketplace</w:t>
      </w:r>
    </w:p>
    <w:p w:rsidR="00D137F4" w:rsidP="00283460" w14:paraId="5E636857" w14:textId="1D4A7455">
      <w:pPr>
        <w:pStyle w:val="Paranum"/>
        <w:spacing w:after="120"/>
      </w:pPr>
      <w:r>
        <w:t>Recent entry into and exit from the marketplace</w:t>
      </w:r>
    </w:p>
    <w:p w:rsidR="009A054B" w:rsidP="009A054B" w14:paraId="5A8116B0" w14:textId="77777777">
      <w:pPr>
        <w:pStyle w:val="Heading1"/>
      </w:pPr>
      <w:r>
        <w:t>International broadband data</w:t>
      </w:r>
    </w:p>
    <w:p w:rsidR="009A054B" w:rsidP="00967B0C" w14:paraId="05FA2AA5" w14:textId="6F633FAF">
      <w:pPr>
        <w:pStyle w:val="Paranum"/>
        <w:numPr>
          <w:ilvl w:val="0"/>
          <w:numId w:val="0"/>
        </w:numPr>
        <w:tabs>
          <w:tab w:val="left" w:pos="720"/>
        </w:tabs>
        <w:ind w:firstLine="720"/>
      </w:pPr>
      <w:r>
        <w:t xml:space="preserve">As part of its assessment in the </w:t>
      </w:r>
      <w:r w:rsidRPr="00D97AFD">
        <w:rPr>
          <w:i/>
          <w:iCs/>
        </w:rPr>
        <w:t>Communications Marketplace Report</w:t>
      </w:r>
      <w:r>
        <w:t>, the Commission must by statute include “information comparing the extent of broadband service capability (including data transmission speeds and price for broadband service capability) in a total of 75 communities in at least 25 countries abroad for each of the data rate benchmarks for broadband service utilized by the Commission to reflect different speed tiers.”</w:t>
      </w:r>
      <w:r>
        <w:rPr>
          <w:rStyle w:val="FootnoteReference"/>
        </w:rPr>
        <w:footnoteReference w:id="11"/>
      </w:r>
      <w:r>
        <w:t xml:space="preserve">  The Commission must choose international communities comparable to various communities in the United States with respect to population size, population density, topography, and demographic profile.</w:t>
      </w:r>
      <w:r>
        <w:rPr>
          <w:rStyle w:val="FootnoteReference"/>
        </w:rPr>
        <w:footnoteReference w:id="12"/>
      </w:r>
      <w:r>
        <w:t xml:space="preserve">  The Commission is required to include “a geographically diverse selection of countries” and “communities including the capital cities of such countries.”</w:t>
      </w:r>
      <w:r>
        <w:rPr>
          <w:rStyle w:val="FootnoteReference"/>
        </w:rPr>
        <w:footnoteReference w:id="13"/>
      </w:r>
      <w:r>
        <w:t xml:space="preserve">  We seek data, information, and comment on comparative international information on broadband services that can inform the Commission’s assessment.</w:t>
      </w:r>
    </w:p>
    <w:bookmarkEnd w:id="2"/>
    <w:bookmarkEnd w:id="32"/>
    <w:bookmarkEnd w:id="33"/>
    <w:bookmarkEnd w:id="34"/>
    <w:bookmarkEnd w:id="35"/>
    <w:bookmarkEnd w:id="36"/>
    <w:bookmarkEnd w:id="37"/>
    <w:bookmarkEnd w:id="38"/>
    <w:bookmarkEnd w:id="39"/>
    <w:bookmarkEnd w:id="40"/>
    <w:bookmarkEnd w:id="41"/>
    <w:bookmarkEnd w:id="42"/>
    <w:bookmarkEnd w:id="43"/>
    <w:bookmarkEnd w:id="44"/>
    <w:bookmarkEnd w:id="45"/>
    <w:p w:rsidR="00BE3101" w:rsidRPr="005A3FFD" w:rsidP="00283460" w14:paraId="5439B8A2" w14:textId="77777777">
      <w:pPr>
        <w:pStyle w:val="Heading1"/>
      </w:pPr>
      <w:r w:rsidRPr="007F3357">
        <w:t>Procedural</w:t>
      </w:r>
      <w:r w:rsidRPr="005A3FFD">
        <w:t xml:space="preserve"> Matters</w:t>
      </w:r>
    </w:p>
    <w:p w:rsidR="009E6378" w:rsidP="009E6378" w14:paraId="3E0F4712" w14:textId="14E0AC84">
      <w:pPr>
        <w:ind w:firstLine="720"/>
      </w:pPr>
      <w:bookmarkStart w:id="46" w:name="_Hlk33453421"/>
      <w:r>
        <w:t xml:space="preserve">Pursuant to section 1.415 and 1.419 of the Commission’s rules, 47 CFR §§ 1.415, 1.419, interested parties may file comments on or before </w:t>
      </w:r>
      <w:r w:rsidR="00A116D1">
        <w:rPr>
          <w:b/>
          <w:bCs/>
        </w:rPr>
        <w:t>April 13</w:t>
      </w:r>
      <w:r w:rsidRPr="006C54A2">
        <w:rPr>
          <w:b/>
          <w:bCs/>
        </w:rPr>
        <w:t>, 2020</w:t>
      </w:r>
      <w:r>
        <w:t xml:space="preserve"> and reply comments on or before </w:t>
      </w:r>
      <w:r w:rsidR="00A116D1">
        <w:rPr>
          <w:b/>
          <w:bCs/>
        </w:rPr>
        <w:t>May 13</w:t>
      </w:r>
      <w:r w:rsidRPr="006C54A2">
        <w:rPr>
          <w:b/>
          <w:bCs/>
        </w:rPr>
        <w:t>, 2020</w:t>
      </w:r>
      <w:r>
        <w:t xml:space="preserve">.  All filings should refer to </w:t>
      </w:r>
      <w:r w:rsidR="00A116D1">
        <w:t>GN</w:t>
      </w:r>
      <w:r>
        <w:t xml:space="preserve"> Docket No. </w:t>
      </w:r>
      <w:r w:rsidRPr="00927BBD" w:rsidR="00927BBD">
        <w:t>20</w:t>
      </w:r>
      <w:r w:rsidRPr="00927BBD">
        <w:t>-</w:t>
      </w:r>
      <w:r w:rsidRPr="00927BBD" w:rsidR="00927BBD">
        <w:t>6</w:t>
      </w:r>
      <w:r w:rsidR="00927BBD">
        <w:t>0</w:t>
      </w:r>
      <w:r>
        <w:t xml:space="preserve">.  </w:t>
      </w:r>
      <w:r w:rsidRPr="00F61990">
        <w:rPr>
          <w:rFonts w:eastAsia="Calibri"/>
        </w:rPr>
        <w:t>Filings must be addressed to the Commission</w:t>
      </w:r>
      <w:r>
        <w:rPr>
          <w:rFonts w:eastAsia="Calibri"/>
        </w:rPr>
        <w:t>’</w:t>
      </w:r>
      <w:r w:rsidRPr="00F61990">
        <w:rPr>
          <w:rFonts w:eastAsia="Calibri"/>
        </w:rPr>
        <w:t>s Secretary, Office of the Secretary, Federal Communications Commission.</w:t>
      </w:r>
      <w:r>
        <w:t xml:space="preserve">  Comments and reply comments may be filed</w:t>
      </w:r>
      <w:r w:rsidRPr="00F61990">
        <w:t xml:space="preserve"> by paper or by</w:t>
      </w:r>
      <w:r>
        <w:t xml:space="preserve"> using the Commission’s Electronic Comment Filing System (ECFS).  </w:t>
      </w:r>
      <w:r>
        <w:rPr>
          <w:i/>
        </w:rPr>
        <w:t>See Electronic Filing of Documents in Rulemaking Proceedings</w:t>
      </w:r>
      <w:r>
        <w:t>, 63 FR 24121 (1998).</w:t>
      </w:r>
    </w:p>
    <w:p w:rsidR="00A116D1" w:rsidP="009E6378" w14:paraId="0599BC0D" w14:textId="77777777">
      <w:pPr>
        <w:ind w:firstLine="720"/>
      </w:pPr>
    </w:p>
    <w:p w:rsidR="009E6378" w:rsidP="009E6378" w14:paraId="3A60057D" w14:textId="77777777">
      <w:pPr>
        <w:widowControl/>
        <w:numPr>
          <w:ilvl w:val="0"/>
          <w:numId w:val="10"/>
        </w:numPr>
        <w:rPr>
          <w:szCs w:val="22"/>
        </w:rPr>
      </w:pPr>
      <w:r>
        <w:rPr>
          <w:szCs w:val="22"/>
        </w:rPr>
        <w:t xml:space="preserve">Electronic Filers:  Comments may be filed electronically using the Internet by accessing the ECFS:  </w:t>
      </w:r>
      <w:hyperlink r:id="rId5" w:history="1">
        <w:r>
          <w:rPr>
            <w:rStyle w:val="Hyperlink"/>
            <w:szCs w:val="22"/>
          </w:rPr>
          <w:t>http://www.fcc.gov/ecfs/</w:t>
        </w:r>
      </w:hyperlink>
      <w:r>
        <w:rPr>
          <w:szCs w:val="22"/>
        </w:rPr>
        <w:t>.</w:t>
      </w:r>
    </w:p>
    <w:p w:rsidR="009E6378" w:rsidP="009E6378" w14:paraId="10BF4D3A" w14:textId="77777777">
      <w:pPr>
        <w:widowControl/>
        <w:ind w:left="720"/>
        <w:rPr>
          <w:szCs w:val="22"/>
        </w:rPr>
      </w:pPr>
    </w:p>
    <w:p w:rsidR="009E6378" w:rsidP="009E6378" w14:paraId="1602621F" w14:textId="77777777">
      <w:pPr>
        <w:widowControl/>
        <w:numPr>
          <w:ilvl w:val="0"/>
          <w:numId w:val="11"/>
        </w:numPr>
        <w:rPr>
          <w:szCs w:val="22"/>
        </w:rPr>
      </w:pPr>
      <w:r>
        <w:rPr>
          <w:szCs w:val="22"/>
        </w:rPr>
        <w:t>Paper Filers:  Parties who choose to file by paper must file an original and one copy of each filing.</w:t>
      </w:r>
    </w:p>
    <w:p w:rsidR="009E6378" w:rsidP="009E6378" w14:paraId="747AEDA4" w14:textId="77777777">
      <w:pPr>
        <w:rPr>
          <w:szCs w:val="22"/>
        </w:rPr>
      </w:pPr>
    </w:p>
    <w:p w:rsidR="009E6378" w:rsidP="009E6378" w14:paraId="2AFB9721" w14:textId="77777777">
      <w:pPr>
        <w:ind w:left="720"/>
        <w:rPr>
          <w:szCs w:val="22"/>
        </w:rPr>
      </w:pPr>
      <w:r>
        <w:rPr>
          <w:szCs w:val="22"/>
        </w:rPr>
        <w:t>Filings can be sent by hand or messenger delivery, by commercial overnight courier, or by first-class or overnight U.S. Postal Service mail.</w:t>
      </w:r>
    </w:p>
    <w:p w:rsidR="009E6378" w:rsidP="009E6378" w14:paraId="10E18BDB" w14:textId="77777777">
      <w:pPr>
        <w:ind w:left="720"/>
        <w:rPr>
          <w:szCs w:val="22"/>
        </w:rPr>
      </w:pPr>
    </w:p>
    <w:p w:rsidR="009E6378" w:rsidP="009E6378" w14:paraId="37BF133F" w14:textId="77777777">
      <w:pPr>
        <w:widowControl/>
        <w:numPr>
          <w:ilvl w:val="0"/>
          <w:numId w:val="12"/>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w:t>
      </w:r>
      <w:r w:rsidRPr="00F61990">
        <w:rPr>
          <w:rFonts w:eastAsia="Calibri"/>
          <w:szCs w:val="22"/>
        </w:rPr>
        <w:t>reet</w:t>
      </w:r>
      <w:r>
        <w:rPr>
          <w:szCs w:val="22"/>
        </w:rPr>
        <w:t xml:space="preserve">,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w:t>
      </w:r>
    </w:p>
    <w:p w:rsidR="009E6378" w:rsidP="009E6378" w14:paraId="385224B0" w14:textId="77777777">
      <w:pPr>
        <w:rPr>
          <w:szCs w:val="22"/>
        </w:rPr>
      </w:pPr>
    </w:p>
    <w:p w:rsidR="009E6378" w:rsidP="009E6378" w14:paraId="425654BF" w14:textId="77777777">
      <w:pPr>
        <w:widowControl/>
        <w:numPr>
          <w:ilvl w:val="0"/>
          <w:numId w:val="12"/>
        </w:numPr>
        <w:rPr>
          <w:szCs w:val="22"/>
        </w:rPr>
      </w:pPr>
      <w:r>
        <w:rPr>
          <w:szCs w:val="22"/>
        </w:rPr>
        <w:t>Commercial overnight mail (other than U.S. Postal Service Express Mail and Priority Mail) must be sent to 9050 Junction Drive, Annapolis Junction, MD 20701.</w:t>
      </w:r>
    </w:p>
    <w:p w:rsidR="009E6378" w:rsidP="009E6378" w14:paraId="04FDF0F1" w14:textId="77777777">
      <w:pPr>
        <w:rPr>
          <w:szCs w:val="22"/>
        </w:rPr>
      </w:pPr>
    </w:p>
    <w:p w:rsidR="009E6378" w:rsidP="009E6378" w14:paraId="1D1100F4" w14:textId="77777777">
      <w:pPr>
        <w:widowControl/>
        <w:numPr>
          <w:ilvl w:val="0"/>
          <w:numId w:val="12"/>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9E6378" w:rsidP="009E6378" w14:paraId="305E5B58" w14:textId="77777777">
      <w:pPr>
        <w:rPr>
          <w:szCs w:val="22"/>
        </w:rPr>
      </w:pPr>
    </w:p>
    <w:p w:rsidR="009E6378" w:rsidP="009E6378" w14:paraId="2EE31C7B" w14:textId="77777777">
      <w:pPr>
        <w:widowControl/>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6" w:history="1">
        <w:r w:rsidRPr="000A2743">
          <w:rPr>
            <w:rStyle w:val="Hyperlink"/>
            <w:szCs w:val="22"/>
          </w:rPr>
          <w:t>fcc504@fcc.gov</w:t>
        </w:r>
      </w:hyperlink>
      <w:r w:rsidRPr="00897495">
        <w:rPr>
          <w:szCs w:val="22"/>
        </w:rPr>
        <w:t xml:space="preserve"> </w:t>
      </w:r>
      <w:r>
        <w:rPr>
          <w:szCs w:val="22"/>
        </w:rPr>
        <w:t>or call the Consumer &amp; Governmental Affairs Bureau at 202-418-0530 (voice), 202-418-0432 (tty).</w:t>
      </w:r>
    </w:p>
    <w:p w:rsidR="009E6378" w:rsidP="009E6378" w14:paraId="59C86888" w14:textId="77777777">
      <w:pPr>
        <w:rPr>
          <w:szCs w:val="22"/>
        </w:rPr>
      </w:pPr>
    </w:p>
    <w:p w:rsidR="00A116D1" w:rsidRPr="00263C0D" w:rsidP="00A116D1" w14:paraId="2DC3302D" w14:textId="6EC35CA0">
      <w:pPr>
        <w:spacing w:after="220"/>
        <w:ind w:firstLine="720"/>
      </w:pPr>
      <w:r w:rsidRPr="005A3FFD">
        <w:t xml:space="preserve">For further information, contact Kate Matraves, </w:t>
      </w:r>
      <w:r>
        <w:t>Economic Analysis Division, Office of Economics and Analytics</w:t>
      </w:r>
      <w:r w:rsidRPr="005A3FFD">
        <w:t xml:space="preserve">, </w:t>
      </w:r>
      <w:r w:rsidRPr="005A25E6">
        <w:t>(202) 391-6272</w:t>
      </w:r>
      <w:r>
        <w:t xml:space="preserve"> or </w:t>
      </w:r>
      <w:hyperlink r:id="rId7" w:history="1">
        <w:r w:rsidRPr="0024402C">
          <w:rPr>
            <w:rStyle w:val="Hyperlink"/>
          </w:rPr>
          <w:t>Catherine.Matraves</w:t>
        </w:r>
        <w:r w:rsidRPr="00601A53">
          <w:rPr>
            <w:rStyle w:val="Hyperlink"/>
          </w:rPr>
          <w:t>@fcc.gov</w:t>
        </w:r>
      </w:hyperlink>
      <w:r>
        <w:t xml:space="preserve">, or Judith Dempsey, Economic Analysis Division, Office of Economics and Analytics, (202) 418-1861 or </w:t>
      </w:r>
      <w:hyperlink r:id="rId8" w:history="1">
        <w:r w:rsidRPr="0024402C">
          <w:rPr>
            <w:rStyle w:val="Hyperlink"/>
          </w:rPr>
          <w:t>Judith.</w:t>
        </w:r>
        <w:r w:rsidRPr="00601A53">
          <w:rPr>
            <w:rStyle w:val="Hyperlink"/>
          </w:rPr>
          <w:t>Dempsey</w:t>
        </w:r>
        <w:r w:rsidRPr="00BD44D8">
          <w:rPr>
            <w:rStyle w:val="Hyperlink"/>
          </w:rPr>
          <w:t>@fcc.gov</w:t>
        </w:r>
      </w:hyperlink>
      <w:r w:rsidRPr="005A3FFD">
        <w:t>.</w:t>
      </w:r>
      <w:bookmarkEnd w:id="46"/>
    </w:p>
    <w:sectPr w:rsidSect="00CD7D8D">
      <w:headerReference w:type="default" r:id="rId9"/>
      <w:footerReference w:type="even" r:id="rId10"/>
      <w:headerReference w:type="first" r:id="rId11"/>
      <w:footerReference w:type="first" r:id="rId12"/>
      <w:pgSz w:w="12240" w:h="15840"/>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3D2" w:rsidP="005D48B6" w14:paraId="71315B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403D2" w:rsidP="005D48B6" w14:paraId="0D88072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3D2" w14:paraId="4C2634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0985" w:rsidP="00BE3101" w14:paraId="51780519" w14:textId="77777777">
      <w:r>
        <w:separator/>
      </w:r>
    </w:p>
  </w:footnote>
  <w:footnote w:type="continuationSeparator" w:id="1">
    <w:p w:rsidR="00290985" w:rsidP="00BE3101" w14:paraId="33BA3FA9" w14:textId="77777777">
      <w:r>
        <w:continuationSeparator/>
      </w:r>
    </w:p>
  </w:footnote>
  <w:footnote w:type="continuationNotice" w:id="2">
    <w:p w:rsidR="00290985" w14:paraId="3D8C6B92" w14:textId="77777777"/>
  </w:footnote>
  <w:footnote w:id="3">
    <w:p w:rsidR="003005B0" w:rsidP="003005B0" w14:paraId="34FEA4A9" w14:textId="2713AB41">
      <w:pPr>
        <w:pStyle w:val="FootnoteText"/>
      </w:pPr>
      <w:r>
        <w:rPr>
          <w:rStyle w:val="FootnoteReference"/>
        </w:rPr>
        <w:footnoteRef/>
      </w:r>
      <w:r>
        <w:t xml:space="preserve"> 47 U.S.C. § 163(a), (b)(1)</w:t>
      </w:r>
      <w:r w:rsidR="00290ABD">
        <w:t xml:space="preserve">; </w:t>
      </w:r>
      <w:r w:rsidR="00290ABD">
        <w:rPr>
          <w:i/>
          <w:iCs/>
        </w:rPr>
        <w:t>see also</w:t>
      </w:r>
      <w:r w:rsidR="00290ABD">
        <w:t xml:space="preserve"> </w:t>
      </w:r>
      <w:r w:rsidRPr="00817630" w:rsidR="00290ABD">
        <w:t>Section 401 of the Repack Airwaves Yielding Better Access for Users of Modern Services Act of 2018 (RAY BAUM’S Act), Pub. L. No. 115-141, 132 Stat. 1087 (codified at 47 U.S.C. §</w:t>
      </w:r>
      <w:r w:rsidR="00290ABD">
        <w:t> </w:t>
      </w:r>
      <w:r w:rsidRPr="00817630" w:rsidR="00290ABD">
        <w:t>163) (RAY BAUM’S Act)</w:t>
      </w:r>
      <w:r>
        <w:t>.</w:t>
      </w:r>
    </w:p>
  </w:footnote>
  <w:footnote w:id="4">
    <w:p w:rsidR="003F1FAD" w14:paraId="27EA5F8E" w14:textId="49C8F7BE">
      <w:pPr>
        <w:pStyle w:val="FootnoteText"/>
      </w:pPr>
      <w:r>
        <w:rPr>
          <w:rStyle w:val="FootnoteReference"/>
        </w:rPr>
        <w:footnoteRef/>
      </w:r>
      <w:r>
        <w:t xml:space="preserve"> </w:t>
      </w:r>
      <w:r w:rsidR="008B7487">
        <w:t xml:space="preserve">47 U.S.C. </w:t>
      </w:r>
      <w:r w:rsidR="003005B0">
        <w:t>§ 163(d)(1).</w:t>
      </w:r>
    </w:p>
  </w:footnote>
  <w:footnote w:id="5">
    <w:p w:rsidR="00D137F4" w:rsidP="00D137F4" w14:paraId="161C2345" w14:textId="2692C7F0">
      <w:pPr>
        <w:pStyle w:val="FootnoteText"/>
      </w:pPr>
      <w:r>
        <w:rPr>
          <w:rStyle w:val="FootnoteReference"/>
        </w:rPr>
        <w:footnoteRef/>
      </w:r>
      <w:r>
        <w:t xml:space="preserve"> </w:t>
      </w:r>
      <w:r w:rsidR="008B7487">
        <w:t>47 U.S.C. § 163(b)(3)</w:t>
      </w:r>
      <w:r w:rsidR="00283460">
        <w:t>.</w:t>
      </w:r>
      <w:r w:rsidR="00817630">
        <w:t xml:space="preserve">  </w:t>
      </w:r>
      <w:r w:rsidR="00290ABD">
        <w:t>I</w:t>
      </w:r>
      <w:r w:rsidR="00817630">
        <w:rPr>
          <w:rFonts w:ascii="TimesNewRomanMTStd" w:hAnsi="TimesNewRomanMTStd" w:eastAsiaTheme="minorHAnsi" w:cs="TimesNewRomanMTStd"/>
        </w:rPr>
        <w:t xml:space="preserve">n assessing the state of competition under subsection (b)(1) and regulatory barriers under subsection (b)(3) of the Act, </w:t>
      </w:r>
      <w:r w:rsidR="00290ABD">
        <w:rPr>
          <w:rFonts w:ascii="TimesNewRomanMTStd" w:hAnsi="TimesNewRomanMTStd" w:eastAsiaTheme="minorHAnsi" w:cs="TimesNewRomanMTStd"/>
        </w:rPr>
        <w:t xml:space="preserve">the Commission must also </w:t>
      </w:r>
      <w:r w:rsidR="00817630">
        <w:rPr>
          <w:rFonts w:ascii="TimesNewRomanMTStd" w:hAnsi="TimesNewRomanMTStd" w:eastAsiaTheme="minorHAnsi" w:cs="TimesNewRomanMTStd"/>
        </w:rPr>
        <w:t xml:space="preserve">“consider market entry barriers for entrepreneurs and other small businesses in the communications marketplace in accordance with the national policy under section 257(b).”  </w:t>
      </w:r>
      <w:r w:rsidR="00817630">
        <w:t xml:space="preserve">47 U.S.C. § 163(d)(3).  </w:t>
      </w:r>
      <w:r w:rsidRPr="00EC7B58" w:rsidR="00817630">
        <w:t xml:space="preserve">The Commission </w:t>
      </w:r>
      <w:r w:rsidR="00290ABD">
        <w:t xml:space="preserve">must </w:t>
      </w:r>
      <w:r w:rsidRPr="00EC7B58" w:rsidR="00817630">
        <w:t xml:space="preserve">include the International Broadband Data Report required by section 103(b)(1) of the Broadband Data Improvement Act as part of the Communications Marketplace Report.  </w:t>
      </w:r>
      <w:r w:rsidRPr="00F34CB4" w:rsidR="00817630">
        <w:rPr>
          <w:i/>
          <w:iCs/>
        </w:rPr>
        <w:t xml:space="preserve">See </w:t>
      </w:r>
      <w:r w:rsidRPr="00EC7B58" w:rsidR="00817630">
        <w:t>RAY BAUM’S Act of 2018 § 402(c), 132 Stat. at 1089; 47 U.S.C. § 163; 47 U.S.C. § 1303(b)(1).</w:t>
      </w:r>
    </w:p>
  </w:footnote>
  <w:footnote w:id="6">
    <w:p w:rsidR="00D137F4" w:rsidP="00D137F4" w14:paraId="5081C07E" w14:textId="01350AE4">
      <w:pPr>
        <w:pStyle w:val="FootnoteText"/>
      </w:pPr>
      <w:r>
        <w:rPr>
          <w:rStyle w:val="FootnoteReference"/>
        </w:rPr>
        <w:footnoteRef/>
      </w:r>
      <w:r>
        <w:t xml:space="preserve"> </w:t>
      </w:r>
      <w:r w:rsidRPr="0079136E" w:rsidR="00817E9E">
        <w:rPr>
          <w:i/>
        </w:rPr>
        <w:t>Communications Marketplace Report</w:t>
      </w:r>
      <w:r w:rsidR="00520DE2">
        <w:rPr>
          <w:i/>
        </w:rPr>
        <w:t xml:space="preserve"> et al.</w:t>
      </w:r>
      <w:r w:rsidRPr="00597A8E" w:rsidR="00817E9E">
        <w:t>, GN Docket No. 18-231</w:t>
      </w:r>
      <w:r w:rsidR="00520DE2">
        <w:t xml:space="preserve"> et al</w:t>
      </w:r>
      <w:r w:rsidRPr="00597A8E" w:rsidR="00817E9E">
        <w:t xml:space="preserve">., Report, </w:t>
      </w:r>
      <w:r w:rsidRPr="005549B2" w:rsidR="005549B2">
        <w:t>33 FCC Rcd 12558</w:t>
      </w:r>
      <w:r w:rsidR="005549B2">
        <w:t xml:space="preserve"> </w:t>
      </w:r>
      <w:r w:rsidRPr="00597A8E" w:rsidR="00817E9E">
        <w:t>(2018) (</w:t>
      </w:r>
      <w:r w:rsidR="00283460">
        <w:rPr>
          <w:i/>
        </w:rPr>
        <w:t>2018 C</w:t>
      </w:r>
      <w:r w:rsidRPr="0079136E" w:rsidR="00817E9E">
        <w:rPr>
          <w:i/>
        </w:rPr>
        <w:t xml:space="preserve">ommunications </w:t>
      </w:r>
      <w:r w:rsidR="00283460">
        <w:rPr>
          <w:i/>
        </w:rPr>
        <w:t xml:space="preserve">Marketplace </w:t>
      </w:r>
      <w:r w:rsidRPr="0079136E" w:rsidR="00817E9E">
        <w:rPr>
          <w:i/>
        </w:rPr>
        <w:t>Report</w:t>
      </w:r>
      <w:r w:rsidRPr="00597A8E" w:rsidR="00817E9E">
        <w:t>)</w:t>
      </w:r>
      <w:r w:rsidR="00520DE2">
        <w:t>.</w:t>
      </w:r>
    </w:p>
  </w:footnote>
  <w:footnote w:id="7">
    <w:p w:rsidR="00D137F4" w:rsidP="00D137F4" w14:paraId="1CC284FB" w14:textId="160B2C4F">
      <w:pPr>
        <w:pStyle w:val="FootnoteText"/>
      </w:pPr>
      <w:r>
        <w:rPr>
          <w:rStyle w:val="FootnoteReference"/>
        </w:rPr>
        <w:footnoteRef/>
      </w:r>
      <w:r>
        <w:t xml:space="preserve"> </w:t>
      </w:r>
      <w:r w:rsidR="005549B2">
        <w:t>FCC</w:t>
      </w:r>
      <w:r w:rsidRPr="005549B2" w:rsidR="005549B2">
        <w:t xml:space="preserve">, </w:t>
      </w:r>
      <w:r w:rsidR="00283460">
        <w:rPr>
          <w:i/>
        </w:rPr>
        <w:t>2018 C</w:t>
      </w:r>
      <w:r w:rsidRPr="00290832" w:rsidR="005549B2">
        <w:rPr>
          <w:i/>
        </w:rPr>
        <w:t xml:space="preserve">ommunications </w:t>
      </w:r>
      <w:r w:rsidR="00283460">
        <w:rPr>
          <w:i/>
        </w:rPr>
        <w:t xml:space="preserve">Marketplace </w:t>
      </w:r>
      <w:r w:rsidRPr="00290832" w:rsidR="005549B2">
        <w:rPr>
          <w:i/>
        </w:rPr>
        <w:t>Report – Update</w:t>
      </w:r>
      <w:r w:rsidR="006C121E">
        <w:rPr>
          <w:i/>
        </w:rPr>
        <w:t>s</w:t>
      </w:r>
      <w:r w:rsidR="006C121E">
        <w:rPr>
          <w:iCs/>
        </w:rPr>
        <w:t>, available at</w:t>
      </w:r>
      <w:r w:rsidR="005549B2">
        <w:t xml:space="preserve"> </w:t>
      </w:r>
      <w:hyperlink r:id="rId1" w:history="1">
        <w:r w:rsidR="006C121E">
          <w:rPr>
            <w:rStyle w:val="Hyperlink"/>
          </w:rPr>
          <w:t>https://www.fcc.gov/communications-marketplace-report-updates</w:t>
        </w:r>
      </w:hyperlink>
      <w:r w:rsidR="006C121E">
        <w:t xml:space="preserve">. </w:t>
      </w:r>
    </w:p>
  </w:footnote>
  <w:footnote w:id="8">
    <w:p w:rsidR="004C308A" w:rsidRPr="004B2D48" w:rsidP="004C308A" w14:paraId="093AD429" w14:textId="146D6A78">
      <w:pPr>
        <w:pStyle w:val="FootnoteText"/>
      </w:pPr>
      <w:r>
        <w:rPr>
          <w:rStyle w:val="FootnoteReference"/>
        </w:rPr>
        <w:footnoteRef/>
      </w:r>
      <w:r>
        <w:t xml:space="preserve"> </w:t>
      </w:r>
      <w:r w:rsidRPr="001A41B0" w:rsidR="001A41B0">
        <w:t xml:space="preserve">In August 2019, the FCC began a new process for collecting more granular data on the availability of fixed broadband service with the adoption of the </w:t>
      </w:r>
      <w:r w:rsidRPr="001A41B0" w:rsidR="001A41B0">
        <w:rPr>
          <w:i/>
          <w:iCs/>
        </w:rPr>
        <w:t>Digital Opportunity Data Collection</w:t>
      </w:r>
      <w:r w:rsidR="00196E42">
        <w:rPr>
          <w:i/>
          <w:iCs/>
        </w:rPr>
        <w:t xml:space="preserve"> Report and Order</w:t>
      </w:r>
      <w:r w:rsidR="00EE2657">
        <w:rPr>
          <w:i/>
          <w:iCs/>
        </w:rPr>
        <w:t xml:space="preserve">.  </w:t>
      </w:r>
      <w:r w:rsidR="00EE2657">
        <w:t>Establishing the Digital Opportunity Data Collection,</w:t>
      </w:r>
      <w:r w:rsidRPr="001A41B0" w:rsidR="001A41B0">
        <w:rPr>
          <w:i/>
          <w:iCs/>
        </w:rPr>
        <w:t xml:space="preserve"> </w:t>
      </w:r>
      <w:r w:rsidRPr="00967B0C" w:rsidR="001A41B0">
        <w:t>Report and Order and Second Further Notice of Proposed Rulemaking</w:t>
      </w:r>
      <w:r w:rsidRPr="00EE2657">
        <w:t>, 34</w:t>
      </w:r>
      <w:r w:rsidRPr="00CF0FFE">
        <w:t xml:space="preserve"> FCC Rcd </w:t>
      </w:r>
      <w:r w:rsidR="001A41B0">
        <w:t xml:space="preserve">at </w:t>
      </w:r>
      <w:r w:rsidRPr="00CF0FFE">
        <w:t>7505</w:t>
      </w:r>
      <w:r w:rsidR="00EE2657">
        <w:t xml:space="preserve"> (</w:t>
      </w:r>
      <w:r w:rsidR="00EE2657">
        <w:rPr>
          <w:i/>
          <w:iCs/>
        </w:rPr>
        <w:t>Digital Opportunity Data Collection</w:t>
      </w:r>
      <w:r w:rsidR="00196E42">
        <w:rPr>
          <w:i/>
          <w:iCs/>
        </w:rPr>
        <w:t xml:space="preserve"> Report and Order)</w:t>
      </w:r>
      <w:r>
        <w:t>.</w:t>
      </w:r>
      <w:r w:rsidR="004B2D48">
        <w:t xml:space="preserve">  We note that this new collection of coverage data will not have begun in time for use in the </w:t>
      </w:r>
      <w:r w:rsidR="004B2D48">
        <w:rPr>
          <w:i/>
          <w:iCs/>
        </w:rPr>
        <w:t>2020 Communications Marketplace Report.</w:t>
      </w:r>
      <w:r w:rsidR="004B2D48">
        <w:t xml:space="preserve">  We anticipate, however, that we will analyze these data </w:t>
      </w:r>
      <w:r w:rsidR="00E729CE">
        <w:t xml:space="preserve">in addition to Form 477 data </w:t>
      </w:r>
      <w:r w:rsidR="004B2D48">
        <w:t xml:space="preserve">for use in future Reports. </w:t>
      </w:r>
    </w:p>
  </w:footnote>
  <w:footnote w:id="9">
    <w:p w:rsidR="00337BE0" w:rsidRPr="008F14EF" w:rsidP="00337BE0" w14:paraId="773CEC1B" w14:textId="521DFF4F">
      <w:pPr>
        <w:pStyle w:val="FootnoteText"/>
      </w:pPr>
      <w:r w:rsidRPr="008F14EF">
        <w:rPr>
          <w:rStyle w:val="FootnoteReference"/>
        </w:rPr>
        <w:footnoteRef/>
      </w:r>
      <w:r w:rsidRPr="008F14EF">
        <w:t xml:space="preserve"> Video programming is defined as:</w:t>
      </w:r>
      <w:r>
        <w:t xml:space="preserve"> </w:t>
      </w:r>
      <w:r w:rsidRPr="008F14EF">
        <w:t>“Programming provided by, or generally considered comparable to programming provided by, a television broadcast station that is distributed and is exhibited for residential use.”  47 U.S.C. § 522(20)</w:t>
      </w:r>
      <w:r>
        <w:t xml:space="preserve">; </w:t>
      </w:r>
      <w:r w:rsidRPr="003005B0" w:rsidR="008D0CE8">
        <w:rPr>
          <w:i/>
          <w:iCs/>
        </w:rPr>
        <w:t>see also</w:t>
      </w:r>
      <w:r w:rsidR="008D0CE8">
        <w:t xml:space="preserve"> </w:t>
      </w:r>
      <w:r w:rsidRPr="008F14EF" w:rsidR="008D0CE8">
        <w:t>47 CFR § 7</w:t>
      </w:r>
      <w:r w:rsidR="008D0CE8">
        <w:t>6</w:t>
      </w:r>
      <w:r w:rsidRPr="008F14EF" w:rsidR="008D0CE8">
        <w:t>.</w:t>
      </w:r>
      <w:r w:rsidR="008D0CE8">
        <w:t>6</w:t>
      </w:r>
      <w:r w:rsidRPr="008F14EF" w:rsidR="008D0CE8">
        <w:t>(</w:t>
      </w:r>
      <w:r w:rsidR="008D0CE8">
        <w:t>ff).</w:t>
      </w:r>
    </w:p>
  </w:footnote>
  <w:footnote w:id="10">
    <w:p w:rsidR="00337BE0" w:rsidRPr="008F14EF" w:rsidP="00337BE0" w14:paraId="25AD661D" w14:textId="77777777">
      <w:pPr>
        <w:pStyle w:val="FootnoteText"/>
      </w:pPr>
      <w:r w:rsidRPr="008F14EF">
        <w:rPr>
          <w:rStyle w:val="FootnoteReference"/>
        </w:rPr>
        <w:footnoteRef/>
      </w:r>
      <w:r w:rsidRPr="008F14EF">
        <w:t xml:space="preserve"> </w:t>
      </w:r>
      <w:r w:rsidRPr="0079136E">
        <w:rPr>
          <w:i/>
        </w:rPr>
        <w:t>Communications Marketplace Report</w:t>
      </w:r>
      <w:r w:rsidRPr="00597A8E">
        <w:t xml:space="preserve">, </w:t>
      </w:r>
      <w:r>
        <w:t>33 FCC Rcd at 12597</w:t>
      </w:r>
      <w:r w:rsidRPr="00597A8E">
        <w:t>, para</w:t>
      </w:r>
      <w:r>
        <w:t>. 49.</w:t>
      </w:r>
    </w:p>
  </w:footnote>
  <w:footnote w:id="11">
    <w:p w:rsidR="009A054B" w:rsidP="009A054B" w14:paraId="12FF8D61" w14:textId="77777777">
      <w:pPr>
        <w:pStyle w:val="FootnoteText"/>
      </w:pPr>
      <w:r>
        <w:rPr>
          <w:rStyle w:val="FootnoteReference"/>
        </w:rPr>
        <w:footnoteRef/>
      </w:r>
      <w:r>
        <w:t xml:space="preserve"> 47 U.S.C. § 1303(b)(1).  The Broadband Data Improvement Act, Pub. L. No. 110-385, 122 Stat. 4096 (2008), is codified in Title 47, Chapter 12 of the United States Code. 47 U.S.C. § 1301 et seq.</w:t>
      </w:r>
    </w:p>
  </w:footnote>
  <w:footnote w:id="12">
    <w:p w:rsidR="009A054B" w:rsidP="009A054B" w14:paraId="70DF843F" w14:textId="77777777">
      <w:pPr>
        <w:pStyle w:val="FootnoteText"/>
      </w:pPr>
      <w:r>
        <w:rPr>
          <w:rStyle w:val="FootnoteReference"/>
        </w:rPr>
        <w:footnoteRef/>
      </w:r>
      <w:r>
        <w:t xml:space="preserve"> </w:t>
      </w:r>
      <w:r w:rsidRPr="003C3C51">
        <w:rPr>
          <w:i/>
          <w:iCs/>
        </w:rPr>
        <w:t>Id.</w:t>
      </w:r>
      <w:r>
        <w:t xml:space="preserve"> § 1303(b)(2).</w:t>
      </w:r>
    </w:p>
  </w:footnote>
  <w:footnote w:id="13">
    <w:p w:rsidR="009A054B" w:rsidP="009A054B" w14:paraId="49E16610" w14:textId="77777777">
      <w:pPr>
        <w:pStyle w:val="FootnoteText"/>
      </w:pPr>
      <w:r>
        <w:rPr>
          <w:rStyle w:val="FootnoteReference"/>
        </w:rPr>
        <w:footnoteRef/>
      </w:r>
      <w:r>
        <w:t xml:space="preserve"> </w:t>
      </w:r>
      <w:r w:rsidRPr="003C3C51">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AB5" w14:paraId="177586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2EE" w:rsidRPr="00A866AC" w:rsidP="00C772EE" w14:paraId="262ECF30"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772EE" w:rsidP="00C772EE" w14:textId="77777777">
                          <w:pPr>
                            <w:rPr>
                              <w:rFonts w:ascii="Arial" w:hAnsi="Arial"/>
                              <w:b/>
                            </w:rPr>
                          </w:pPr>
                          <w:r>
                            <w:rPr>
                              <w:rFonts w:ascii="Arial" w:hAnsi="Arial"/>
                              <w:b/>
                            </w:rPr>
                            <w:t>Federal Communications Commission</w:t>
                          </w:r>
                        </w:p>
                        <w:p w:rsidR="00C772EE" w:rsidP="00C772E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772EE" w:rsidP="00C772EE"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772EE" w:rsidP="00C772EE" w14:paraId="4B7D9B2D" w14:textId="77777777">
                    <w:pPr>
                      <w:rPr>
                        <w:rFonts w:ascii="Arial" w:hAnsi="Arial"/>
                        <w:b/>
                      </w:rPr>
                    </w:pPr>
                    <w:r>
                      <w:rPr>
                        <w:rFonts w:ascii="Arial" w:hAnsi="Arial"/>
                        <w:b/>
                      </w:rPr>
                      <w:t>Federal Communications Commission</w:t>
                    </w:r>
                  </w:p>
                  <w:p w:rsidR="00C772EE" w:rsidP="00C772EE" w14:paraId="2CB6F86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772EE" w:rsidP="00C772EE" w14:paraId="0265105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64462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C772EE" w:rsidRPr="00357D50" w:rsidP="00C772EE" w14:paraId="6CCF1CA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772EE" w:rsidP="00C772EE" w14:textId="77777777">
                          <w:pPr>
                            <w:spacing w:before="40"/>
                            <w:jc w:val="right"/>
                            <w:rPr>
                              <w:rFonts w:ascii="Arial" w:hAnsi="Arial"/>
                              <w:b/>
                              <w:sz w:val="16"/>
                            </w:rPr>
                          </w:pPr>
                          <w:r>
                            <w:rPr>
                              <w:rFonts w:ascii="Arial" w:hAnsi="Arial"/>
                              <w:b/>
                              <w:sz w:val="16"/>
                            </w:rPr>
                            <w:t>News Media Information 202 / 418-0500</w:t>
                          </w:r>
                        </w:p>
                        <w:p w:rsidR="00C772EE" w:rsidP="00C772EE" w14:textId="77777777">
                          <w:pPr>
                            <w:jc w:val="right"/>
                            <w:rPr>
                              <w:rFonts w:ascii="Arial" w:hAnsi="Arial"/>
                              <w:b/>
                              <w:sz w:val="16"/>
                            </w:rPr>
                          </w:pPr>
                          <w:r>
                            <w:rPr>
                              <w:rFonts w:ascii="Arial" w:hAnsi="Arial"/>
                              <w:b/>
                              <w:sz w:val="16"/>
                            </w:rPr>
                            <w:t xml:space="preserve">Internet: </w:t>
                          </w:r>
                          <w:bookmarkStart w:id="47" w:name="_Hlt233824"/>
                          <w:hyperlink r:id="rId2" w:history="1">
                            <w:r w:rsidRPr="00D216CD">
                              <w:rPr>
                                <w:rStyle w:val="Hyperlink"/>
                                <w:rFonts w:ascii="Arial" w:hAnsi="Arial"/>
                                <w:b/>
                                <w:sz w:val="16"/>
                              </w:rPr>
                              <w:t>h</w:t>
                            </w:r>
                            <w:bookmarkEnd w:id="47"/>
                            <w:r w:rsidRPr="00D216CD">
                              <w:rPr>
                                <w:rStyle w:val="Hyperlink"/>
                                <w:rFonts w:ascii="Arial" w:hAnsi="Arial"/>
                                <w:b/>
                                <w:sz w:val="16"/>
                              </w:rPr>
                              <w:t>ttps://www.fcc.gov</w:t>
                            </w:r>
                          </w:hyperlink>
                        </w:p>
                        <w:p w:rsidR="00C772EE" w:rsidP="00C772EE"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C772EE" w:rsidP="00C772EE" w14:paraId="5D7D4E2D" w14:textId="77777777">
                    <w:pPr>
                      <w:spacing w:before="40"/>
                      <w:jc w:val="right"/>
                      <w:rPr>
                        <w:rFonts w:ascii="Arial" w:hAnsi="Arial"/>
                        <w:b/>
                        <w:sz w:val="16"/>
                      </w:rPr>
                    </w:pPr>
                    <w:r>
                      <w:rPr>
                        <w:rFonts w:ascii="Arial" w:hAnsi="Arial"/>
                        <w:b/>
                        <w:sz w:val="16"/>
                      </w:rPr>
                      <w:t>News Media Information 202 / 418-0500</w:t>
                    </w:r>
                  </w:p>
                  <w:p w:rsidR="00C772EE" w:rsidP="00C772EE" w14:paraId="2B2CF2D5" w14:textId="77777777">
                    <w:pPr>
                      <w:jc w:val="right"/>
                      <w:rPr>
                        <w:rFonts w:ascii="Arial" w:hAnsi="Arial"/>
                        <w:b/>
                        <w:sz w:val="16"/>
                      </w:rPr>
                    </w:pPr>
                    <w:r>
                      <w:rPr>
                        <w:rFonts w:ascii="Arial" w:hAnsi="Arial"/>
                        <w:b/>
                        <w:sz w:val="16"/>
                      </w:rPr>
                      <w:t xml:space="preserve">Internet: </w:t>
                    </w:r>
                    <w:bookmarkStart w:id="47" w:name="_Hlt233824"/>
                    <w:hyperlink r:id="rId2" w:history="1">
                      <w:r w:rsidRPr="00D216CD">
                        <w:rPr>
                          <w:rStyle w:val="Hyperlink"/>
                          <w:rFonts w:ascii="Arial" w:hAnsi="Arial"/>
                          <w:b/>
                          <w:sz w:val="16"/>
                        </w:rPr>
                        <w:t>h</w:t>
                      </w:r>
                      <w:bookmarkEnd w:id="47"/>
                      <w:r w:rsidRPr="00D216CD">
                        <w:rPr>
                          <w:rStyle w:val="Hyperlink"/>
                          <w:rFonts w:ascii="Arial" w:hAnsi="Arial"/>
                          <w:b/>
                          <w:sz w:val="16"/>
                        </w:rPr>
                        <w:t>ttps://www.fcc.gov</w:t>
                      </w:r>
                    </w:hyperlink>
                  </w:p>
                  <w:p w:rsidR="00C772EE" w:rsidP="00C772EE" w14:paraId="766CB117" w14:textId="77777777">
                    <w:pPr>
                      <w:jc w:val="right"/>
                    </w:pPr>
                    <w:r>
                      <w:rPr>
                        <w:rFonts w:ascii="Arial" w:hAnsi="Arial"/>
                        <w:b/>
                        <w:sz w:val="16"/>
                      </w:rPr>
                      <w:t>TTY: 1-888-835-5322</w:t>
                    </w:r>
                  </w:p>
                </w:txbxContent>
              </v:textbox>
            </v:shape>
          </w:pict>
        </mc:Fallback>
      </mc:AlternateContent>
    </w:r>
  </w:p>
  <w:p w:rsidR="00A07E41" w:rsidP="00A07E41" w14:paraId="68BB9E47" w14:textId="77777777">
    <w:pPr>
      <w:pStyle w:val="Header"/>
      <w:tabs>
        <w:tab w:val="left" w:pos="1080"/>
      </w:tabs>
      <w:ind w:left="720"/>
      <w:rPr>
        <w:rFonts w:ascii="Arial" w:hAnsi="Arial"/>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53B831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1167D31"/>
    <w:multiLevelType w:val="hybridMultilevel"/>
    <w:tmpl w:val="A4165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E06CBB"/>
    <w:multiLevelType w:val="multilevel"/>
    <w:tmpl w:val="5134A304"/>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3960"/>
        </w:tabs>
        <w:ind w:left="-3960" w:hanging="720"/>
      </w:pPr>
      <w:rPr>
        <w:rFonts w:cs="Times New Roman"/>
      </w:rPr>
    </w:lvl>
    <w:lvl w:ilvl="2">
      <w:start w:val="1"/>
      <w:numFmt w:val="upperLetter"/>
      <w:pStyle w:val="Heading3"/>
      <w:lvlText w:val="%3."/>
      <w:lvlJc w:val="left"/>
      <w:pPr>
        <w:tabs>
          <w:tab w:val="num" w:pos="-3240"/>
        </w:tabs>
        <w:ind w:left="-3240" w:hanging="720"/>
      </w:pPr>
    </w:lvl>
    <w:lvl w:ilvl="3">
      <w:start w:val="1"/>
      <w:numFmt w:val="lowerLetter"/>
      <w:pStyle w:val="Heading4"/>
      <w:lvlText w:val="%4."/>
      <w:lvlJc w:val="left"/>
      <w:pPr>
        <w:tabs>
          <w:tab w:val="num" w:pos="-2520"/>
        </w:tabs>
        <w:ind w:left="-2520" w:hanging="720"/>
      </w:pPr>
      <w:rPr>
        <w:rFonts w:cs="Times New Roman"/>
      </w:rPr>
    </w:lvl>
    <w:lvl w:ilvl="4">
      <w:start w:val="1"/>
      <w:numFmt w:val="lowerRoman"/>
      <w:pStyle w:val="Heading5"/>
      <w:lvlText w:val="(%5)"/>
      <w:lvlJc w:val="left"/>
      <w:pPr>
        <w:tabs>
          <w:tab w:val="num" w:pos="-1800"/>
        </w:tabs>
        <w:ind w:left="-1800" w:hanging="720"/>
      </w:pPr>
      <w:rPr>
        <w:rFonts w:cs="Times New Roman"/>
      </w:rPr>
    </w:lvl>
    <w:lvl w:ilvl="5">
      <w:start w:val="1"/>
      <w:numFmt w:val="lowerLetter"/>
      <w:pStyle w:val="Heading6"/>
      <w:lvlText w:val="(%6)"/>
      <w:lvlJc w:val="left"/>
      <w:pPr>
        <w:tabs>
          <w:tab w:val="num" w:pos="-1080"/>
        </w:tabs>
        <w:ind w:left="-1080" w:hanging="720"/>
      </w:pPr>
      <w:rPr>
        <w:rFonts w:cs="Times New Roman"/>
      </w:rPr>
    </w:lvl>
    <w:lvl w:ilvl="6">
      <w:start w:val="1"/>
      <w:numFmt w:val="lowerRoman"/>
      <w:pStyle w:val="Heading7"/>
      <w:lvlText w:val="(%7)"/>
      <w:lvlJc w:val="left"/>
      <w:pPr>
        <w:tabs>
          <w:tab w:val="num" w:pos="-360"/>
        </w:tabs>
        <w:ind w:left="-1080"/>
      </w:pPr>
      <w:rPr>
        <w:rFonts w:cs="Times New Roman"/>
      </w:rPr>
    </w:lvl>
    <w:lvl w:ilvl="7">
      <w:start w:val="1"/>
      <w:numFmt w:val="lowerLetter"/>
      <w:pStyle w:val="Heading8"/>
      <w:lvlText w:val="(%8)"/>
      <w:lvlJc w:val="left"/>
      <w:pPr>
        <w:tabs>
          <w:tab w:val="num" w:pos="0"/>
        </w:tabs>
        <w:ind w:left="-360"/>
      </w:pPr>
      <w:rPr>
        <w:rFonts w:cs="Times New Roman"/>
      </w:rPr>
    </w:lvl>
    <w:lvl w:ilvl="8">
      <w:start w:val="1"/>
      <w:numFmt w:val="lowerRoman"/>
      <w:pStyle w:val="Heading9"/>
      <w:lvlText w:val="(%9)"/>
      <w:lvlJc w:val="left"/>
      <w:pPr>
        <w:tabs>
          <w:tab w:val="num" w:pos="720"/>
        </w:tabs>
        <w:ind w:left="360"/>
      </w:pPr>
      <w:rPr>
        <w:rFonts w:cs="Times New Roman"/>
      </w:rPr>
    </w:lvl>
  </w:abstractNum>
  <w:abstractNum w:abstractNumId="3">
    <w:nsid w:val="2ACE6AA8"/>
    <w:multiLevelType w:val="hybridMultilevel"/>
    <w:tmpl w:val="11B0EE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8A704D"/>
    <w:multiLevelType w:val="hybridMultilevel"/>
    <w:tmpl w:val="B914DE14"/>
    <w:lvl w:ilvl="0">
      <w:start w:val="1"/>
      <w:numFmt w:val="bullet"/>
      <w:pStyle w:val="Paranum"/>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8333CB5"/>
    <w:multiLevelType w:val="hybridMultilevel"/>
    <w:tmpl w:val="8EAE2C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7">
    <w:nsid w:val="687230DF"/>
    <w:multiLevelType w:val="hybridMultilevel"/>
    <w:tmpl w:val="439412F2"/>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8">
    <w:nsid w:val="7F0406EE"/>
    <w:multiLevelType w:val="hybridMultilevel"/>
    <w:tmpl w:val="2E969AF6"/>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7"/>
  </w:num>
  <w:num w:numId="5">
    <w:abstractNumId w:val="4"/>
  </w:num>
  <w:num w:numId="6">
    <w:abstractNumId w:val="4"/>
  </w:num>
  <w:num w:numId="7">
    <w:abstractNumId w:val="4"/>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83"/>
    <w:rsid w:val="0000298E"/>
    <w:rsid w:val="00010B26"/>
    <w:rsid w:val="00020A82"/>
    <w:rsid w:val="000331DB"/>
    <w:rsid w:val="00051C28"/>
    <w:rsid w:val="00054F27"/>
    <w:rsid w:val="000605E4"/>
    <w:rsid w:val="00086811"/>
    <w:rsid w:val="00094D8A"/>
    <w:rsid w:val="00096990"/>
    <w:rsid w:val="00097721"/>
    <w:rsid w:val="000A2743"/>
    <w:rsid w:val="000B18B7"/>
    <w:rsid w:val="000B26EB"/>
    <w:rsid w:val="000B574E"/>
    <w:rsid w:val="000D7AB8"/>
    <w:rsid w:val="000E1417"/>
    <w:rsid w:val="000E2C17"/>
    <w:rsid w:val="000F7B05"/>
    <w:rsid w:val="0016527E"/>
    <w:rsid w:val="00165644"/>
    <w:rsid w:val="00167329"/>
    <w:rsid w:val="00196E42"/>
    <w:rsid w:val="001A41B0"/>
    <w:rsid w:val="001A5875"/>
    <w:rsid w:val="001D1919"/>
    <w:rsid w:val="001E2DB9"/>
    <w:rsid w:val="001F0F6F"/>
    <w:rsid w:val="001F7952"/>
    <w:rsid w:val="0020058E"/>
    <w:rsid w:val="0020111F"/>
    <w:rsid w:val="0021166F"/>
    <w:rsid w:val="00217479"/>
    <w:rsid w:val="0022511B"/>
    <w:rsid w:val="002335A9"/>
    <w:rsid w:val="0023773D"/>
    <w:rsid w:val="0024402C"/>
    <w:rsid w:val="002527A0"/>
    <w:rsid w:val="00263C0D"/>
    <w:rsid w:val="00277380"/>
    <w:rsid w:val="00283460"/>
    <w:rsid w:val="0029074A"/>
    <w:rsid w:val="00290832"/>
    <w:rsid w:val="00290985"/>
    <w:rsid w:val="00290ABD"/>
    <w:rsid w:val="0029208D"/>
    <w:rsid w:val="002B4BAB"/>
    <w:rsid w:val="002C201A"/>
    <w:rsid w:val="002C32BD"/>
    <w:rsid w:val="002C41B4"/>
    <w:rsid w:val="002C5D3A"/>
    <w:rsid w:val="002C6F1D"/>
    <w:rsid w:val="002D0885"/>
    <w:rsid w:val="002D6BEC"/>
    <w:rsid w:val="002D6E22"/>
    <w:rsid w:val="002E6DFA"/>
    <w:rsid w:val="002F4A52"/>
    <w:rsid w:val="003005B0"/>
    <w:rsid w:val="00303FFE"/>
    <w:rsid w:val="00313036"/>
    <w:rsid w:val="00330916"/>
    <w:rsid w:val="0033525C"/>
    <w:rsid w:val="00337BE0"/>
    <w:rsid w:val="003424A1"/>
    <w:rsid w:val="00342851"/>
    <w:rsid w:val="00357A6E"/>
    <w:rsid w:val="00357D50"/>
    <w:rsid w:val="00370B9D"/>
    <w:rsid w:val="00374B84"/>
    <w:rsid w:val="003778A6"/>
    <w:rsid w:val="00386D95"/>
    <w:rsid w:val="003B4F4D"/>
    <w:rsid w:val="003C1D9A"/>
    <w:rsid w:val="003C3C51"/>
    <w:rsid w:val="003F1FAD"/>
    <w:rsid w:val="003F7279"/>
    <w:rsid w:val="00413B3F"/>
    <w:rsid w:val="004403D2"/>
    <w:rsid w:val="00443867"/>
    <w:rsid w:val="00445A6C"/>
    <w:rsid w:val="00466A93"/>
    <w:rsid w:val="004A2125"/>
    <w:rsid w:val="004A3359"/>
    <w:rsid w:val="004B2D48"/>
    <w:rsid w:val="004C308A"/>
    <w:rsid w:val="004C399D"/>
    <w:rsid w:val="00520DE2"/>
    <w:rsid w:val="00522BDD"/>
    <w:rsid w:val="00526EA5"/>
    <w:rsid w:val="005273F2"/>
    <w:rsid w:val="00534CCC"/>
    <w:rsid w:val="005549B2"/>
    <w:rsid w:val="005623AE"/>
    <w:rsid w:val="00594D00"/>
    <w:rsid w:val="00597A8E"/>
    <w:rsid w:val="005A25E6"/>
    <w:rsid w:val="005A3FFD"/>
    <w:rsid w:val="005A6915"/>
    <w:rsid w:val="005D48B6"/>
    <w:rsid w:val="005F709F"/>
    <w:rsid w:val="005F767C"/>
    <w:rsid w:val="005F790A"/>
    <w:rsid w:val="00600901"/>
    <w:rsid w:val="00601A53"/>
    <w:rsid w:val="00611A6C"/>
    <w:rsid w:val="006209CE"/>
    <w:rsid w:val="00622383"/>
    <w:rsid w:val="00627B91"/>
    <w:rsid w:val="00632034"/>
    <w:rsid w:val="00634CE2"/>
    <w:rsid w:val="00641967"/>
    <w:rsid w:val="0066599D"/>
    <w:rsid w:val="00677115"/>
    <w:rsid w:val="0069378C"/>
    <w:rsid w:val="006A1E26"/>
    <w:rsid w:val="006A24DB"/>
    <w:rsid w:val="006A692E"/>
    <w:rsid w:val="006B2AB5"/>
    <w:rsid w:val="006B76F1"/>
    <w:rsid w:val="006C121E"/>
    <w:rsid w:val="006C54A2"/>
    <w:rsid w:val="006D284E"/>
    <w:rsid w:val="006E025D"/>
    <w:rsid w:val="006F448C"/>
    <w:rsid w:val="00734289"/>
    <w:rsid w:val="00762E5F"/>
    <w:rsid w:val="00773514"/>
    <w:rsid w:val="00780E87"/>
    <w:rsid w:val="0079136E"/>
    <w:rsid w:val="00795E2F"/>
    <w:rsid w:val="007A2642"/>
    <w:rsid w:val="007A5917"/>
    <w:rsid w:val="007B78DD"/>
    <w:rsid w:val="007D36AD"/>
    <w:rsid w:val="007F0F81"/>
    <w:rsid w:val="007F3300"/>
    <w:rsid w:val="007F3357"/>
    <w:rsid w:val="00817630"/>
    <w:rsid w:val="00817E9E"/>
    <w:rsid w:val="00836A1B"/>
    <w:rsid w:val="008374F4"/>
    <w:rsid w:val="008555B0"/>
    <w:rsid w:val="0085592C"/>
    <w:rsid w:val="00873FEC"/>
    <w:rsid w:val="00876AF8"/>
    <w:rsid w:val="00897495"/>
    <w:rsid w:val="008A01AD"/>
    <w:rsid w:val="008A1500"/>
    <w:rsid w:val="008A42E1"/>
    <w:rsid w:val="008A50BD"/>
    <w:rsid w:val="008B7317"/>
    <w:rsid w:val="008B7487"/>
    <w:rsid w:val="008D0CE8"/>
    <w:rsid w:val="008E7879"/>
    <w:rsid w:val="008F14EF"/>
    <w:rsid w:val="00924798"/>
    <w:rsid w:val="0092774C"/>
    <w:rsid w:val="00927BBD"/>
    <w:rsid w:val="00934995"/>
    <w:rsid w:val="00967B0C"/>
    <w:rsid w:val="009A0442"/>
    <w:rsid w:val="009A054B"/>
    <w:rsid w:val="009A10A8"/>
    <w:rsid w:val="009A50D4"/>
    <w:rsid w:val="009A6300"/>
    <w:rsid w:val="009B252C"/>
    <w:rsid w:val="009C10DB"/>
    <w:rsid w:val="009C1E8C"/>
    <w:rsid w:val="009D09DD"/>
    <w:rsid w:val="009D1F1E"/>
    <w:rsid w:val="009D745B"/>
    <w:rsid w:val="009D7952"/>
    <w:rsid w:val="009E6378"/>
    <w:rsid w:val="00A022DC"/>
    <w:rsid w:val="00A06824"/>
    <w:rsid w:val="00A079CC"/>
    <w:rsid w:val="00A07E41"/>
    <w:rsid w:val="00A116D1"/>
    <w:rsid w:val="00A133BD"/>
    <w:rsid w:val="00A323A2"/>
    <w:rsid w:val="00A52535"/>
    <w:rsid w:val="00A56109"/>
    <w:rsid w:val="00A707D2"/>
    <w:rsid w:val="00A866AC"/>
    <w:rsid w:val="00A9165D"/>
    <w:rsid w:val="00AA028C"/>
    <w:rsid w:val="00AA51AF"/>
    <w:rsid w:val="00AB4279"/>
    <w:rsid w:val="00AC5B69"/>
    <w:rsid w:val="00AC70C5"/>
    <w:rsid w:val="00AE350B"/>
    <w:rsid w:val="00AF2B8A"/>
    <w:rsid w:val="00B11829"/>
    <w:rsid w:val="00B16E66"/>
    <w:rsid w:val="00B16F87"/>
    <w:rsid w:val="00B220AC"/>
    <w:rsid w:val="00B22D5C"/>
    <w:rsid w:val="00B23ADD"/>
    <w:rsid w:val="00B245F7"/>
    <w:rsid w:val="00B42751"/>
    <w:rsid w:val="00B42BDF"/>
    <w:rsid w:val="00B50E80"/>
    <w:rsid w:val="00B5376E"/>
    <w:rsid w:val="00B53EA9"/>
    <w:rsid w:val="00B5607C"/>
    <w:rsid w:val="00B57D96"/>
    <w:rsid w:val="00B66D66"/>
    <w:rsid w:val="00B838D9"/>
    <w:rsid w:val="00B95287"/>
    <w:rsid w:val="00BB1D61"/>
    <w:rsid w:val="00BC673A"/>
    <w:rsid w:val="00BD44D8"/>
    <w:rsid w:val="00BE3101"/>
    <w:rsid w:val="00C065F5"/>
    <w:rsid w:val="00C23095"/>
    <w:rsid w:val="00C53612"/>
    <w:rsid w:val="00C56410"/>
    <w:rsid w:val="00C7302A"/>
    <w:rsid w:val="00C76F91"/>
    <w:rsid w:val="00C772EE"/>
    <w:rsid w:val="00C77EB6"/>
    <w:rsid w:val="00C868AD"/>
    <w:rsid w:val="00CA4624"/>
    <w:rsid w:val="00CA5CA0"/>
    <w:rsid w:val="00CD473D"/>
    <w:rsid w:val="00CE3BC2"/>
    <w:rsid w:val="00CF0FFE"/>
    <w:rsid w:val="00CF10B6"/>
    <w:rsid w:val="00CF6DDC"/>
    <w:rsid w:val="00D137F4"/>
    <w:rsid w:val="00D216CD"/>
    <w:rsid w:val="00D21F94"/>
    <w:rsid w:val="00D21FD8"/>
    <w:rsid w:val="00D23430"/>
    <w:rsid w:val="00D32CB0"/>
    <w:rsid w:val="00D5694A"/>
    <w:rsid w:val="00D65D68"/>
    <w:rsid w:val="00D66899"/>
    <w:rsid w:val="00D7407F"/>
    <w:rsid w:val="00D866C3"/>
    <w:rsid w:val="00D96EB4"/>
    <w:rsid w:val="00D97AFD"/>
    <w:rsid w:val="00DB2CFE"/>
    <w:rsid w:val="00DC6F97"/>
    <w:rsid w:val="00DD5E16"/>
    <w:rsid w:val="00DD726D"/>
    <w:rsid w:val="00DE65FA"/>
    <w:rsid w:val="00DE72DD"/>
    <w:rsid w:val="00DF1326"/>
    <w:rsid w:val="00DF3296"/>
    <w:rsid w:val="00E21ED8"/>
    <w:rsid w:val="00E25CB1"/>
    <w:rsid w:val="00E300E5"/>
    <w:rsid w:val="00E37974"/>
    <w:rsid w:val="00E37DCF"/>
    <w:rsid w:val="00E54D3B"/>
    <w:rsid w:val="00E729CE"/>
    <w:rsid w:val="00E72DCA"/>
    <w:rsid w:val="00E80934"/>
    <w:rsid w:val="00EA4B74"/>
    <w:rsid w:val="00EA6A1F"/>
    <w:rsid w:val="00EB1328"/>
    <w:rsid w:val="00EB21E0"/>
    <w:rsid w:val="00EC3274"/>
    <w:rsid w:val="00EC600A"/>
    <w:rsid w:val="00EC7B58"/>
    <w:rsid w:val="00ED575F"/>
    <w:rsid w:val="00EE2657"/>
    <w:rsid w:val="00F01BBD"/>
    <w:rsid w:val="00F128F3"/>
    <w:rsid w:val="00F159BE"/>
    <w:rsid w:val="00F2298D"/>
    <w:rsid w:val="00F34CB4"/>
    <w:rsid w:val="00F444CF"/>
    <w:rsid w:val="00F61990"/>
    <w:rsid w:val="00F80674"/>
    <w:rsid w:val="00F82116"/>
    <w:rsid w:val="00F946CA"/>
    <w:rsid w:val="00FA7FFC"/>
    <w:rsid w:val="00FB0AF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410CB06C-93E0-4348-8452-F2865ADF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01"/>
    <w:pPr>
      <w:widowControl w:val="0"/>
      <w:spacing w:after="0" w:line="240" w:lineRule="auto"/>
    </w:pPr>
    <w:rPr>
      <w:rFonts w:ascii="Times New Roman" w:eastAsia="Times New Roman" w:hAnsi="Times New Roman" w:cs="Times New Roman"/>
      <w:kern w:val="28"/>
      <w:szCs w:val="20"/>
    </w:rPr>
  </w:style>
  <w:style w:type="paragraph" w:styleId="Heading1">
    <w:name w:val="heading 1"/>
    <w:basedOn w:val="Normal"/>
    <w:next w:val="Paranum"/>
    <w:link w:val="Heading1Char"/>
    <w:qFormat/>
    <w:rsid w:val="00BE3101"/>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C5DCE"/>
    <w:pPr>
      <w:keepNext/>
      <w:numPr>
        <w:ilvl w:val="1"/>
        <w:numId w:val="1"/>
      </w:numPr>
      <w:spacing w:after="120"/>
      <w:ind w:left="2160"/>
      <w:outlineLvl w:val="1"/>
    </w:pPr>
    <w:rPr>
      <w:b/>
      <w:bCs/>
    </w:rPr>
  </w:style>
  <w:style w:type="paragraph" w:styleId="Heading3">
    <w:name w:val="heading 3"/>
    <w:basedOn w:val="Normal"/>
    <w:next w:val="Paranum"/>
    <w:link w:val="Heading3Char"/>
    <w:qFormat/>
    <w:rsid w:val="00BE3101"/>
    <w:pPr>
      <w:keepNext/>
      <w:numPr>
        <w:ilvl w:val="2"/>
        <w:numId w:val="1"/>
      </w:numPr>
      <w:spacing w:after="120"/>
      <w:outlineLvl w:val="2"/>
    </w:pPr>
    <w:rPr>
      <w:b/>
    </w:rPr>
  </w:style>
  <w:style w:type="paragraph" w:styleId="Heading4">
    <w:name w:val="heading 4"/>
    <w:basedOn w:val="Normal"/>
    <w:next w:val="Paranum"/>
    <w:link w:val="Heading4Char"/>
    <w:qFormat/>
    <w:rsid w:val="00BE3101"/>
    <w:pPr>
      <w:keepNext/>
      <w:numPr>
        <w:ilvl w:val="3"/>
        <w:numId w:val="1"/>
      </w:numPr>
      <w:spacing w:after="120"/>
      <w:outlineLvl w:val="3"/>
    </w:pPr>
    <w:rPr>
      <w:b/>
    </w:rPr>
  </w:style>
  <w:style w:type="paragraph" w:styleId="Heading5">
    <w:name w:val="heading 5"/>
    <w:basedOn w:val="Normal"/>
    <w:next w:val="Paranum"/>
    <w:link w:val="Heading5Char"/>
    <w:qFormat/>
    <w:rsid w:val="00BE3101"/>
    <w:pPr>
      <w:keepNext/>
      <w:numPr>
        <w:ilvl w:val="4"/>
        <w:numId w:val="1"/>
      </w:numPr>
      <w:suppressAutoHyphens/>
      <w:spacing w:after="120"/>
      <w:outlineLvl w:val="4"/>
    </w:pPr>
    <w:rPr>
      <w:b/>
    </w:rPr>
  </w:style>
  <w:style w:type="paragraph" w:styleId="Heading6">
    <w:name w:val="heading 6"/>
    <w:basedOn w:val="Normal"/>
    <w:next w:val="Paranum"/>
    <w:link w:val="Heading6Char"/>
    <w:qFormat/>
    <w:rsid w:val="00BE3101"/>
    <w:pPr>
      <w:numPr>
        <w:ilvl w:val="5"/>
        <w:numId w:val="1"/>
      </w:numPr>
      <w:spacing w:after="120"/>
      <w:outlineLvl w:val="5"/>
    </w:pPr>
    <w:rPr>
      <w:b/>
    </w:rPr>
  </w:style>
  <w:style w:type="paragraph" w:styleId="Heading7">
    <w:name w:val="heading 7"/>
    <w:basedOn w:val="Normal"/>
    <w:next w:val="Paranum"/>
    <w:link w:val="Heading7Char"/>
    <w:qFormat/>
    <w:rsid w:val="00BE3101"/>
    <w:pPr>
      <w:numPr>
        <w:ilvl w:val="6"/>
        <w:numId w:val="1"/>
      </w:numPr>
      <w:spacing w:after="120"/>
      <w:outlineLvl w:val="6"/>
    </w:pPr>
    <w:rPr>
      <w:b/>
    </w:rPr>
  </w:style>
  <w:style w:type="paragraph" w:styleId="Heading8">
    <w:name w:val="heading 8"/>
    <w:basedOn w:val="Normal"/>
    <w:next w:val="Paranum"/>
    <w:link w:val="Heading8Char"/>
    <w:qFormat/>
    <w:rsid w:val="00BE3101"/>
    <w:pPr>
      <w:numPr>
        <w:ilvl w:val="7"/>
        <w:numId w:val="1"/>
      </w:numPr>
      <w:tabs>
        <w:tab w:val="left" w:pos="5760"/>
      </w:tabs>
      <w:spacing w:after="120"/>
      <w:outlineLvl w:val="7"/>
    </w:pPr>
    <w:rPr>
      <w:b/>
    </w:rPr>
  </w:style>
  <w:style w:type="paragraph" w:styleId="Heading9">
    <w:name w:val="heading 9"/>
    <w:basedOn w:val="Normal"/>
    <w:next w:val="Paranum"/>
    <w:link w:val="Heading9Char"/>
    <w:qFormat/>
    <w:rsid w:val="00BE3101"/>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101"/>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EC5DCE"/>
    <w:rPr>
      <w:rFonts w:ascii="Times New Roman" w:eastAsia="Times New Roman" w:hAnsi="Times New Roman" w:cs="Times New Roman"/>
      <w:b/>
      <w:bCs/>
      <w:kern w:val="28"/>
      <w:szCs w:val="20"/>
    </w:rPr>
  </w:style>
  <w:style w:type="character" w:customStyle="1" w:styleId="Heading3Char">
    <w:name w:val="Heading 3 Char"/>
    <w:basedOn w:val="DefaultParagraphFont"/>
    <w:link w:val="Heading3"/>
    <w:rsid w:val="00BE3101"/>
    <w:rPr>
      <w:rFonts w:ascii="Times New Roman" w:eastAsia="Times New Roman" w:hAnsi="Times New Roman" w:cs="Times New Roman"/>
      <w:b/>
      <w:kern w:val="28"/>
      <w:szCs w:val="20"/>
    </w:rPr>
  </w:style>
  <w:style w:type="character" w:customStyle="1" w:styleId="Heading4Char">
    <w:name w:val="Heading 4 Char"/>
    <w:basedOn w:val="DefaultParagraphFont"/>
    <w:link w:val="Heading4"/>
    <w:rsid w:val="00BE3101"/>
    <w:rPr>
      <w:rFonts w:ascii="Times New Roman" w:eastAsia="Times New Roman" w:hAnsi="Times New Roman" w:cs="Times New Roman"/>
      <w:b/>
      <w:kern w:val="28"/>
      <w:szCs w:val="20"/>
    </w:rPr>
  </w:style>
  <w:style w:type="character" w:customStyle="1" w:styleId="Heading5Char">
    <w:name w:val="Heading 5 Char"/>
    <w:basedOn w:val="DefaultParagraphFont"/>
    <w:link w:val="Heading5"/>
    <w:rsid w:val="00BE3101"/>
    <w:rPr>
      <w:rFonts w:ascii="Times New Roman" w:eastAsia="Times New Roman" w:hAnsi="Times New Roman" w:cs="Times New Roman"/>
      <w:b/>
      <w:kern w:val="28"/>
      <w:szCs w:val="20"/>
    </w:rPr>
  </w:style>
  <w:style w:type="character" w:customStyle="1" w:styleId="Heading6Char">
    <w:name w:val="Heading 6 Char"/>
    <w:basedOn w:val="DefaultParagraphFont"/>
    <w:link w:val="Heading6"/>
    <w:rsid w:val="00BE3101"/>
    <w:rPr>
      <w:rFonts w:ascii="Times New Roman" w:eastAsia="Times New Roman" w:hAnsi="Times New Roman" w:cs="Times New Roman"/>
      <w:b/>
      <w:kern w:val="28"/>
      <w:szCs w:val="20"/>
    </w:rPr>
  </w:style>
  <w:style w:type="character" w:customStyle="1" w:styleId="Heading7Char">
    <w:name w:val="Heading 7 Char"/>
    <w:basedOn w:val="DefaultParagraphFont"/>
    <w:link w:val="Heading7"/>
    <w:rsid w:val="00BE3101"/>
    <w:rPr>
      <w:rFonts w:ascii="Times New Roman" w:eastAsia="Times New Roman" w:hAnsi="Times New Roman" w:cs="Times New Roman"/>
      <w:b/>
      <w:kern w:val="28"/>
      <w:szCs w:val="20"/>
    </w:rPr>
  </w:style>
  <w:style w:type="character" w:customStyle="1" w:styleId="Heading8Char">
    <w:name w:val="Heading 8 Char"/>
    <w:basedOn w:val="DefaultParagraphFont"/>
    <w:link w:val="Heading8"/>
    <w:rsid w:val="00BE3101"/>
    <w:rPr>
      <w:rFonts w:ascii="Times New Roman" w:eastAsia="Times New Roman" w:hAnsi="Times New Roman" w:cs="Times New Roman"/>
      <w:b/>
      <w:kern w:val="28"/>
      <w:szCs w:val="20"/>
    </w:rPr>
  </w:style>
  <w:style w:type="character" w:customStyle="1" w:styleId="Heading9Char">
    <w:name w:val="Heading 9 Char"/>
    <w:basedOn w:val="DefaultParagraphFont"/>
    <w:link w:val="Heading9"/>
    <w:rsid w:val="00BE3101"/>
    <w:rPr>
      <w:rFonts w:ascii="Times New Roman" w:eastAsia="Times New Roman" w:hAnsi="Times New Roman" w:cs="Times New Roman"/>
      <w:b/>
      <w:kern w:val="28"/>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BE3101"/>
    <w:rPr>
      <w:rFonts w:ascii="Times New Roman" w:hAnsi="Times New Roman" w:cs="Times New Roman"/>
      <w:color w:val="auto"/>
      <w:sz w:val="22"/>
      <w:vertAlign w:val="superscript"/>
    </w:rPr>
  </w:style>
  <w:style w:type="paragraph" w:styleId="FootnoteText">
    <w:name w:val="footnote text"/>
    <w:aliases w:val="Footnote Text Char Char,Footnote Text Char Char1 Char Char,Footnote Text Char1,Footnote Text Char1 Char Char,Footnote Text Char1 Char Char Char Char Char,Footnote Text Char2 Char Char,Footnote Text Char2 Char Char Char Char,f,fn"/>
    <w:basedOn w:val="Normal"/>
    <w:link w:val="FootnoteTextChar"/>
    <w:rsid w:val="00BE3101"/>
    <w:pPr>
      <w:widowControl/>
      <w:spacing w:after="120"/>
    </w:pPr>
    <w:rPr>
      <w:kern w:val="0"/>
      <w:sz w:val="20"/>
    </w:rPr>
  </w:style>
  <w:style w:type="character" w:customStyle="1" w:styleId="FootnoteTextChar">
    <w:name w:val="Footnote Text Char"/>
    <w:aliases w:val="Footnote Text Char Char Char,Footnote Text Char Char1 Char Char Char,Footnote Text Char1 Char,Footnote Text Char1 Char Char Char,Footnote Text Char1 Char Char Char Char Char Char,Footnote Text Char2 Char Char Char,f Char,fn Char"/>
    <w:basedOn w:val="DefaultParagraphFont"/>
    <w:link w:val="FootnoteText"/>
    <w:rsid w:val="00BE3101"/>
    <w:rPr>
      <w:rFonts w:ascii="Times New Roman" w:eastAsia="Times New Roman" w:hAnsi="Times New Roman" w:cs="Times New Roman"/>
      <w:sz w:val="20"/>
      <w:szCs w:val="20"/>
    </w:rPr>
  </w:style>
  <w:style w:type="paragraph" w:styleId="Header">
    <w:name w:val="header"/>
    <w:basedOn w:val="Normal"/>
    <w:link w:val="HeaderChar"/>
    <w:autoRedefine/>
    <w:rsid w:val="00BE3101"/>
    <w:pPr>
      <w:tabs>
        <w:tab w:val="center" w:pos="4680"/>
        <w:tab w:val="right" w:pos="9360"/>
      </w:tabs>
    </w:pPr>
    <w:rPr>
      <w:b/>
    </w:rPr>
  </w:style>
  <w:style w:type="character" w:customStyle="1" w:styleId="HeaderChar">
    <w:name w:val="Header Char"/>
    <w:basedOn w:val="DefaultParagraphFont"/>
    <w:link w:val="Header"/>
    <w:uiPriority w:val="99"/>
    <w:rsid w:val="00BE3101"/>
    <w:rPr>
      <w:rFonts w:ascii="Times New Roman" w:eastAsia="Times New Roman" w:hAnsi="Times New Roman" w:cs="Times New Roman"/>
      <w:b/>
      <w:kern w:val="28"/>
      <w:szCs w:val="20"/>
    </w:rPr>
  </w:style>
  <w:style w:type="paragraph" w:styleId="Footer">
    <w:name w:val="footer"/>
    <w:basedOn w:val="Normal"/>
    <w:link w:val="FooterChar"/>
    <w:uiPriority w:val="99"/>
    <w:rsid w:val="00BE3101"/>
    <w:pPr>
      <w:tabs>
        <w:tab w:val="center" w:pos="4320"/>
        <w:tab w:val="right" w:pos="8640"/>
      </w:tabs>
    </w:pPr>
  </w:style>
  <w:style w:type="character" w:customStyle="1" w:styleId="FooterChar">
    <w:name w:val="Footer Char"/>
    <w:basedOn w:val="DefaultParagraphFont"/>
    <w:link w:val="Footer"/>
    <w:uiPriority w:val="99"/>
    <w:rsid w:val="00BE3101"/>
    <w:rPr>
      <w:rFonts w:ascii="Times New Roman" w:eastAsia="Times New Roman" w:hAnsi="Times New Roman" w:cs="Times New Roman"/>
      <w:kern w:val="28"/>
      <w:szCs w:val="20"/>
    </w:rPr>
  </w:style>
  <w:style w:type="character" w:styleId="Hyperlink">
    <w:name w:val="Hyperlink"/>
    <w:basedOn w:val="DefaultParagraphFont"/>
    <w:rsid w:val="00BE3101"/>
    <w:rPr>
      <w:rFonts w:cs="Times New Roman"/>
      <w:color w:val="0000FF"/>
      <w:u w:val="single"/>
    </w:rPr>
  </w:style>
  <w:style w:type="paragraph" w:customStyle="1" w:styleId="Paranum">
    <w:name w:val="Paranum"/>
    <w:basedOn w:val="Normal"/>
    <w:autoRedefine/>
    <w:rsid w:val="00D65D68"/>
    <w:pPr>
      <w:widowControl/>
      <w:numPr>
        <w:numId w:val="3"/>
      </w:numPr>
      <w:spacing w:after="220"/>
      <w:contextualSpacing/>
    </w:pPr>
  </w:style>
  <w:style w:type="character" w:styleId="PageNumber">
    <w:name w:val="page number"/>
    <w:basedOn w:val="DefaultParagraphFont"/>
    <w:rsid w:val="00BE3101"/>
    <w:rPr>
      <w:rFonts w:cs="Times New Roman"/>
    </w:rPr>
  </w:style>
  <w:style w:type="paragraph" w:customStyle="1" w:styleId="Default">
    <w:name w:val="Default"/>
    <w:rsid w:val="00BE3101"/>
    <w:pPr>
      <w:autoSpaceDE w:val="0"/>
      <w:autoSpaceDN w:val="0"/>
      <w:adjustRightInd w:val="0"/>
      <w:spacing w:after="0" w:line="240" w:lineRule="auto"/>
    </w:pPr>
    <w:rPr>
      <w:rFonts w:ascii="Times New Roman" w:eastAsia="SimSun" w:hAnsi="Times New Roman" w:cs="Times New Roman"/>
      <w:color w:val="000000"/>
      <w:sz w:val="24"/>
      <w:szCs w:val="24"/>
      <w:lang w:eastAsia="ja-JP"/>
    </w:rPr>
  </w:style>
  <w:style w:type="paragraph" w:styleId="BodyText2">
    <w:name w:val="Body Text 2"/>
    <w:basedOn w:val="Normal"/>
    <w:link w:val="BodyText2Char"/>
    <w:rsid w:val="00BE3101"/>
    <w:pPr>
      <w:spacing w:after="120" w:line="480" w:lineRule="auto"/>
    </w:pPr>
  </w:style>
  <w:style w:type="character" w:customStyle="1" w:styleId="BodyText2Char">
    <w:name w:val="Body Text 2 Char"/>
    <w:basedOn w:val="DefaultParagraphFont"/>
    <w:link w:val="BodyText2"/>
    <w:rsid w:val="00BE3101"/>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BE3101"/>
    <w:rPr>
      <w:rFonts w:ascii="Tahoma" w:hAnsi="Tahoma" w:cs="Tahoma"/>
      <w:sz w:val="16"/>
      <w:szCs w:val="16"/>
    </w:rPr>
  </w:style>
  <w:style w:type="character" w:customStyle="1" w:styleId="BalloonTextChar">
    <w:name w:val="Balloon Text Char"/>
    <w:basedOn w:val="DefaultParagraphFont"/>
    <w:link w:val="BalloonText"/>
    <w:uiPriority w:val="99"/>
    <w:semiHidden/>
    <w:rsid w:val="00BE3101"/>
    <w:rPr>
      <w:rFonts w:ascii="Tahoma" w:eastAsia="Times New Roman" w:hAnsi="Tahoma" w:cs="Tahoma"/>
      <w:kern w:val="28"/>
      <w:sz w:val="16"/>
      <w:szCs w:val="16"/>
    </w:rPr>
  </w:style>
  <w:style w:type="character" w:customStyle="1" w:styleId="FootnoteTextChar2">
    <w:name w:val="Footnote Text Char2"/>
    <w:aliases w:val="Footnote Text Char Char Char Char,Footnote Text Char Char Char Char1 Char Char1 Char,Footnote Text Char1 Char Char1 Char Char1 Char,Footnote Text Char1 Char1,Footnote Text Char2 Char1 Char Char Char"/>
    <w:locked/>
    <w:rsid w:val="00BE3101"/>
    <w:rPr>
      <w:rFonts w:ascii="Times New Roman" w:eastAsia="Times New Roman" w:hAnsi="Times New Roman" w:cs="Times New Roman"/>
      <w:sz w:val="20"/>
      <w:szCs w:val="20"/>
    </w:rPr>
  </w:style>
  <w:style w:type="paragraph" w:customStyle="1" w:styleId="ParaNum0">
    <w:name w:val="ParaNum"/>
    <w:basedOn w:val="Normal"/>
    <w:link w:val="ParaNumChar1"/>
    <w:rsid w:val="00BE3101"/>
    <w:pPr>
      <w:numPr>
        <w:numId w:val="2"/>
      </w:numPr>
      <w:spacing w:after="120"/>
    </w:pPr>
    <w:rPr>
      <w:snapToGrid w:val="0"/>
    </w:rPr>
  </w:style>
  <w:style w:type="character" w:customStyle="1" w:styleId="ParaNumChar1">
    <w:name w:val="ParaNum Char1"/>
    <w:link w:val="ParaNum0"/>
    <w:locked/>
    <w:rsid w:val="00BE3101"/>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DF4FC7"/>
    <w:rPr>
      <w:sz w:val="16"/>
      <w:szCs w:val="16"/>
    </w:rPr>
  </w:style>
  <w:style w:type="paragraph" w:styleId="CommentText">
    <w:name w:val="annotation text"/>
    <w:basedOn w:val="Normal"/>
    <w:link w:val="CommentTextChar"/>
    <w:uiPriority w:val="99"/>
    <w:unhideWhenUsed/>
    <w:rsid w:val="00DF4FC7"/>
    <w:rPr>
      <w:sz w:val="20"/>
    </w:rPr>
  </w:style>
  <w:style w:type="character" w:customStyle="1" w:styleId="CommentTextChar">
    <w:name w:val="Comment Text Char"/>
    <w:basedOn w:val="DefaultParagraphFont"/>
    <w:link w:val="CommentText"/>
    <w:uiPriority w:val="99"/>
    <w:rsid w:val="00DF4FC7"/>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F4FC7"/>
    <w:rPr>
      <w:b/>
      <w:bCs/>
    </w:rPr>
  </w:style>
  <w:style w:type="character" w:customStyle="1" w:styleId="CommentSubjectChar">
    <w:name w:val="Comment Subject Char"/>
    <w:basedOn w:val="CommentTextChar"/>
    <w:link w:val="CommentSubject"/>
    <w:uiPriority w:val="99"/>
    <w:semiHidden/>
    <w:rsid w:val="00DF4FC7"/>
    <w:rPr>
      <w:rFonts w:ascii="Times New Roman" w:eastAsia="Times New Roman" w:hAnsi="Times New Roman" w:cs="Times New Roman"/>
      <w:b/>
      <w:bCs/>
      <w:kern w:val="28"/>
      <w:sz w:val="20"/>
      <w:szCs w:val="20"/>
    </w:rPr>
  </w:style>
  <w:style w:type="paragraph" w:styleId="Revision">
    <w:name w:val="Revision"/>
    <w:hidden/>
    <w:uiPriority w:val="99"/>
    <w:semiHidden/>
    <w:rsid w:val="00C0789A"/>
    <w:pPr>
      <w:spacing w:after="0" w:line="240" w:lineRule="auto"/>
    </w:pPr>
    <w:rPr>
      <w:rFonts w:ascii="Times New Roman" w:eastAsia="Times New Roman" w:hAnsi="Times New Roman" w:cs="Times New Roman"/>
      <w:kern w:val="28"/>
      <w:szCs w:val="20"/>
    </w:rPr>
  </w:style>
  <w:style w:type="paragraph" w:styleId="EndnoteText">
    <w:name w:val="endnote text"/>
    <w:basedOn w:val="Normal"/>
    <w:link w:val="EndnoteTextChar"/>
    <w:uiPriority w:val="99"/>
    <w:semiHidden/>
    <w:unhideWhenUsed/>
    <w:rsid w:val="001247AC"/>
    <w:rPr>
      <w:sz w:val="20"/>
    </w:rPr>
  </w:style>
  <w:style w:type="character" w:customStyle="1" w:styleId="EndnoteTextChar">
    <w:name w:val="Endnote Text Char"/>
    <w:basedOn w:val="DefaultParagraphFont"/>
    <w:link w:val="EndnoteText"/>
    <w:uiPriority w:val="99"/>
    <w:semiHidden/>
    <w:rsid w:val="001247AC"/>
    <w:rPr>
      <w:rFonts w:ascii="Times New Roman" w:eastAsia="Times New Roman" w:hAnsi="Times New Roman" w:cs="Times New Roman"/>
      <w:kern w:val="28"/>
      <w:sz w:val="20"/>
      <w:szCs w:val="20"/>
    </w:rPr>
  </w:style>
  <w:style w:type="character" w:styleId="EndnoteReference">
    <w:name w:val="endnote reference"/>
    <w:basedOn w:val="DefaultParagraphFont"/>
    <w:uiPriority w:val="99"/>
    <w:semiHidden/>
    <w:unhideWhenUsed/>
    <w:rsid w:val="001247AC"/>
    <w:rPr>
      <w:vertAlign w:val="superscript"/>
    </w:rPr>
  </w:style>
  <w:style w:type="character" w:styleId="FollowedHyperlink">
    <w:name w:val="FollowedHyperlink"/>
    <w:basedOn w:val="DefaultParagraphFont"/>
    <w:uiPriority w:val="99"/>
    <w:semiHidden/>
    <w:unhideWhenUsed/>
    <w:rsid w:val="00D82E46"/>
    <w:rPr>
      <w:color w:val="800080" w:themeColor="followedHyperlink"/>
      <w:u w:val="single"/>
    </w:rPr>
  </w:style>
  <w:style w:type="paragraph" w:styleId="TOC6">
    <w:name w:val="toc 6"/>
    <w:basedOn w:val="Normal"/>
    <w:next w:val="Normal"/>
    <w:autoRedefine/>
    <w:semiHidden/>
    <w:rsid w:val="006D1225"/>
    <w:pPr>
      <w:tabs>
        <w:tab w:val="left" w:pos="2160"/>
        <w:tab w:val="right" w:leader="dot" w:pos="9360"/>
      </w:tabs>
      <w:suppressAutoHyphens/>
      <w:ind w:left="2160" w:hanging="360"/>
    </w:pPr>
    <w:rPr>
      <w:noProof/>
      <w:snapToGrid w:val="0"/>
    </w:rPr>
  </w:style>
  <w:style w:type="paragraph" w:styleId="ListParagraph">
    <w:name w:val="List Paragraph"/>
    <w:basedOn w:val="Normal"/>
    <w:uiPriority w:val="34"/>
    <w:qFormat/>
    <w:rsid w:val="00D137F4"/>
    <w:pPr>
      <w:ind w:left="720"/>
      <w:contextualSpacing/>
    </w:pPr>
    <w:rPr>
      <w:snapToGrid w:val="0"/>
    </w:rPr>
  </w:style>
  <w:style w:type="character" w:styleId="Emphasis">
    <w:name w:val="Emphasis"/>
    <w:basedOn w:val="DefaultParagraphFont"/>
    <w:uiPriority w:val="20"/>
    <w:qFormat/>
    <w:rsid w:val="00D137F4"/>
    <w:rPr>
      <w:i/>
      <w:iCs/>
    </w:rPr>
  </w:style>
  <w:style w:type="character" w:customStyle="1" w:styleId="UnresolvedMention">
    <w:name w:val="Unresolved Mention"/>
    <w:basedOn w:val="DefaultParagraphFont"/>
    <w:uiPriority w:val="99"/>
    <w:rsid w:val="00D96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Catherine.Matraves@fcc.gov" TargetMode="External" /><Relationship Id="rId8" Type="http://schemas.openxmlformats.org/officeDocument/2006/relationships/hyperlink" Target="mailto:Judith.Dempsey@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ommunications-marketplace-report-updat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