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BF2F4A" w14:paraId="2670B355" w14:textId="77777777">
      <w:pPr>
        <w:pStyle w:val="Title"/>
        <w:rPr>
          <w:szCs w:val="22"/>
        </w:rPr>
      </w:pPr>
      <w:r w:rsidRPr="006D5400">
        <w:rPr>
          <w:szCs w:val="22"/>
        </w:rPr>
        <w:t>Before the</w:t>
      </w:r>
      <w:bookmarkStart w:id="0" w:name="_GoBack"/>
      <w:bookmarkEnd w:id="0"/>
    </w:p>
    <w:p w:rsidR="00313EF3" w:rsidRPr="006D5400" w14:paraId="4C9C958D" w14:textId="77777777">
      <w:pPr>
        <w:pStyle w:val="Subtitle"/>
        <w:ind w:firstLine="0"/>
        <w:rPr>
          <w:szCs w:val="22"/>
        </w:rPr>
      </w:pPr>
      <w:r w:rsidRPr="006D5400">
        <w:rPr>
          <w:szCs w:val="22"/>
        </w:rPr>
        <w:t>Federal Communications Commission</w:t>
      </w:r>
    </w:p>
    <w:p w:rsidR="00313EF3" w:rsidRPr="00524588" w:rsidP="00524588" w14:paraId="2E221B9D" w14:textId="77777777">
      <w:pPr>
        <w:jc w:val="center"/>
        <w:rPr>
          <w:b/>
          <w:szCs w:val="22"/>
        </w:rPr>
      </w:pPr>
      <w:r w:rsidRPr="006D5400">
        <w:rPr>
          <w:b/>
          <w:szCs w:val="22"/>
        </w:rPr>
        <w:t>Washington, D.C. 20554</w:t>
      </w:r>
    </w:p>
    <w:p w:rsidR="00313EF3" w:rsidRPr="006D5400" w14:paraId="6D8A2442"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01D91BD" w14:textId="77777777" w:rsidTr="00DE1F08">
        <w:tblPrEx>
          <w:tblW w:w="0" w:type="auto"/>
          <w:tblLayout w:type="fixed"/>
          <w:tblLook w:val="0000"/>
        </w:tblPrEx>
        <w:tc>
          <w:tcPr>
            <w:tcW w:w="4698" w:type="dxa"/>
          </w:tcPr>
          <w:p w:rsidR="00313EF3" w:rsidRPr="006D5400" w14:paraId="679DEA17"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302A66C6" w14:textId="77777777">
            <w:pPr>
              <w:tabs>
                <w:tab w:val="center" w:pos="4680"/>
              </w:tabs>
              <w:suppressAutoHyphens/>
              <w:rPr>
                <w:spacing w:val="-2"/>
                <w:szCs w:val="22"/>
              </w:rPr>
            </w:pPr>
          </w:p>
          <w:p w:rsidR="00422B9B" w:rsidRPr="006D5400" w:rsidP="00422B9B" w14:paraId="65B57B6A" w14:textId="77777777">
            <w:pPr>
              <w:tabs>
                <w:tab w:val="center" w:pos="4680"/>
              </w:tabs>
              <w:suppressAutoHyphens/>
              <w:rPr>
                <w:szCs w:val="22"/>
              </w:rPr>
            </w:pPr>
            <w:r>
              <w:rPr>
                <w:szCs w:val="22"/>
              </w:rPr>
              <w:t>Telplex</w:t>
            </w:r>
            <w:r>
              <w:rPr>
                <w:szCs w:val="22"/>
              </w:rPr>
              <w:t xml:space="preserve"> Communications</w:t>
            </w:r>
          </w:p>
          <w:p w:rsidR="001C67AE" w:rsidRPr="006D5400" w:rsidP="00422B9B" w14:paraId="7E4C8844" w14:textId="77777777">
            <w:pPr>
              <w:tabs>
                <w:tab w:val="center" w:pos="4680"/>
              </w:tabs>
              <w:suppressAutoHyphens/>
              <w:rPr>
                <w:szCs w:val="22"/>
              </w:rPr>
            </w:pPr>
          </w:p>
          <w:p w:rsidR="00313EF3" w:rsidRPr="006D5400" w14:paraId="59149515" w14:textId="77777777">
            <w:pPr>
              <w:pStyle w:val="TOAHeading"/>
              <w:tabs>
                <w:tab w:val="center" w:pos="4680"/>
                <w:tab w:val="clear" w:pos="9360"/>
              </w:tabs>
              <w:rPr>
                <w:szCs w:val="22"/>
              </w:rPr>
            </w:pPr>
            <w:r w:rsidRPr="006D5400">
              <w:rPr>
                <w:szCs w:val="22"/>
              </w:rPr>
              <w:t xml:space="preserve">Complaint Regarding </w:t>
            </w:r>
          </w:p>
          <w:p w:rsidR="00313EF3" w:rsidRPr="006D5400" w14:paraId="05A8348D" w14:textId="77777777">
            <w:pPr>
              <w:pStyle w:val="TOAHeading"/>
              <w:tabs>
                <w:tab w:val="center" w:pos="4680"/>
                <w:tab w:val="clear" w:pos="9360"/>
              </w:tabs>
              <w:rPr>
                <w:szCs w:val="22"/>
              </w:rPr>
            </w:pPr>
            <w:r w:rsidRPr="006D5400">
              <w:rPr>
                <w:szCs w:val="22"/>
              </w:rPr>
              <w:t>Unauthorized Change of</w:t>
            </w:r>
          </w:p>
          <w:p w:rsidR="00313EF3" w:rsidRPr="006D5400" w14:paraId="20F4CA9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6A0D7DCA" w14:textId="77777777">
            <w:pPr>
              <w:tabs>
                <w:tab w:val="center" w:pos="4680"/>
              </w:tabs>
              <w:suppressAutoHyphens/>
              <w:rPr>
                <w:b/>
                <w:spacing w:val="-2"/>
                <w:szCs w:val="22"/>
              </w:rPr>
            </w:pPr>
            <w:r w:rsidRPr="006D5400">
              <w:rPr>
                <w:b/>
                <w:spacing w:val="-2"/>
                <w:szCs w:val="22"/>
              </w:rPr>
              <w:t>)</w:t>
            </w:r>
          </w:p>
          <w:p w:rsidR="00313EF3" w:rsidRPr="006D5400" w14:paraId="229F944A" w14:textId="77777777">
            <w:pPr>
              <w:tabs>
                <w:tab w:val="center" w:pos="4680"/>
              </w:tabs>
              <w:suppressAutoHyphens/>
              <w:rPr>
                <w:b/>
                <w:spacing w:val="-2"/>
                <w:szCs w:val="22"/>
              </w:rPr>
            </w:pPr>
            <w:r w:rsidRPr="006D5400">
              <w:rPr>
                <w:b/>
                <w:spacing w:val="-2"/>
                <w:szCs w:val="22"/>
              </w:rPr>
              <w:t>)</w:t>
            </w:r>
          </w:p>
          <w:p w:rsidR="00313EF3" w:rsidRPr="006D5400" w14:paraId="5F088F8E" w14:textId="77777777">
            <w:pPr>
              <w:tabs>
                <w:tab w:val="center" w:pos="4680"/>
              </w:tabs>
              <w:suppressAutoHyphens/>
              <w:rPr>
                <w:b/>
                <w:spacing w:val="-2"/>
                <w:szCs w:val="22"/>
              </w:rPr>
            </w:pPr>
            <w:r w:rsidRPr="006D5400">
              <w:rPr>
                <w:b/>
                <w:spacing w:val="-2"/>
                <w:szCs w:val="22"/>
              </w:rPr>
              <w:t>)</w:t>
            </w:r>
          </w:p>
          <w:p w:rsidR="00313EF3" w:rsidRPr="006D5400" w14:paraId="66782F06" w14:textId="77777777">
            <w:pPr>
              <w:tabs>
                <w:tab w:val="center" w:pos="4680"/>
              </w:tabs>
              <w:suppressAutoHyphens/>
              <w:rPr>
                <w:b/>
                <w:spacing w:val="-2"/>
                <w:szCs w:val="22"/>
              </w:rPr>
            </w:pPr>
            <w:r w:rsidRPr="006D5400">
              <w:rPr>
                <w:b/>
                <w:spacing w:val="-2"/>
                <w:szCs w:val="22"/>
              </w:rPr>
              <w:t>)</w:t>
            </w:r>
          </w:p>
          <w:p w:rsidR="00313EF3" w:rsidRPr="006D5400" w14:paraId="2BB0DD5C" w14:textId="77777777">
            <w:pPr>
              <w:tabs>
                <w:tab w:val="center" w:pos="4680"/>
              </w:tabs>
              <w:suppressAutoHyphens/>
              <w:rPr>
                <w:b/>
                <w:spacing w:val="-2"/>
                <w:szCs w:val="22"/>
              </w:rPr>
            </w:pPr>
            <w:r w:rsidRPr="006D5400">
              <w:rPr>
                <w:b/>
                <w:spacing w:val="-2"/>
                <w:szCs w:val="22"/>
              </w:rPr>
              <w:t>)</w:t>
            </w:r>
          </w:p>
          <w:p w:rsidR="00313EF3" w:rsidRPr="006D5400" w14:paraId="3B28E6A4" w14:textId="77777777">
            <w:pPr>
              <w:tabs>
                <w:tab w:val="center" w:pos="4680"/>
              </w:tabs>
              <w:suppressAutoHyphens/>
              <w:rPr>
                <w:b/>
                <w:spacing w:val="-2"/>
                <w:szCs w:val="22"/>
              </w:rPr>
            </w:pPr>
            <w:r w:rsidRPr="006D5400">
              <w:rPr>
                <w:b/>
                <w:spacing w:val="-2"/>
                <w:szCs w:val="22"/>
              </w:rPr>
              <w:t>)</w:t>
            </w:r>
          </w:p>
          <w:p w:rsidR="00313EF3" w:rsidRPr="006D5400" w14:paraId="2B2501B6" w14:textId="77777777">
            <w:pPr>
              <w:tabs>
                <w:tab w:val="center" w:pos="4680"/>
              </w:tabs>
              <w:suppressAutoHyphens/>
              <w:rPr>
                <w:b/>
                <w:spacing w:val="-2"/>
                <w:szCs w:val="22"/>
              </w:rPr>
            </w:pPr>
            <w:r w:rsidRPr="006D5400">
              <w:rPr>
                <w:b/>
                <w:spacing w:val="-2"/>
                <w:szCs w:val="22"/>
              </w:rPr>
              <w:t>)</w:t>
            </w:r>
          </w:p>
          <w:p w:rsidR="00DE1F08" w:rsidRPr="006D5400" w14:paraId="45BF7EAE" w14:textId="77777777">
            <w:pPr>
              <w:tabs>
                <w:tab w:val="center" w:pos="4680"/>
              </w:tabs>
              <w:suppressAutoHyphens/>
              <w:rPr>
                <w:b/>
                <w:spacing w:val="-2"/>
                <w:szCs w:val="22"/>
              </w:rPr>
            </w:pPr>
          </w:p>
          <w:p w:rsidR="00E84E6A" w:rsidRPr="006D5400" w14:paraId="5E6BB1B3" w14:textId="77777777">
            <w:pPr>
              <w:tabs>
                <w:tab w:val="center" w:pos="4680"/>
              </w:tabs>
              <w:suppressAutoHyphens/>
              <w:rPr>
                <w:b/>
                <w:spacing w:val="-2"/>
                <w:szCs w:val="22"/>
              </w:rPr>
            </w:pPr>
          </w:p>
        </w:tc>
        <w:tc>
          <w:tcPr>
            <w:tcW w:w="4248" w:type="dxa"/>
          </w:tcPr>
          <w:p w:rsidR="00313EF3" w:rsidRPr="006D5400" w14:paraId="648D0DB8" w14:textId="77777777">
            <w:pPr>
              <w:tabs>
                <w:tab w:val="center" w:pos="4680"/>
              </w:tabs>
              <w:suppressAutoHyphens/>
              <w:rPr>
                <w:spacing w:val="-2"/>
                <w:szCs w:val="22"/>
              </w:rPr>
            </w:pPr>
          </w:p>
          <w:p w:rsidR="00313EF3" w:rsidRPr="006D5400" w14:paraId="1254490D" w14:textId="77777777">
            <w:pPr>
              <w:tabs>
                <w:tab w:val="center" w:pos="4680"/>
              </w:tabs>
              <w:suppressAutoHyphens/>
              <w:rPr>
                <w:spacing w:val="-2"/>
                <w:szCs w:val="22"/>
              </w:rPr>
            </w:pPr>
          </w:p>
          <w:p w:rsidR="00697A80" w:rsidRPr="006D5400" w:rsidP="00C81A17" w14:paraId="46833F34" w14:textId="7777777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w:t>
            </w:r>
            <w:r w:rsidR="00DD34BB">
              <w:rPr>
                <w:szCs w:val="22"/>
              </w:rPr>
              <w:t>329205</w:t>
            </w:r>
          </w:p>
          <w:p w:rsidR="00DE1F08" w:rsidRPr="006D5400" w:rsidP="00DE1F08" w14:paraId="341C92AC" w14:textId="77777777">
            <w:pPr>
              <w:rPr>
                <w:szCs w:val="22"/>
              </w:rPr>
            </w:pPr>
            <w:r w:rsidRPr="006D5400">
              <w:rPr>
                <w:szCs w:val="22"/>
              </w:rPr>
              <w:t xml:space="preserve">              </w:t>
            </w:r>
            <w:r w:rsidRPr="006D5400" w:rsidR="000715F6">
              <w:rPr>
                <w:szCs w:val="22"/>
              </w:rPr>
              <w:t xml:space="preserve">             </w:t>
            </w:r>
          </w:p>
          <w:p w:rsidR="00E84E6A" w:rsidRPr="006D5400" w:rsidP="00E84E6A" w14:paraId="47338FB9" w14:textId="77777777">
            <w:pPr>
              <w:rPr>
                <w:szCs w:val="22"/>
              </w:rPr>
            </w:pPr>
          </w:p>
        </w:tc>
      </w:tr>
    </w:tbl>
    <w:p w:rsidR="00313EF3" w:rsidRPr="006D5400" w:rsidP="00CD6BB8" w14:paraId="296CB7DC" w14:textId="77777777">
      <w:pPr>
        <w:jc w:val="center"/>
        <w:rPr>
          <w:b/>
          <w:szCs w:val="22"/>
        </w:rPr>
      </w:pPr>
      <w:r w:rsidRPr="006D5400">
        <w:rPr>
          <w:b/>
          <w:szCs w:val="22"/>
        </w:rPr>
        <w:t>O</w:t>
      </w:r>
      <w:r w:rsidRPr="006D5400">
        <w:rPr>
          <w:b/>
          <w:szCs w:val="22"/>
        </w:rPr>
        <w:t>RDER</w:t>
      </w:r>
    </w:p>
    <w:p w:rsidR="00313EF3" w:rsidRPr="006D5400" w14:paraId="4AD62F3D" w14:textId="77777777">
      <w:pPr>
        <w:tabs>
          <w:tab w:val="left" w:pos="-720"/>
        </w:tabs>
        <w:suppressAutoHyphens/>
        <w:spacing w:line="227" w:lineRule="auto"/>
        <w:ind w:left="720"/>
        <w:rPr>
          <w:spacing w:val="-2"/>
          <w:szCs w:val="22"/>
        </w:rPr>
      </w:pPr>
    </w:p>
    <w:p w:rsidR="00313EF3" w:rsidRPr="009C3ADD" w14:paraId="15DF1978" w14:textId="4A9B54EB">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0A22C5">
        <w:rPr>
          <w:b/>
          <w:spacing w:val="-2"/>
          <w:szCs w:val="22"/>
        </w:rPr>
        <w:t>February 27</w:t>
      </w:r>
      <w:r w:rsidR="001E68F1">
        <w:rPr>
          <w:b/>
          <w:spacing w:val="-2"/>
          <w:szCs w:val="22"/>
        </w:rPr>
        <w:t>,</w:t>
      </w:r>
      <w:r w:rsidRPr="006D5400" w:rsidR="00236AA1">
        <w:rPr>
          <w:b/>
          <w:spacing w:val="-2"/>
          <w:szCs w:val="22"/>
        </w:rPr>
        <w:t xml:space="preserve"> </w:t>
      </w:r>
      <w:r w:rsidRPr="006D5400" w:rsidR="00454DF3">
        <w:rPr>
          <w:b/>
          <w:spacing w:val="-2"/>
          <w:szCs w:val="22"/>
        </w:rPr>
        <w:t>20</w:t>
      </w:r>
      <w:r w:rsidR="00EF5ABE">
        <w:rPr>
          <w:b/>
          <w:spacing w:val="-2"/>
          <w:szCs w:val="22"/>
        </w:rPr>
        <w:t>20</w:t>
      </w:r>
      <w:r w:rsidRPr="006D5400">
        <w:rPr>
          <w:b/>
          <w:spacing w:val="-2"/>
          <w:szCs w:val="22"/>
        </w:rPr>
        <w:tab/>
      </w:r>
      <w:r w:rsidR="00BF2F4A">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0A22C5">
        <w:rPr>
          <w:b/>
          <w:spacing w:val="-2"/>
          <w:szCs w:val="22"/>
        </w:rPr>
        <w:t>February 27</w:t>
      </w:r>
      <w:r w:rsidRPr="006D5400" w:rsidR="00236AA1">
        <w:rPr>
          <w:b/>
          <w:spacing w:val="-2"/>
          <w:szCs w:val="22"/>
        </w:rPr>
        <w:t xml:space="preserve">, </w:t>
      </w:r>
      <w:r w:rsidRPr="006D5400">
        <w:rPr>
          <w:b/>
          <w:spacing w:val="-2"/>
          <w:szCs w:val="22"/>
        </w:rPr>
        <w:t>20</w:t>
      </w:r>
      <w:r w:rsidR="00EF5ABE">
        <w:rPr>
          <w:b/>
          <w:spacing w:val="-2"/>
          <w:szCs w:val="22"/>
        </w:rPr>
        <w:t>20</w:t>
      </w:r>
    </w:p>
    <w:p w:rsidR="00313EF3" w:rsidRPr="006D5400" w14:paraId="2AE0D00F" w14:textId="77777777">
      <w:pPr>
        <w:rPr>
          <w:szCs w:val="22"/>
        </w:rPr>
      </w:pPr>
    </w:p>
    <w:p w:rsidR="00313EF3" w:rsidRPr="006D5400" w:rsidP="0062716E" w14:paraId="0D9AA386" w14:textId="77777777">
      <w:pPr>
        <w:spacing w:after="120"/>
        <w:rPr>
          <w:szCs w:val="22"/>
        </w:rPr>
      </w:pPr>
      <w:r w:rsidRPr="006D5400">
        <w:rPr>
          <w:szCs w:val="22"/>
        </w:rPr>
        <w:t xml:space="preserve">By the </w:t>
      </w:r>
      <w:r w:rsidRPr="005264A8" w:rsidR="000B7A45">
        <w:rPr>
          <w:szCs w:val="22"/>
        </w:rPr>
        <w:t xml:space="preserve">Chief, </w:t>
      </w:r>
      <w:r w:rsidRPr="005264A8" w:rsidR="004914A3">
        <w:rPr>
          <w:szCs w:val="22"/>
        </w:rPr>
        <w:t xml:space="preserve">Consumer Policy Division, </w:t>
      </w:r>
      <w:r w:rsidRPr="005264A8"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6D5400" w:rsidP="0062716E" w14:paraId="007FF784" w14:textId="77777777">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Telplex</w:t>
      </w:r>
      <w:r w:rsidR="009C3ADD">
        <w:rPr>
          <w:szCs w:val="22"/>
        </w:rPr>
        <w:t xml:space="preserve"> Communications </w:t>
      </w:r>
      <w:r w:rsidRPr="006D5400" w:rsidR="001204B1">
        <w:rPr>
          <w:szCs w:val="22"/>
        </w:rPr>
        <w:t>(</w:t>
      </w:r>
      <w:r w:rsidR="009C3ADD">
        <w:rPr>
          <w:szCs w:val="22"/>
        </w:rPr>
        <w:t>Telplex</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9C3ADD">
        <w:rPr>
          <w:szCs w:val="22"/>
        </w:rPr>
        <w:t>Telplex</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8474065" w14:textId="5218ADE0">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also has adopted rules to limit the liability of subscribers when a</w:t>
      </w:r>
      <w:r w:rsidR="00F81B78">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242581" w14:paraId="707E3A6E" w14:textId="42E18E5A">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also alleges that </w:t>
      </w:r>
      <w:r w:rsidR="00664DC0">
        <w:rPr>
          <w:szCs w:val="22"/>
        </w:rPr>
        <w:t>Telplex’s</w:t>
      </w:r>
      <w:r w:rsidR="00664DC0">
        <w:rPr>
          <w:szCs w:val="22"/>
        </w:rPr>
        <w:t xml:space="preserve"> telemarketer </w:t>
      </w:r>
      <w:r w:rsidR="006A7E1F">
        <w:rPr>
          <w:szCs w:val="22"/>
        </w:rPr>
        <w:t xml:space="preserve">claimed they “were </w:t>
      </w:r>
      <w:r w:rsidR="00DD34BB">
        <w:rPr>
          <w:szCs w:val="22"/>
        </w:rPr>
        <w:t>with</w:t>
      </w:r>
      <w:r w:rsidR="006A7E1F">
        <w:rPr>
          <w:szCs w:val="22"/>
        </w:rPr>
        <w:t xml:space="preserve"> AT&amp;T”</w:t>
      </w:r>
      <w:r w:rsidR="00DD34BB">
        <w:rPr>
          <w:szCs w:val="22"/>
        </w:rPr>
        <w:t xml:space="preserve"> and offered her a deal for telephone Internet service.  She stated that she tried to cancel the service </w:t>
      </w:r>
      <w:r w:rsidR="00F21FE8">
        <w:rPr>
          <w:szCs w:val="22"/>
        </w:rPr>
        <w:t>once</w:t>
      </w:r>
      <w:r w:rsidR="00DD34BB">
        <w:rPr>
          <w:szCs w:val="22"/>
        </w:rPr>
        <w:t xml:space="preserve"> she realized that </w:t>
      </w:r>
      <w:r w:rsidR="00DD34BB">
        <w:rPr>
          <w:szCs w:val="22"/>
        </w:rPr>
        <w:t>Telplex</w:t>
      </w:r>
      <w:r w:rsidR="00DD34BB">
        <w:rPr>
          <w:szCs w:val="22"/>
        </w:rPr>
        <w:t xml:space="preserve"> “was not in fact associated with AT&amp;T.”</w:t>
      </w:r>
      <w:r>
        <w:rPr>
          <w:rStyle w:val="FootnoteReference"/>
          <w:szCs w:val="22"/>
        </w:rPr>
        <w:footnoteReference w:id="9"/>
      </w:r>
      <w:r w:rsidR="00DD34BB">
        <w:rPr>
          <w:szCs w:val="22"/>
        </w:rPr>
        <w:t xml:space="preserve">  </w:t>
      </w:r>
      <w:r w:rsidR="00CA0F5A">
        <w:rPr>
          <w:szCs w:val="22"/>
        </w:rPr>
        <w:t>Complainant</w:t>
      </w:r>
      <w:r w:rsidR="00DD34BB">
        <w:rPr>
          <w:szCs w:val="22"/>
        </w:rPr>
        <w:t xml:space="preserve"> asked that </w:t>
      </w:r>
      <w:r w:rsidR="00DD34BB">
        <w:rPr>
          <w:szCs w:val="22"/>
        </w:rPr>
        <w:t>Telplex</w:t>
      </w:r>
      <w:r w:rsidR="00DD34BB">
        <w:rPr>
          <w:szCs w:val="22"/>
        </w:rPr>
        <w:t xml:space="preserve"> “give an explanation as to why they are contacting AT&amp;T customers and misleading them into believing that they are associated [with AT&amp;T] in order to get their business.”</w:t>
      </w:r>
      <w:r>
        <w:rPr>
          <w:rStyle w:val="FootnoteReference"/>
          <w:szCs w:val="22"/>
        </w:rPr>
        <w:footnoteReference w:id="10"/>
      </w:r>
      <w:r w:rsidR="00DD34BB">
        <w:rPr>
          <w:szCs w:val="22"/>
        </w:rPr>
        <w:t xml:space="preserve">  Complainant requested that </w:t>
      </w:r>
      <w:r w:rsidR="00DD34BB">
        <w:rPr>
          <w:szCs w:val="22"/>
        </w:rPr>
        <w:t>Telplex</w:t>
      </w:r>
      <w:r w:rsidR="00DD34BB">
        <w:rPr>
          <w:szCs w:val="22"/>
        </w:rPr>
        <w:t xml:space="preserve"> issue a full refund for any services</w:t>
      </w:r>
      <w:r w:rsidR="00854DB7">
        <w:rPr>
          <w:szCs w:val="22"/>
        </w:rPr>
        <w:t>,</w:t>
      </w:r>
      <w:r w:rsidR="00DD34BB">
        <w:rPr>
          <w:szCs w:val="22"/>
        </w:rPr>
        <w:t xml:space="preserve"> and that </w:t>
      </w:r>
      <w:r w:rsidR="00DD34BB">
        <w:rPr>
          <w:szCs w:val="22"/>
        </w:rPr>
        <w:t>Telplex</w:t>
      </w:r>
      <w:r w:rsidR="00DD34BB">
        <w:rPr>
          <w:szCs w:val="22"/>
        </w:rPr>
        <w:t xml:space="preserve"> disconnect her account so that she </w:t>
      </w:r>
      <w:r w:rsidR="00524588">
        <w:rPr>
          <w:szCs w:val="22"/>
        </w:rPr>
        <w:t>could</w:t>
      </w:r>
      <w:r w:rsidR="00DD34BB">
        <w:rPr>
          <w:szCs w:val="22"/>
        </w:rPr>
        <w:t xml:space="preserve"> </w:t>
      </w:r>
      <w:r w:rsidR="00721E64">
        <w:rPr>
          <w:szCs w:val="22"/>
        </w:rPr>
        <w:t>return</w:t>
      </w:r>
      <w:r w:rsidR="00DD34BB">
        <w:rPr>
          <w:szCs w:val="22"/>
        </w:rPr>
        <w:t xml:space="preserve"> to AT&amp;T</w:t>
      </w:r>
      <w:r w:rsidR="006A7E1F">
        <w:rPr>
          <w:szCs w:val="22"/>
        </w:rPr>
        <w:t>.</w:t>
      </w:r>
      <w:r>
        <w:rPr>
          <w:rStyle w:val="FootnoteReference"/>
          <w:szCs w:val="22"/>
        </w:rPr>
        <w:footnoteReference w:id="11"/>
      </w:r>
    </w:p>
    <w:p w:rsidR="00242581" w:rsidRPr="00242581" w:rsidP="00242581" w14:paraId="35948E2A" w14:textId="77777777">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9C3ADD">
        <w:t>Telplex</w:t>
      </w:r>
      <w:r>
        <w:t xml:space="preserve"> of the complaint</w:t>
      </w:r>
      <w:r w:rsidR="00753932">
        <w:t>.</w:t>
      </w:r>
      <w:r>
        <w:rPr>
          <w:rStyle w:val="FootnoteReference"/>
        </w:rPr>
        <w:footnoteReference w:id="12"/>
      </w:r>
      <w:r w:rsidR="00C61A5E">
        <w:t xml:space="preserve">  </w:t>
      </w:r>
      <w:r w:rsidR="00C61A5E">
        <w:t>Telplex</w:t>
      </w:r>
      <w:r w:rsidR="00C61A5E">
        <w:t xml:space="preserve"> responded to the complaint, stating that authorization was received and confirmed </w:t>
      </w:r>
      <w:r>
        <w:t>through</w:t>
      </w:r>
      <w:r w:rsidR="00C61A5E">
        <w:t xml:space="preserve"> a letter of a</w:t>
      </w:r>
      <w:r w:rsidR="00524588">
        <w:t>gency</w:t>
      </w:r>
      <w:r w:rsidR="00C61A5E">
        <w:t xml:space="preserve"> (LOA).</w:t>
      </w:r>
      <w:r>
        <w:rPr>
          <w:rStyle w:val="FootnoteReference"/>
        </w:rPr>
        <w:footnoteReference w:id="13"/>
      </w:r>
      <w:r w:rsidR="00C61A5E">
        <w:t xml:space="preserve">  </w:t>
      </w:r>
      <w:r w:rsidR="00C61A5E">
        <w:t>Telplex</w:t>
      </w:r>
      <w:r w:rsidR="00C61A5E">
        <w:t xml:space="preserve"> provided a copy of the LOA</w:t>
      </w:r>
      <w:r>
        <w:t xml:space="preserve"> and </w:t>
      </w:r>
      <w:r w:rsidR="00B85C40">
        <w:t xml:space="preserve">stated that </w:t>
      </w:r>
      <w:r w:rsidR="00B85C40">
        <w:t>Telplex</w:t>
      </w:r>
      <w:r w:rsidR="00B85C40">
        <w:t xml:space="preserve"> called </w:t>
      </w:r>
      <w:r w:rsidR="00646FF8">
        <w:t>Complainant “to upgrade (not switch) Complainant’s copper service to digital VoIP service.”</w:t>
      </w:r>
      <w:r>
        <w:rPr>
          <w:rStyle w:val="FootnoteReference"/>
        </w:rPr>
        <w:footnoteReference w:id="14"/>
      </w:r>
      <w:r w:rsidR="00646FF8">
        <w:t xml:space="preserve">  </w:t>
      </w:r>
      <w:r>
        <w:t xml:space="preserve">Specifically, </w:t>
      </w:r>
      <w:r>
        <w:t>Telplex</w:t>
      </w:r>
      <w:r>
        <w:t xml:space="preserve"> </w:t>
      </w:r>
      <w:r w:rsidR="00BF2F4A">
        <w:t>stated</w:t>
      </w:r>
      <w:r>
        <w:t xml:space="preserve"> that </w:t>
      </w:r>
      <w:r w:rsidRPr="00242581">
        <w:rPr>
          <w:szCs w:val="24"/>
        </w:rPr>
        <w:t xml:space="preserve">the Complainant’s “network, technicians and equipment are still with AT&amp;T.  </w:t>
      </w:r>
      <w:r w:rsidRPr="00242581">
        <w:rPr>
          <w:szCs w:val="24"/>
        </w:rPr>
        <w:t>Telplex</w:t>
      </w:r>
      <w:r w:rsidRPr="00242581">
        <w:rPr>
          <w:szCs w:val="24"/>
        </w:rPr>
        <w:t xml:space="preserve"> only handles the billing and customer service</w:t>
      </w:r>
      <w:r>
        <w:rPr>
          <w:szCs w:val="24"/>
        </w:rPr>
        <w:t xml:space="preserve"> . . . [t]</w:t>
      </w:r>
      <w:r w:rsidRPr="00242581">
        <w:rPr>
          <w:szCs w:val="24"/>
        </w:rPr>
        <w:t>herefore</w:t>
      </w:r>
      <w:r w:rsidRPr="00242581">
        <w:rPr>
          <w:szCs w:val="24"/>
        </w:rPr>
        <w:t xml:space="preserve">, it is a true statement that </w:t>
      </w:r>
      <w:r w:rsidRPr="00242581">
        <w:rPr>
          <w:szCs w:val="24"/>
        </w:rPr>
        <w:t>Telplex</w:t>
      </w:r>
      <w:r w:rsidRPr="00242581">
        <w:rPr>
          <w:szCs w:val="24"/>
        </w:rPr>
        <w:t xml:space="preserve"> works </w:t>
      </w:r>
      <w:r>
        <w:rPr>
          <w:szCs w:val="24"/>
        </w:rPr>
        <w:t>‘</w:t>
      </w:r>
      <w:r w:rsidRPr="00242581">
        <w:rPr>
          <w:szCs w:val="24"/>
        </w:rPr>
        <w:t>with</w:t>
      </w:r>
      <w:r>
        <w:rPr>
          <w:szCs w:val="24"/>
        </w:rPr>
        <w:t>’</w:t>
      </w:r>
      <w:r w:rsidRPr="00242581">
        <w:rPr>
          <w:szCs w:val="24"/>
        </w:rPr>
        <w:t xml:space="preserve"> AT&amp;T to upgrade AT&amp;T services.</w:t>
      </w:r>
      <w:r>
        <w:rPr>
          <w:szCs w:val="24"/>
        </w:rPr>
        <w:t>”</w:t>
      </w:r>
      <w:r>
        <w:rPr>
          <w:rStyle w:val="FootnoteReference"/>
          <w:szCs w:val="24"/>
        </w:rPr>
        <w:footnoteReference w:id="15"/>
      </w:r>
      <w:r>
        <w:rPr>
          <w:szCs w:val="24"/>
        </w:rPr>
        <w:t xml:space="preserve">  </w:t>
      </w:r>
    </w:p>
    <w:p w:rsidR="002C332E" w:rsidRPr="006D5400" w:rsidP="0062716E" w14:paraId="1F1EB302" w14:textId="075501F7">
      <w:pPr>
        <w:numPr>
          <w:ilvl w:val="0"/>
          <w:numId w:val="4"/>
        </w:numPr>
        <w:tabs>
          <w:tab w:val="clear" w:pos="1440"/>
        </w:tabs>
        <w:spacing w:after="120"/>
        <w:ind w:left="0" w:firstLine="720"/>
        <w:jc w:val="left"/>
        <w:rPr>
          <w:szCs w:val="22"/>
        </w:rPr>
      </w:pPr>
      <w:r>
        <w:t xml:space="preserve"> </w:t>
      </w:r>
      <w:r w:rsidR="008C08EA">
        <w:t>We</w:t>
      </w:r>
      <w:r w:rsidR="004E1D48">
        <w:t xml:space="preserve"> also contacted Complainant’s local exchange carrier, which confirmed that</w:t>
      </w:r>
      <w:r w:rsidR="004B50F9">
        <w:t xml:space="preserve"> </w:t>
      </w:r>
      <w:r w:rsidR="004E1D48">
        <w:t>Telplex</w:t>
      </w:r>
      <w:r w:rsidR="004E1D48">
        <w:t xml:space="preserve"> did not </w:t>
      </w:r>
      <w:r w:rsidR="00AA7B08">
        <w:t>submit a request to</w:t>
      </w:r>
      <w:r w:rsidR="004E1D48">
        <w:t xml:space="preserve"> change Complainant’s preferred carrier.  </w:t>
      </w:r>
      <w:r w:rsidR="00C12167">
        <w:t xml:space="preserve">Thus, we </w:t>
      </w:r>
      <w:r w:rsidR="006B35CA">
        <w:t>find</w:t>
      </w:r>
      <w:r w:rsidR="00C12167">
        <w:t xml:space="preserve"> that </w:t>
      </w:r>
      <w:r w:rsidR="004B50F9">
        <w:t xml:space="preserve">while </w:t>
      </w:r>
      <w:r w:rsidR="004B50F9">
        <w:t>Telplex</w:t>
      </w:r>
      <w:r w:rsidR="004B50F9">
        <w:t xml:space="preserve"> may have marketed its service to Complainant, </w:t>
      </w:r>
      <w:r w:rsidR="009C3ADD">
        <w:t>Telplex</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6"/>
      </w:r>
      <w:r w:rsidRPr="006D5400" w:rsidR="00454DF3">
        <w:rPr>
          <w:szCs w:val="22"/>
        </w:rPr>
        <w:t xml:space="preserve">  </w:t>
      </w:r>
    </w:p>
    <w:p w:rsidR="008E267C" w:rsidP="00E90AD3" w14:paraId="77C60DB8" w14:textId="502DEE01">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Pr="006D5400" w:rsidR="00E84E6A">
        <w:rPr>
          <w:szCs w:val="22"/>
        </w:rPr>
        <w:t xml:space="preserve"> </w:t>
      </w:r>
      <w:r w:rsidRPr="006D5400" w:rsidR="002137D1">
        <w:rPr>
          <w:szCs w:val="22"/>
        </w:rPr>
        <w:t>IS</w:t>
      </w:r>
      <w:r w:rsidRPr="006D5400">
        <w:rPr>
          <w:szCs w:val="22"/>
        </w:rPr>
        <w:t xml:space="preserve"> DENIED.</w:t>
      </w:r>
    </w:p>
    <w:p w:rsidR="00454DF3" w:rsidRPr="00160AFE" w:rsidP="008E267C" w14:paraId="5FB22478" w14:textId="77777777">
      <w:pPr>
        <w:widowControl/>
        <w:spacing w:after="120"/>
        <w:jc w:val="left"/>
        <w:rPr>
          <w:szCs w:val="22"/>
        </w:rPr>
      </w:pPr>
      <w:r>
        <w:rPr>
          <w:szCs w:val="22"/>
        </w:rPr>
        <w:br w:type="page"/>
      </w:r>
    </w:p>
    <w:p w:rsidR="00313EF3" w:rsidRPr="0062716E" w:rsidP="0062716E" w14:paraId="04093C51"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5264A8" w14:paraId="715B9543" w14:textId="77777777">
      <w:pPr>
        <w:ind w:left="3600" w:right="270" w:firstLine="720"/>
        <w:rPr>
          <w:szCs w:val="22"/>
        </w:rPr>
      </w:pPr>
      <w:r w:rsidRPr="006D5400">
        <w:rPr>
          <w:szCs w:val="22"/>
        </w:rPr>
        <w:t>FEDERAL COMMUNICATIONS COMMISSION</w:t>
      </w:r>
    </w:p>
    <w:p w:rsidR="00EF5ABE" w:rsidP="00EF5ABE" w14:paraId="617A2120" w14:textId="77777777">
      <w:pPr>
        <w:ind w:left="3600" w:right="270"/>
        <w:rPr>
          <w:szCs w:val="22"/>
        </w:rPr>
      </w:pPr>
    </w:p>
    <w:p w:rsidR="00EF5ABE" w:rsidP="00EF5ABE" w14:paraId="2555B725" w14:textId="77777777">
      <w:pPr>
        <w:ind w:left="3600" w:right="270"/>
        <w:rPr>
          <w:szCs w:val="22"/>
        </w:rPr>
      </w:pPr>
    </w:p>
    <w:p w:rsidR="00EF5ABE" w:rsidP="00EF5ABE" w14:paraId="645FDD35" w14:textId="77777777">
      <w:pPr>
        <w:ind w:left="3600" w:right="270"/>
        <w:rPr>
          <w:szCs w:val="22"/>
        </w:rPr>
      </w:pPr>
    </w:p>
    <w:p w:rsidR="00EF5ABE" w:rsidRPr="006D5400" w:rsidP="00EF5ABE" w14:paraId="4CB62121" w14:textId="77777777">
      <w:pPr>
        <w:ind w:left="3600" w:right="270"/>
        <w:rPr>
          <w:szCs w:val="22"/>
        </w:rPr>
      </w:pPr>
    </w:p>
    <w:p w:rsidR="0063192B" w:rsidP="005264A8" w14:paraId="0221D7E4" w14:textId="77777777">
      <w:pPr>
        <w:ind w:left="2880" w:right="270" w:firstLine="1440"/>
        <w:rPr>
          <w:szCs w:val="22"/>
        </w:rPr>
      </w:pPr>
      <w:r>
        <w:rPr>
          <w:szCs w:val="22"/>
        </w:rPr>
        <w:t>Kurt A. Schroeder</w:t>
      </w:r>
    </w:p>
    <w:p w:rsidR="00EF5ABE" w:rsidP="005264A8" w14:paraId="676404B1" w14:textId="77777777">
      <w:pPr>
        <w:ind w:left="2880" w:right="270" w:firstLine="1440"/>
        <w:rPr>
          <w:szCs w:val="22"/>
        </w:rPr>
      </w:pPr>
      <w:r>
        <w:rPr>
          <w:szCs w:val="22"/>
        </w:rPr>
        <w:t>Chief</w:t>
      </w:r>
    </w:p>
    <w:p w:rsidR="00EF5ABE" w:rsidP="005264A8" w14:paraId="0314E35B" w14:textId="77777777">
      <w:pPr>
        <w:ind w:left="2880" w:right="270" w:firstLine="1440"/>
        <w:rPr>
          <w:szCs w:val="22"/>
        </w:rPr>
      </w:pPr>
      <w:r>
        <w:rPr>
          <w:szCs w:val="22"/>
        </w:rPr>
        <w:t>Consumer Policy Division</w:t>
      </w:r>
    </w:p>
    <w:p w:rsidR="00EF5ABE" w:rsidRPr="006D5400" w:rsidP="005264A8" w14:paraId="5362D780" w14:textId="77777777">
      <w:pPr>
        <w:ind w:left="2880" w:right="270" w:firstLine="1440"/>
        <w:rPr>
          <w:szCs w:val="22"/>
        </w:rPr>
      </w:pPr>
      <w:r>
        <w:rPr>
          <w:szCs w:val="22"/>
        </w:rPr>
        <w:t>Consumer and Governmental Affairs Bureau</w:t>
      </w:r>
    </w:p>
    <w:p w:rsidR="00313EF3" w:rsidRPr="006D5400" w:rsidP="00EF5ABE" w14:paraId="11F2213F"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F9C2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0ABC2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CFEE64"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2FF95FE0" w14:textId="77777777">
    <w:pPr>
      <w:spacing w:before="140" w:line="100" w:lineRule="exact"/>
      <w:rPr>
        <w:sz w:val="10"/>
      </w:rPr>
    </w:pPr>
  </w:p>
  <w:p w:rsidR="00EC4494" w14:paraId="0CDFDD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77F1" w14:paraId="265EF104" w14:textId="77777777">
      <w:r>
        <w:separator/>
      </w:r>
    </w:p>
  </w:footnote>
  <w:footnote w:type="continuationSeparator" w:id="1">
    <w:p w:rsidR="007E77F1" w14:paraId="73ADA420" w14:textId="77777777">
      <w:pPr>
        <w:rPr>
          <w:sz w:val="20"/>
        </w:rPr>
      </w:pPr>
      <w:r>
        <w:rPr>
          <w:sz w:val="20"/>
        </w:rPr>
        <w:t xml:space="preserve">(Continued from previous page)  </w:t>
      </w:r>
      <w:r>
        <w:rPr>
          <w:sz w:val="20"/>
        </w:rPr>
        <w:separator/>
      </w:r>
    </w:p>
  </w:footnote>
  <w:footnote w:type="continuationNotice" w:id="2">
    <w:p w:rsidR="007E77F1" w:rsidP="006D5400" w14:paraId="73EA73E2" w14:textId="77777777">
      <w:pPr>
        <w:jc w:val="right"/>
        <w:rPr>
          <w:sz w:val="20"/>
        </w:rPr>
      </w:pPr>
      <w:r>
        <w:rPr>
          <w:sz w:val="20"/>
        </w:rPr>
        <w:t>(continued…)</w:t>
      </w:r>
    </w:p>
  </w:footnote>
  <w:footnote w:id="3">
    <w:p w:rsidR="00DE7276" w:rsidP="00DE7276" w14:paraId="0BF05539" w14:textId="77777777">
      <w:pPr>
        <w:pStyle w:val="FootnoteText"/>
        <w:spacing w:after="120"/>
      </w:pPr>
      <w:r>
        <w:rPr>
          <w:rStyle w:val="FootnoteReference"/>
        </w:rPr>
        <w:footnoteRef/>
      </w:r>
      <w:r>
        <w:t xml:space="preserve"> </w:t>
      </w:r>
      <w:r w:rsidRPr="00140317">
        <w:rPr>
          <w:i/>
        </w:rPr>
        <w:t xml:space="preserve">See </w:t>
      </w:r>
      <w:r>
        <w:t>Informal Complaint No. 3</w:t>
      </w:r>
      <w:r w:rsidR="00DD34BB">
        <w:t>329205</w:t>
      </w:r>
      <w:r>
        <w:t xml:space="preserve"> (filed </w:t>
      </w:r>
      <w:r w:rsidR="00DD34BB">
        <w:t>June 14, 2019</w:t>
      </w:r>
      <w:r>
        <w:t xml:space="preserve">); </w:t>
      </w:r>
      <w:r w:rsidRPr="00DE7276">
        <w:rPr>
          <w:i/>
        </w:rPr>
        <w:t>see also</w:t>
      </w:r>
      <w:r>
        <w:t xml:space="preserve"> 47 CFR §§ 64.1100 – 64.1190.</w:t>
      </w:r>
    </w:p>
  </w:footnote>
  <w:footnote w:id="4">
    <w:p w:rsidR="00EC4494" w:rsidP="005D03A5" w14:paraId="1E02166B" w14:textId="77777777">
      <w:pPr>
        <w:pStyle w:val="FootnoteText"/>
        <w:spacing w:after="120"/>
      </w:pPr>
      <w:r>
        <w:rPr>
          <w:rStyle w:val="FootnoteReference"/>
        </w:rPr>
        <w:footnoteRef/>
      </w:r>
      <w:r>
        <w:t xml:space="preserve"> 47 U.S.C. § 258(a).</w:t>
      </w:r>
    </w:p>
  </w:footnote>
  <w:footnote w:id="5">
    <w:p w:rsidR="00EC4494" w:rsidP="005D03A5" w14:paraId="5122CEE0"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F675692"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14:paraId="7A70E7CB"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CA0F5A" w14:paraId="58793EE5" w14:textId="77777777">
      <w:pPr>
        <w:pStyle w:val="FootnoteText"/>
        <w:spacing w:after="120"/>
      </w:pPr>
      <w:r>
        <w:rPr>
          <w:rStyle w:val="FootnoteReference"/>
        </w:rPr>
        <w:footnoteRef/>
      </w:r>
      <w:r>
        <w:t xml:space="preserve"> </w:t>
      </w:r>
      <w:r w:rsidRPr="00664DC0">
        <w:rPr>
          <w:i/>
        </w:rPr>
        <w:t>See</w:t>
      </w:r>
      <w:r>
        <w:t xml:space="preserve"> Informal Complaint No. 3</w:t>
      </w:r>
      <w:r w:rsidR="00DD34BB">
        <w:t>329205</w:t>
      </w:r>
      <w:r>
        <w:t>.</w:t>
      </w:r>
    </w:p>
  </w:footnote>
  <w:footnote w:id="9">
    <w:p w:rsidR="00DD34BB" w:rsidP="00CA0F5A" w14:paraId="3E6EC39D" w14:textId="77777777">
      <w:pPr>
        <w:pStyle w:val="FootnoteText"/>
        <w:spacing w:after="120"/>
      </w:pPr>
      <w:r>
        <w:rPr>
          <w:rStyle w:val="FootnoteReference"/>
        </w:rPr>
        <w:footnoteRef/>
      </w:r>
      <w:r>
        <w:t xml:space="preserve"> </w:t>
      </w:r>
      <w:r w:rsidRPr="003B1201">
        <w:rPr>
          <w:i/>
        </w:rPr>
        <w:t>Id</w:t>
      </w:r>
      <w:r>
        <w:t>.</w:t>
      </w:r>
    </w:p>
  </w:footnote>
  <w:footnote w:id="10">
    <w:p w:rsidR="00854DB7" w:rsidP="00CA0F5A" w14:paraId="3A533182" w14:textId="77777777">
      <w:pPr>
        <w:pStyle w:val="FootnoteText"/>
        <w:spacing w:after="120"/>
      </w:pPr>
      <w:r>
        <w:rPr>
          <w:rStyle w:val="FootnoteReference"/>
        </w:rPr>
        <w:footnoteRef/>
      </w:r>
      <w:r>
        <w:t xml:space="preserve"> </w:t>
      </w:r>
      <w:r w:rsidRPr="00854DB7">
        <w:rPr>
          <w:i/>
        </w:rPr>
        <w:t>Id</w:t>
      </w:r>
      <w:r>
        <w:t>.</w:t>
      </w:r>
    </w:p>
  </w:footnote>
  <w:footnote w:id="11">
    <w:p w:rsidR="006A7E1F" w:rsidP="00CA0F5A" w14:paraId="249F090B" w14:textId="77777777">
      <w:pPr>
        <w:pStyle w:val="FootnoteText"/>
        <w:spacing w:after="120"/>
      </w:pPr>
      <w:r>
        <w:rPr>
          <w:rStyle w:val="FootnoteReference"/>
        </w:rPr>
        <w:footnoteRef/>
      </w:r>
      <w:r>
        <w:t xml:space="preserve"> </w:t>
      </w:r>
      <w:r w:rsidRPr="006A7E1F">
        <w:rPr>
          <w:i/>
        </w:rPr>
        <w:t>Id</w:t>
      </w:r>
      <w:r>
        <w:t>.</w:t>
      </w:r>
    </w:p>
  </w:footnote>
  <w:footnote w:id="12">
    <w:p w:rsidR="00C335BA" w:rsidP="00CA0F5A" w14:paraId="042AA30C" w14:textId="77777777">
      <w:pPr>
        <w:pStyle w:val="FootnoteText"/>
        <w:spacing w:after="120"/>
      </w:pPr>
      <w:r>
        <w:rPr>
          <w:rStyle w:val="FootnoteReference"/>
        </w:rPr>
        <w:footnoteRef/>
      </w:r>
      <w:r>
        <w:t xml:space="preserve"> </w:t>
      </w:r>
      <w:r w:rsidR="00225606">
        <w:t>47 CFR</w:t>
      </w:r>
      <w:r w:rsidRPr="005D03A5" w:rsidR="005D03A5">
        <w:rPr>
          <w:i/>
        </w:rPr>
        <w:t>.</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3">
    <w:p w:rsidR="00C61A5E" w:rsidP="00CA0F5A" w14:paraId="72BDB1BD" w14:textId="77777777">
      <w:pPr>
        <w:pStyle w:val="FootnoteText"/>
        <w:spacing w:after="120"/>
      </w:pPr>
      <w:r>
        <w:rPr>
          <w:rStyle w:val="FootnoteReference"/>
        </w:rPr>
        <w:footnoteRef/>
      </w:r>
      <w:r>
        <w:t xml:space="preserve"> </w:t>
      </w:r>
      <w:r w:rsidRPr="005D03A5">
        <w:rPr>
          <w:i/>
        </w:rPr>
        <w:t>See</w:t>
      </w:r>
      <w:r>
        <w:t xml:space="preserve"> </w:t>
      </w:r>
      <w:r>
        <w:t>Telplex</w:t>
      </w:r>
      <w:r>
        <w:t xml:space="preserve"> Response to Informal Complaint No. 3</w:t>
      </w:r>
      <w:r w:rsidR="00CA0F5A">
        <w:t>329205</w:t>
      </w:r>
      <w:r>
        <w:rPr>
          <w:szCs w:val="22"/>
        </w:rPr>
        <w:t xml:space="preserve"> (filed July </w:t>
      </w:r>
      <w:r w:rsidR="00CA0F5A">
        <w:rPr>
          <w:szCs w:val="22"/>
        </w:rPr>
        <w:t>19</w:t>
      </w:r>
      <w:r>
        <w:t>, 2019).</w:t>
      </w:r>
    </w:p>
  </w:footnote>
  <w:footnote w:id="14">
    <w:p w:rsidR="00160AFE" w:rsidP="00CA0F5A" w14:paraId="72588A35" w14:textId="77777777">
      <w:pPr>
        <w:pStyle w:val="FootnoteText"/>
        <w:spacing w:after="120"/>
      </w:pPr>
      <w:r>
        <w:rPr>
          <w:rStyle w:val="FootnoteReference"/>
        </w:rPr>
        <w:footnoteRef/>
      </w:r>
      <w:r>
        <w:t xml:space="preserve"> </w:t>
      </w:r>
      <w:r w:rsidRPr="00160AFE">
        <w:rPr>
          <w:i/>
        </w:rPr>
        <w:t>Id</w:t>
      </w:r>
      <w:r>
        <w:t>.</w:t>
      </w:r>
    </w:p>
  </w:footnote>
  <w:footnote w:id="15">
    <w:p w:rsidR="00160AFE" w:rsidP="00CA0F5A" w14:paraId="49BAF87B" w14:textId="77777777">
      <w:pPr>
        <w:pStyle w:val="FootnoteText"/>
        <w:spacing w:after="120"/>
      </w:pPr>
      <w:r>
        <w:rPr>
          <w:rStyle w:val="FootnoteReference"/>
        </w:rPr>
        <w:footnoteRef/>
      </w:r>
      <w:r>
        <w:t xml:space="preserve"> </w:t>
      </w:r>
      <w:r w:rsidRPr="00160AFE">
        <w:rPr>
          <w:i/>
        </w:rPr>
        <w:t>Id</w:t>
      </w:r>
      <w:r>
        <w:t>.</w:t>
      </w:r>
    </w:p>
  </w:footnote>
  <w:footnote w:id="16">
    <w:p w:rsidR="00EC4494" w:rsidP="00CA0F5A" w14:paraId="115D2BF9" w14:textId="77777777">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7CE4E46" w14:textId="43EDD22B">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EF5ABE">
      <w:rPr>
        <w:b/>
        <w:spacing w:val="-2"/>
      </w:rPr>
      <w:t>20</w:t>
    </w:r>
    <w:r>
      <w:rPr>
        <w:b/>
        <w:spacing w:val="-2"/>
      </w:rPr>
      <w:t>-</w:t>
    </w:r>
    <w:r w:rsidR="003779E4">
      <w:rPr>
        <w:b/>
        <w:spacing w:val="-2"/>
      </w:rPr>
      <w:t>200</w:t>
    </w:r>
  </w:p>
  <w:p w:rsidR="00EC4494" w14:paraId="309D8E79"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276F96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64B5C5" w14:textId="0036B7A3">
    <w:pPr>
      <w:pStyle w:val="Header"/>
      <w:pBdr>
        <w:bottom w:val="single" w:sz="12" w:space="1" w:color="auto"/>
      </w:pBdr>
      <w:rPr>
        <w:b w:val="0"/>
      </w:rPr>
    </w:pPr>
    <w:r>
      <w:tab/>
      <w:t>Federal</w:t>
    </w:r>
    <w:r w:rsidR="00385691">
      <w:t xml:space="preserve"> Communications Commission</w:t>
    </w:r>
    <w:r w:rsidR="00385691">
      <w:tab/>
      <w:t xml:space="preserve">DA </w:t>
    </w:r>
    <w:r w:rsidR="00EF5ABE">
      <w:t>20</w:t>
    </w:r>
    <w:r>
      <w:t>-</w:t>
    </w:r>
    <w:r w:rsidR="003779E4">
      <w:t>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A22C5"/>
    <w:rsid w:val="000B7A45"/>
    <w:rsid w:val="000D6FF3"/>
    <w:rsid w:val="000E6D51"/>
    <w:rsid w:val="00113639"/>
    <w:rsid w:val="001204B1"/>
    <w:rsid w:val="00120529"/>
    <w:rsid w:val="00140317"/>
    <w:rsid w:val="001414E3"/>
    <w:rsid w:val="00142D97"/>
    <w:rsid w:val="00155E02"/>
    <w:rsid w:val="00160AFE"/>
    <w:rsid w:val="00162727"/>
    <w:rsid w:val="001717CE"/>
    <w:rsid w:val="00190163"/>
    <w:rsid w:val="00195161"/>
    <w:rsid w:val="001A0861"/>
    <w:rsid w:val="001A7A2C"/>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2581"/>
    <w:rsid w:val="002431FD"/>
    <w:rsid w:val="002439C1"/>
    <w:rsid w:val="002479AB"/>
    <w:rsid w:val="00265A91"/>
    <w:rsid w:val="00283DF4"/>
    <w:rsid w:val="002A3B0B"/>
    <w:rsid w:val="002C332E"/>
    <w:rsid w:val="002F4B88"/>
    <w:rsid w:val="00310BAA"/>
    <w:rsid w:val="00313EF3"/>
    <w:rsid w:val="003427C1"/>
    <w:rsid w:val="00353700"/>
    <w:rsid w:val="00360D54"/>
    <w:rsid w:val="003779E4"/>
    <w:rsid w:val="00385691"/>
    <w:rsid w:val="003A1EBA"/>
    <w:rsid w:val="003B1201"/>
    <w:rsid w:val="003C5092"/>
    <w:rsid w:val="003D14B8"/>
    <w:rsid w:val="003D32F8"/>
    <w:rsid w:val="003E5B69"/>
    <w:rsid w:val="003F75CF"/>
    <w:rsid w:val="003F7602"/>
    <w:rsid w:val="003F7D44"/>
    <w:rsid w:val="00403483"/>
    <w:rsid w:val="00422B9B"/>
    <w:rsid w:val="00454DF3"/>
    <w:rsid w:val="0047594E"/>
    <w:rsid w:val="004914A3"/>
    <w:rsid w:val="004A1686"/>
    <w:rsid w:val="004B50F9"/>
    <w:rsid w:val="004C104C"/>
    <w:rsid w:val="004C3D84"/>
    <w:rsid w:val="004C7040"/>
    <w:rsid w:val="004E1D48"/>
    <w:rsid w:val="004E5EFB"/>
    <w:rsid w:val="00510F6C"/>
    <w:rsid w:val="00524588"/>
    <w:rsid w:val="005264A8"/>
    <w:rsid w:val="005265B9"/>
    <w:rsid w:val="005561FD"/>
    <w:rsid w:val="00563A90"/>
    <w:rsid w:val="00566D7F"/>
    <w:rsid w:val="005772B2"/>
    <w:rsid w:val="00586E06"/>
    <w:rsid w:val="005A6A46"/>
    <w:rsid w:val="005B27B1"/>
    <w:rsid w:val="005B2F11"/>
    <w:rsid w:val="005B796C"/>
    <w:rsid w:val="005C203E"/>
    <w:rsid w:val="005C4098"/>
    <w:rsid w:val="005D03A5"/>
    <w:rsid w:val="005D1006"/>
    <w:rsid w:val="005D78D7"/>
    <w:rsid w:val="005E456F"/>
    <w:rsid w:val="005E78CA"/>
    <w:rsid w:val="006173F3"/>
    <w:rsid w:val="00622CD2"/>
    <w:rsid w:val="00623693"/>
    <w:rsid w:val="00623E7A"/>
    <w:rsid w:val="0062716E"/>
    <w:rsid w:val="0063192B"/>
    <w:rsid w:val="00646FF8"/>
    <w:rsid w:val="00664DC0"/>
    <w:rsid w:val="00676CB9"/>
    <w:rsid w:val="00685FD6"/>
    <w:rsid w:val="00697A80"/>
    <w:rsid w:val="006A7E1F"/>
    <w:rsid w:val="006B0F44"/>
    <w:rsid w:val="006B35CA"/>
    <w:rsid w:val="006D5400"/>
    <w:rsid w:val="006E4C47"/>
    <w:rsid w:val="00721E64"/>
    <w:rsid w:val="00727230"/>
    <w:rsid w:val="00731046"/>
    <w:rsid w:val="007368C0"/>
    <w:rsid w:val="0074254C"/>
    <w:rsid w:val="00750DAE"/>
    <w:rsid w:val="00753932"/>
    <w:rsid w:val="007546EE"/>
    <w:rsid w:val="00774600"/>
    <w:rsid w:val="0077536C"/>
    <w:rsid w:val="00775878"/>
    <w:rsid w:val="00780927"/>
    <w:rsid w:val="007831C1"/>
    <w:rsid w:val="00795CE2"/>
    <w:rsid w:val="007B65C8"/>
    <w:rsid w:val="007B67D3"/>
    <w:rsid w:val="007D2B0E"/>
    <w:rsid w:val="007D7FBB"/>
    <w:rsid w:val="007E0B90"/>
    <w:rsid w:val="007E5AF2"/>
    <w:rsid w:val="007E77F1"/>
    <w:rsid w:val="008101C7"/>
    <w:rsid w:val="00816066"/>
    <w:rsid w:val="0083033B"/>
    <w:rsid w:val="00831E67"/>
    <w:rsid w:val="00843CA0"/>
    <w:rsid w:val="00854DB7"/>
    <w:rsid w:val="00870845"/>
    <w:rsid w:val="00876880"/>
    <w:rsid w:val="008C08EA"/>
    <w:rsid w:val="008E267C"/>
    <w:rsid w:val="008E2D1A"/>
    <w:rsid w:val="008E6C8C"/>
    <w:rsid w:val="008F1B97"/>
    <w:rsid w:val="008F47DB"/>
    <w:rsid w:val="008F4E04"/>
    <w:rsid w:val="00901A56"/>
    <w:rsid w:val="00916312"/>
    <w:rsid w:val="00927544"/>
    <w:rsid w:val="00941EA5"/>
    <w:rsid w:val="00964BC8"/>
    <w:rsid w:val="0097045E"/>
    <w:rsid w:val="0097482E"/>
    <w:rsid w:val="00983C4E"/>
    <w:rsid w:val="009848B2"/>
    <w:rsid w:val="009A1060"/>
    <w:rsid w:val="009C3ADD"/>
    <w:rsid w:val="009C46EC"/>
    <w:rsid w:val="009C6B1F"/>
    <w:rsid w:val="009C732D"/>
    <w:rsid w:val="009D3461"/>
    <w:rsid w:val="009E4E88"/>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A7B08"/>
    <w:rsid w:val="00AD583F"/>
    <w:rsid w:val="00AE2D7C"/>
    <w:rsid w:val="00B0254C"/>
    <w:rsid w:val="00B030B5"/>
    <w:rsid w:val="00B25D8D"/>
    <w:rsid w:val="00B329ED"/>
    <w:rsid w:val="00B46EF1"/>
    <w:rsid w:val="00B46FCC"/>
    <w:rsid w:val="00B47339"/>
    <w:rsid w:val="00B85C40"/>
    <w:rsid w:val="00BA0244"/>
    <w:rsid w:val="00BA241C"/>
    <w:rsid w:val="00BC643E"/>
    <w:rsid w:val="00BD2451"/>
    <w:rsid w:val="00BE1976"/>
    <w:rsid w:val="00BF2F4A"/>
    <w:rsid w:val="00C04D95"/>
    <w:rsid w:val="00C12167"/>
    <w:rsid w:val="00C335BA"/>
    <w:rsid w:val="00C3654F"/>
    <w:rsid w:val="00C403BC"/>
    <w:rsid w:val="00C447BD"/>
    <w:rsid w:val="00C47746"/>
    <w:rsid w:val="00C5129C"/>
    <w:rsid w:val="00C53380"/>
    <w:rsid w:val="00C61A5E"/>
    <w:rsid w:val="00C81A17"/>
    <w:rsid w:val="00CA0F5A"/>
    <w:rsid w:val="00CA575D"/>
    <w:rsid w:val="00CB0D3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34BB"/>
    <w:rsid w:val="00DD5275"/>
    <w:rsid w:val="00DE04F2"/>
    <w:rsid w:val="00DE1783"/>
    <w:rsid w:val="00DE1F08"/>
    <w:rsid w:val="00DE60CD"/>
    <w:rsid w:val="00DE7276"/>
    <w:rsid w:val="00E0746D"/>
    <w:rsid w:val="00E12641"/>
    <w:rsid w:val="00E12DF2"/>
    <w:rsid w:val="00E35C29"/>
    <w:rsid w:val="00E430A7"/>
    <w:rsid w:val="00E53AD1"/>
    <w:rsid w:val="00E54D57"/>
    <w:rsid w:val="00E62B5D"/>
    <w:rsid w:val="00E67930"/>
    <w:rsid w:val="00E84E6A"/>
    <w:rsid w:val="00E90AD3"/>
    <w:rsid w:val="00E961F6"/>
    <w:rsid w:val="00EA795E"/>
    <w:rsid w:val="00EB38E9"/>
    <w:rsid w:val="00EC408A"/>
    <w:rsid w:val="00EC4494"/>
    <w:rsid w:val="00EC75FC"/>
    <w:rsid w:val="00ED65C0"/>
    <w:rsid w:val="00EF15C3"/>
    <w:rsid w:val="00EF5ABE"/>
    <w:rsid w:val="00F21FE8"/>
    <w:rsid w:val="00F416D5"/>
    <w:rsid w:val="00F7752B"/>
    <w:rsid w:val="00F81B78"/>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