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64804" w:rsidP="004B0309">
      <w:pPr>
        <w:spacing w:after="0" w:line="240" w:lineRule="auto"/>
        <w:jc w:val="right"/>
        <w:rPr>
          <w:rFonts w:ascii="Times New Roman" w:hAnsi="Times New Roman" w:cs="Times New Roman"/>
          <w:b/>
        </w:rPr>
      </w:pPr>
      <w:r>
        <w:rPr>
          <w:rFonts w:ascii="Times New Roman" w:hAnsi="Times New Roman" w:cs="Times New Roman"/>
          <w:b/>
        </w:rPr>
        <w:t>DA 20-</w:t>
      </w:r>
      <w:r w:rsidR="00DF475C">
        <w:rPr>
          <w:rFonts w:ascii="Times New Roman" w:hAnsi="Times New Roman" w:cs="Times New Roman"/>
          <w:b/>
        </w:rPr>
        <w:t>203</w:t>
      </w:r>
    </w:p>
    <w:p w:rsidR="00564804">
      <w:pPr>
        <w:spacing w:before="60" w:line="240" w:lineRule="auto"/>
        <w:jc w:val="right"/>
        <w:rPr>
          <w:rFonts w:ascii="Times New Roman" w:hAnsi="Times New Roman" w:cs="Times New Roman"/>
          <w:b/>
        </w:rPr>
      </w:pPr>
      <w:r>
        <w:rPr>
          <w:rFonts w:ascii="Times New Roman" w:hAnsi="Times New Roman" w:cs="Times New Roman"/>
          <w:b/>
        </w:rPr>
        <w:t>Released:  February 27, 2020</w:t>
      </w:r>
    </w:p>
    <w:p w:rsidR="00564804">
      <w:pPr>
        <w:spacing w:after="0" w:line="240" w:lineRule="auto"/>
        <w:ind w:firstLine="720"/>
        <w:jc w:val="center"/>
        <w:rPr>
          <w:rFonts w:ascii="Times New Roman" w:hAnsi="Times New Roman" w:cs="Times New Roman"/>
          <w:b/>
          <w:caps/>
        </w:rPr>
      </w:pPr>
      <w:r>
        <w:rPr>
          <w:rFonts w:ascii="Times New Roman" w:hAnsi="Times New Roman" w:cs="Times New Roman"/>
          <w:b/>
          <w:caps/>
        </w:rPr>
        <w:t>MEDIA BUREAU seeks comment on whether to extend the effective date of NEw Truth-in-billing requirements IN the television viewer protection act of 2019</w:t>
      </w:r>
    </w:p>
    <w:p w:rsidR="00564804">
      <w:pPr>
        <w:spacing w:after="0" w:line="240" w:lineRule="auto"/>
        <w:ind w:firstLine="720"/>
        <w:rPr>
          <w:rFonts w:ascii="Times New Roman" w:hAnsi="Times New Roman" w:cs="Times New Roman"/>
          <w:b/>
          <w:caps/>
        </w:rPr>
      </w:pPr>
    </w:p>
    <w:p w:rsidR="00564804">
      <w:pPr>
        <w:spacing w:after="0" w:line="240" w:lineRule="auto"/>
        <w:jc w:val="center"/>
        <w:rPr>
          <w:rFonts w:ascii="Times New Roman" w:hAnsi="Times New Roman" w:cs="Times New Roman"/>
          <w:b/>
        </w:rPr>
      </w:pPr>
      <w:r>
        <w:rPr>
          <w:rFonts w:ascii="Times New Roman" w:hAnsi="Times New Roman" w:cs="Times New Roman"/>
          <w:b/>
        </w:rPr>
        <w:t>MB Docket No. 20-</w:t>
      </w:r>
      <w:r w:rsidR="00DF475C">
        <w:rPr>
          <w:rFonts w:ascii="Times New Roman" w:hAnsi="Times New Roman" w:cs="Times New Roman"/>
          <w:b/>
        </w:rPr>
        <w:t>61</w:t>
      </w:r>
      <w:r>
        <w:rPr>
          <w:rFonts w:ascii="Times New Roman" w:hAnsi="Times New Roman" w:cs="Times New Roman"/>
          <w:b/>
        </w:rPr>
        <w:t xml:space="preserve"> </w:t>
      </w:r>
    </w:p>
    <w:p w:rsidR="00564804">
      <w:pPr>
        <w:spacing w:after="0" w:line="240" w:lineRule="auto"/>
        <w:rPr>
          <w:rFonts w:ascii="Times New Roman" w:hAnsi="Times New Roman" w:cs="Times New Roman"/>
          <w:b/>
          <w:caps/>
        </w:rPr>
      </w:pPr>
    </w:p>
    <w:p w:rsidR="00564804" w:rsidRPr="004B0309">
      <w:pPr>
        <w:autoSpaceDE w:val="0"/>
        <w:autoSpaceDN w:val="0"/>
        <w:adjustRightInd w:val="0"/>
        <w:spacing w:after="0" w:line="240" w:lineRule="auto"/>
        <w:rPr>
          <w:rFonts w:ascii="Times New Roman" w:hAnsi="Times New Roman" w:cs="Times New Roman"/>
          <w:b/>
          <w:bCs/>
        </w:rPr>
      </w:pPr>
      <w:r w:rsidRPr="004B0309">
        <w:rPr>
          <w:rFonts w:ascii="Times New Roman" w:hAnsi="Times New Roman" w:cs="Times New Roman"/>
          <w:b/>
          <w:bCs/>
        </w:rPr>
        <w:t>Comment Date:  [21 days after F</w:t>
      </w:r>
      <w:r>
        <w:rPr>
          <w:rFonts w:ascii="Times New Roman" w:hAnsi="Times New Roman" w:cs="Times New Roman"/>
          <w:b/>
          <w:bCs/>
        </w:rPr>
        <w:t>ederal Register</w:t>
      </w:r>
      <w:r w:rsidRPr="004B0309">
        <w:rPr>
          <w:rFonts w:ascii="Times New Roman" w:hAnsi="Times New Roman" w:cs="Times New Roman"/>
          <w:b/>
          <w:bCs/>
        </w:rPr>
        <w:t xml:space="preserve"> publication]</w:t>
      </w:r>
    </w:p>
    <w:p w:rsidR="00564804">
      <w:pPr>
        <w:spacing w:after="0" w:line="240" w:lineRule="auto"/>
        <w:rPr>
          <w:rFonts w:ascii="Times New Roman" w:hAnsi="Times New Roman" w:cs="Times New Roman"/>
          <w:b/>
          <w:bCs/>
        </w:rPr>
      </w:pPr>
      <w:r w:rsidRPr="004B0309">
        <w:rPr>
          <w:rFonts w:ascii="Times New Roman" w:hAnsi="Times New Roman" w:cs="Times New Roman"/>
          <w:b/>
          <w:bCs/>
        </w:rPr>
        <w:t xml:space="preserve">Reply Comment Date:  [28 days after </w:t>
      </w:r>
      <w:r>
        <w:rPr>
          <w:rFonts w:ascii="Times New Roman" w:hAnsi="Times New Roman" w:cs="Times New Roman"/>
          <w:b/>
          <w:bCs/>
        </w:rPr>
        <w:t>Federal Register</w:t>
      </w:r>
      <w:r w:rsidRPr="004B0309">
        <w:rPr>
          <w:rFonts w:ascii="Times New Roman" w:hAnsi="Times New Roman" w:cs="Times New Roman"/>
          <w:b/>
          <w:bCs/>
        </w:rPr>
        <w:t xml:space="preserve"> publication]</w:t>
      </w:r>
    </w:p>
    <w:p w:rsidR="004B0309" w:rsidP="004B0309">
      <w:pPr>
        <w:spacing w:after="0" w:line="240" w:lineRule="auto"/>
        <w:ind w:firstLine="720"/>
        <w:rPr>
          <w:rFonts w:ascii="Times New Roman" w:hAnsi="Times New Roman" w:cs="Times New Roman"/>
        </w:rPr>
      </w:pPr>
    </w:p>
    <w:p w:rsidR="00564804">
      <w:pPr>
        <w:spacing w:line="240" w:lineRule="auto"/>
        <w:ind w:firstLine="720"/>
        <w:rPr>
          <w:rFonts w:ascii="Times New Roman" w:hAnsi="Times New Roman" w:cs="Times New Roman"/>
        </w:rPr>
      </w:pPr>
      <w:r>
        <w:rPr>
          <w:rFonts w:ascii="Times New Roman" w:hAnsi="Times New Roman" w:cs="Times New Roman"/>
        </w:rPr>
        <w:t>On December 20, 2019, Congress enacted the Television Viewer Protection Act of 2019 (TVPA),</w:t>
      </w:r>
      <w:r>
        <w:rPr>
          <w:rFonts w:ascii="Times New Roman" w:hAnsi="Times New Roman" w:cs="Times New Roman"/>
          <w:vertAlign w:val="superscript"/>
        </w:rPr>
        <w:footnoteReference w:id="3"/>
      </w:r>
      <w:r>
        <w:rPr>
          <w:rFonts w:ascii="Times New Roman" w:hAnsi="Times New Roman" w:cs="Times New Roman"/>
        </w:rPr>
        <w:t xml:space="preserve"> which added section 642 to Title VI of the Communications Act of 1934, as amended (the Act).</w:t>
      </w:r>
      <w:r>
        <w:rPr>
          <w:rStyle w:val="FootnoteReference"/>
          <w:rFonts w:cs="Times New Roman"/>
        </w:rPr>
        <w:footnoteReference w:id="4"/>
      </w:r>
      <w:r>
        <w:rPr>
          <w:rFonts w:ascii="Times New Roman" w:hAnsi="Times New Roman" w:cs="Times New Roman"/>
        </w:rPr>
        <w:t xml:space="preserve">  Section 642 requires multichannel video programming distributors (MVPDs) to “give consumers a breakdown of all charges related to the MVPD’s video service” before entering into a contract with a consumer for service,</w:t>
      </w:r>
      <w:r>
        <w:rPr>
          <w:rStyle w:val="FootnoteReference"/>
          <w:rFonts w:cs="Times New Roman"/>
        </w:rPr>
        <w:footnoteReference w:id="5"/>
      </w:r>
      <w:r>
        <w:rPr>
          <w:rFonts w:ascii="Times New Roman" w:hAnsi="Times New Roman" w:cs="Times New Roman"/>
        </w:rPr>
        <w:t xml:space="preserve"> and also gives consumers 24 hours in which to cancel such service without penalty.</w:t>
      </w:r>
      <w:r>
        <w:rPr>
          <w:rStyle w:val="FootnoteReference"/>
          <w:rFonts w:cs="Times New Roman"/>
        </w:rPr>
        <w:footnoteReference w:id="6"/>
      </w:r>
      <w:r>
        <w:rPr>
          <w:rFonts w:ascii="Times New Roman" w:hAnsi="Times New Roman" w:cs="Times New Roman"/>
        </w:rPr>
        <w:t xml:space="preserve">  In addition, section 642 requires greater transparency in electronic bills and prohibits MVPDs and providers of fixed broadband Internet access service from charging consumers for equipment they do not provide.</w:t>
      </w:r>
      <w:r>
        <w:rPr>
          <w:rStyle w:val="FootnoteReference"/>
          <w:rFonts w:cs="Times New Roman"/>
        </w:rPr>
        <w:footnoteReference w:id="7"/>
      </w:r>
      <w:r>
        <w:rPr>
          <w:rFonts w:ascii="Times New Roman" w:hAnsi="Times New Roman" w:cs="Times New Roman"/>
        </w:rPr>
        <w:t xml:space="preserve">  Section 642 of the Act, as added by the TVPA, becomes effective June 20, 2020, six months after the date of enactment of the TVPA; however, the Commission for “good cause” may extend the effective date by six months.</w:t>
      </w:r>
      <w:r>
        <w:rPr>
          <w:rStyle w:val="FootnoteReference"/>
          <w:rFonts w:cs="Times New Roman"/>
        </w:rPr>
        <w:footnoteReference w:id="8"/>
      </w:r>
      <w:r>
        <w:rPr>
          <w:rFonts w:ascii="Times New Roman" w:hAnsi="Times New Roman" w:cs="Times New Roman"/>
        </w:rPr>
        <w:t xml:space="preserve">  In this Public Notice, we seek comment on whether, pursuant to section 1004(b) of the TVPA, good cause exists for granting a blanket extension of section 642’s effective date by six months, until December 20, 2020.  Parties advocating for a blanket extension should explain in </w:t>
      </w:r>
      <w:r>
        <w:rPr>
          <w:rFonts w:ascii="Times New Roman" w:hAnsi="Times New Roman" w:cs="Times New Roman"/>
        </w:rPr>
        <w:t>detail the bases for their assertion that the effective date should be so extended.  For example, parties seeking an extension could describe the steps they need to undertake to update their billing systems in order to provide the required information to consumers, the time needed to implement such updates, and any associated employee training needed to fulfill the new requirements.</w:t>
      </w:r>
    </w:p>
    <w:p w:rsidR="00564804">
      <w:pPr>
        <w:spacing w:line="240" w:lineRule="auto"/>
        <w:ind w:firstLine="720"/>
        <w:rPr>
          <w:rFonts w:ascii="Times New Roman" w:eastAsia="Times New Roman" w:hAnsi="Times New Roman" w:cs="Times New Roman"/>
          <w:snapToGrid w:val="0"/>
          <w:kern w:val="28"/>
          <w:szCs w:val="20"/>
        </w:rPr>
      </w:pPr>
      <w:r>
        <w:rPr>
          <w:rFonts w:ascii="Times New Roman" w:eastAsia="Times New Roman" w:hAnsi="Times New Roman" w:cs="Times New Roman"/>
          <w:i/>
          <w:snapToGrid w:val="0"/>
          <w:kern w:val="28"/>
          <w:szCs w:val="20"/>
        </w:rPr>
        <w:t>Initial Regulatory Flexibility Analysis</w:t>
      </w:r>
      <w:r>
        <w:rPr>
          <w:rFonts w:ascii="Times New Roman" w:eastAsia="Times New Roman" w:hAnsi="Times New Roman" w:cs="Times New Roman"/>
          <w:snapToGrid w:val="0"/>
          <w:kern w:val="28"/>
          <w:szCs w:val="20"/>
        </w:rPr>
        <w:t xml:space="preserve">.  As </w:t>
      </w:r>
      <w:r>
        <w:rPr>
          <w:rFonts w:ascii="Times New Roman" w:hAnsi="Times New Roman" w:cs="Times New Roman"/>
        </w:rPr>
        <w:t>required</w:t>
      </w:r>
      <w:r>
        <w:rPr>
          <w:rFonts w:ascii="Times New Roman" w:eastAsia="Times New Roman" w:hAnsi="Times New Roman" w:cs="Times New Roman"/>
          <w:snapToGrid w:val="0"/>
          <w:kern w:val="28"/>
          <w:szCs w:val="20"/>
        </w:rPr>
        <w:t xml:space="preserve"> by the Regulatory Flexibility Act of 1980, as amended (RFA),</w:t>
      </w:r>
      <w:r>
        <w:rPr>
          <w:rFonts w:ascii="Times New Roman" w:eastAsia="Times New Roman" w:hAnsi="Times New Roman" w:cs="Times New Roman"/>
          <w:snapToGrid w:val="0"/>
          <w:kern w:val="28"/>
          <w:szCs w:val="20"/>
          <w:vertAlign w:val="superscript"/>
        </w:rPr>
        <w:footnoteReference w:id="9"/>
      </w:r>
      <w:r>
        <w:rPr>
          <w:rFonts w:ascii="Times New Roman" w:eastAsia="Times New Roman" w:hAnsi="Times New Roman" w:cs="Times New Roman"/>
          <w:snapToGrid w:val="0"/>
          <w:kern w:val="28"/>
          <w:szCs w:val="20"/>
        </w:rPr>
        <w:t xml:space="preserve"> the Commission has prepared an Initial Regulatory Flexibility Analysis (IRFA) relating to this Public Notice.  The IRFA is set forth in the Attachment.</w:t>
      </w:r>
    </w:p>
    <w:p w:rsidR="00564804">
      <w:pPr>
        <w:spacing w:line="240" w:lineRule="auto"/>
        <w:ind w:firstLine="720"/>
        <w:rPr>
          <w:rFonts w:ascii="Times New Roman" w:hAnsi="Times New Roman" w:cs="Times New Roman"/>
        </w:rPr>
      </w:pPr>
      <w:r>
        <w:rPr>
          <w:rFonts w:ascii="Times New Roman" w:eastAsia="Times New Roman" w:hAnsi="Times New Roman" w:cs="Times New Roman"/>
          <w:i/>
          <w:snapToGrid w:val="0"/>
          <w:kern w:val="28"/>
          <w:szCs w:val="20"/>
        </w:rPr>
        <w:t>Ex Parte Rules – Permit-But-Disclose.</w:t>
      </w:r>
      <w:r>
        <w:rPr>
          <w:rFonts w:ascii="Times New Roman" w:eastAsia="Times New Roman" w:hAnsi="Times New Roman" w:cs="Times New Roman"/>
          <w:snapToGrid w:val="0"/>
          <w:kern w:val="28"/>
          <w:szCs w:val="20"/>
        </w:rPr>
        <w:t xml:space="preserve">  The proceeding this Public Notice initiates shall be treated as a “permit-but-disclose” proceeding in accordance with the Commission’s </w:t>
      </w:r>
      <w:r>
        <w:rPr>
          <w:rFonts w:ascii="Times New Roman" w:eastAsia="Times New Roman" w:hAnsi="Times New Roman" w:cs="Times New Roman"/>
          <w:i/>
          <w:iCs/>
          <w:snapToGrid w:val="0"/>
          <w:kern w:val="28"/>
          <w:szCs w:val="20"/>
        </w:rPr>
        <w:t xml:space="preserve">ex parte </w:t>
      </w:r>
      <w:r>
        <w:rPr>
          <w:rFonts w:ascii="Times New Roman" w:eastAsia="Times New Roman" w:hAnsi="Times New Roman" w:cs="Times New Roman"/>
          <w:snapToGrid w:val="0"/>
          <w:kern w:val="28"/>
          <w:szCs w:val="20"/>
        </w:rPr>
        <w:t>rules.</w:t>
      </w:r>
      <w:r>
        <w:rPr>
          <w:rFonts w:ascii="Times New Roman" w:eastAsia="Times New Roman" w:hAnsi="Times New Roman" w:cs="Times New Roman"/>
          <w:snapToGrid w:val="0"/>
          <w:kern w:val="28"/>
          <w:szCs w:val="20"/>
          <w:vertAlign w:val="superscript"/>
        </w:rPr>
        <w:footnoteReference w:id="10"/>
      </w:r>
      <w:r>
        <w:rPr>
          <w:rFonts w:ascii="Times New Roman" w:eastAsia="Times New Roman" w:hAnsi="Times New Roman" w:cs="Times New Roman"/>
          <w:snapToGrid w:val="0"/>
          <w:kern w:val="28"/>
          <w:szCs w:val="20"/>
        </w:rPr>
        <w:t xml:space="preserve">  Persons making </w:t>
      </w:r>
      <w:r>
        <w:rPr>
          <w:rFonts w:ascii="Times New Roman" w:eastAsia="Times New Roman" w:hAnsi="Times New Roman" w:cs="Times New Roman"/>
          <w:i/>
          <w:snapToGrid w:val="0"/>
          <w:kern w:val="28"/>
          <w:szCs w:val="20"/>
        </w:rPr>
        <w:t xml:space="preserve">ex parte </w:t>
      </w:r>
      <w:r>
        <w:rPr>
          <w:rFonts w:ascii="Times New Roman" w:eastAsia="Times New Roman" w:hAnsi="Times New Roman" w:cs="Times New Roman"/>
          <w:snapToGrid w:val="0"/>
          <w:kern w:val="28"/>
          <w:szCs w:val="20"/>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rFonts w:ascii="Times New Roman" w:eastAsia="Times New Roman" w:hAnsi="Times New Roman" w:cs="Times New Roman"/>
          <w:i/>
          <w:iCs/>
          <w:snapToGrid w:val="0"/>
          <w:kern w:val="28"/>
          <w:szCs w:val="20"/>
        </w:rPr>
        <w:t xml:space="preserve">ex parte </w:t>
      </w:r>
      <w:r>
        <w:rPr>
          <w:rFonts w:ascii="Times New Roman" w:eastAsia="Times New Roman" w:hAnsi="Times New Roman" w:cs="Times New Roman"/>
          <w:snapToGrid w:val="0"/>
          <w:kern w:val="28"/>
          <w:szCs w:val="20"/>
        </w:rPr>
        <w:t xml:space="preserve">presentations are reminded that memoranda summarizing the presentation must (1) list all persons attending or otherwise participating in the meeting at which the </w:t>
      </w:r>
      <w:r>
        <w:rPr>
          <w:rFonts w:ascii="Times New Roman" w:eastAsia="Times New Roman" w:hAnsi="Times New Roman" w:cs="Times New Roman"/>
          <w:i/>
          <w:iCs/>
          <w:snapToGrid w:val="0"/>
          <w:kern w:val="28"/>
          <w:szCs w:val="20"/>
        </w:rPr>
        <w:t xml:space="preserve">ex parte </w:t>
      </w:r>
      <w:r>
        <w:rPr>
          <w:rFonts w:ascii="Times New Roman" w:eastAsia="Times New Roman" w:hAnsi="Times New Roman" w:cs="Times New Roman"/>
          <w:snapToGrid w:val="0"/>
          <w:kern w:val="28"/>
          <w:szCs w:val="20"/>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rFonts w:ascii="Times New Roman" w:eastAsia="Times New Roman" w:hAnsi="Times New Roman" w:cs="Times New Roman"/>
          <w:i/>
          <w:iCs/>
          <w:snapToGrid w:val="0"/>
          <w:kern w:val="28"/>
          <w:szCs w:val="20"/>
        </w:rPr>
        <w:t xml:space="preserve">ex parte </w:t>
      </w:r>
      <w:r>
        <w:rPr>
          <w:rFonts w:ascii="Times New Roman" w:eastAsia="Times New Roman" w:hAnsi="Times New Roman" w:cs="Times New Roman"/>
          <w:snapToGrid w:val="0"/>
          <w:kern w:val="28"/>
          <w:szCs w:val="20"/>
        </w:rPr>
        <w:t xml:space="preserve">meetings are deemed to be written </w:t>
      </w:r>
      <w:r>
        <w:rPr>
          <w:rFonts w:ascii="Times New Roman" w:eastAsia="Times New Roman" w:hAnsi="Times New Roman" w:cs="Times New Roman"/>
          <w:i/>
          <w:iCs/>
          <w:snapToGrid w:val="0"/>
          <w:kern w:val="28"/>
          <w:szCs w:val="20"/>
        </w:rPr>
        <w:t>ex parte</w:t>
      </w:r>
      <w:r>
        <w:rPr>
          <w:rFonts w:ascii="Times New Roman" w:eastAsia="Times New Roman" w:hAnsi="Times New Roman" w:cs="Times New Roman"/>
          <w:snapToGrid w:val="0"/>
          <w:kern w:val="28"/>
          <w:szCs w:val="20"/>
        </w:rPr>
        <w:t xml:space="preserve"> presentations and must be filed consistent with rule 1.1206(b).  In proceedings governed by rule 1.49(f) or for which the Commission has made available a method of electronic filing, written </w:t>
      </w:r>
      <w:r>
        <w:rPr>
          <w:rFonts w:ascii="Times New Roman" w:eastAsia="Times New Roman" w:hAnsi="Times New Roman" w:cs="Times New Roman"/>
          <w:i/>
          <w:iCs/>
          <w:snapToGrid w:val="0"/>
          <w:kern w:val="28"/>
          <w:szCs w:val="20"/>
        </w:rPr>
        <w:t xml:space="preserve">ex parte </w:t>
      </w:r>
      <w:r>
        <w:rPr>
          <w:rFonts w:ascii="Times New Roman" w:eastAsia="Times New Roman" w:hAnsi="Times New Roman" w:cs="Times New Roman"/>
          <w:snapToGrid w:val="0"/>
          <w:kern w:val="28"/>
          <w:szCs w:val="20"/>
        </w:rPr>
        <w:t xml:space="preserve">presentations and memoranda summarizing oral </w:t>
      </w:r>
      <w:r>
        <w:rPr>
          <w:rFonts w:ascii="Times New Roman" w:eastAsia="Times New Roman" w:hAnsi="Times New Roman" w:cs="Times New Roman"/>
          <w:i/>
          <w:iCs/>
          <w:snapToGrid w:val="0"/>
          <w:kern w:val="28"/>
          <w:szCs w:val="20"/>
        </w:rPr>
        <w:t xml:space="preserve">ex parte </w:t>
      </w:r>
      <w:r>
        <w:rPr>
          <w:rFonts w:ascii="Times New Roman" w:eastAsia="Times New Roman" w:hAnsi="Times New Roman" w:cs="Times New Roman"/>
          <w:snapToGrid w:val="0"/>
          <w:kern w:val="28"/>
          <w:szCs w:val="20"/>
        </w:rPr>
        <w:t>presentations, and all attachments thereto, must be filed through the electronic comment filing system available for that proceeding, and must be filed in their native format (</w:t>
      </w:r>
      <w:r>
        <w:rPr>
          <w:rFonts w:ascii="Times New Roman" w:eastAsia="Times New Roman" w:hAnsi="Times New Roman" w:cs="Times New Roman"/>
          <w:i/>
          <w:iCs/>
          <w:snapToGrid w:val="0"/>
          <w:kern w:val="28"/>
          <w:szCs w:val="20"/>
        </w:rPr>
        <w:t>e.g.</w:t>
      </w:r>
      <w:r>
        <w:rPr>
          <w:rFonts w:ascii="Times New Roman" w:eastAsia="Times New Roman" w:hAnsi="Times New Roman" w:cs="Times New Roman"/>
          <w:snapToGrid w:val="0"/>
          <w:kern w:val="28"/>
          <w:szCs w:val="20"/>
        </w:rPr>
        <w:t xml:space="preserve">, .doc, .xml, .ppt, searchable .pdf).  Participants in this proceeding should familiarize themselves with the Commission’s </w:t>
      </w:r>
      <w:r>
        <w:rPr>
          <w:rFonts w:ascii="Times New Roman" w:eastAsia="Times New Roman" w:hAnsi="Times New Roman" w:cs="Times New Roman"/>
          <w:i/>
          <w:iCs/>
          <w:snapToGrid w:val="0"/>
          <w:kern w:val="28"/>
          <w:szCs w:val="20"/>
        </w:rPr>
        <w:t xml:space="preserve">ex parte </w:t>
      </w:r>
      <w:r>
        <w:rPr>
          <w:rFonts w:ascii="Times New Roman" w:eastAsia="Times New Roman" w:hAnsi="Times New Roman" w:cs="Times New Roman"/>
          <w:snapToGrid w:val="0"/>
          <w:kern w:val="28"/>
          <w:szCs w:val="20"/>
        </w:rPr>
        <w:t>rules.</w:t>
      </w:r>
    </w:p>
    <w:p w:rsidR="00564804">
      <w:pPr>
        <w:spacing w:after="220" w:line="240" w:lineRule="auto"/>
        <w:ind w:firstLine="720"/>
        <w:rPr>
          <w:rFonts w:ascii="Times New Roman" w:hAnsi="Times New Roman" w:cs="Times New Roman"/>
          <w:b/>
        </w:rPr>
      </w:pPr>
      <w:r>
        <w:rPr>
          <w:rFonts w:ascii="Times New Roman" w:hAnsi="Times New Roman" w:cs="Times New Roman"/>
          <w:bCs/>
          <w:i/>
          <w:iCs/>
        </w:rPr>
        <w:t>Filing Comments and Replies</w:t>
      </w:r>
      <w:r>
        <w:rPr>
          <w:rFonts w:ascii="Times New Roman" w:hAnsi="Times New Roman" w:cs="Times New Roman"/>
          <w:bCs/>
        </w:rPr>
        <w:t>.  All filings must be submitted in MB Docket No. 20-</w:t>
      </w:r>
      <w:r w:rsidR="00DF475C">
        <w:rPr>
          <w:rFonts w:ascii="Times New Roman" w:hAnsi="Times New Roman" w:cs="Times New Roman"/>
          <w:bCs/>
        </w:rPr>
        <w:t>61</w:t>
      </w:r>
      <w:bookmarkStart w:id="0" w:name="_GoBack"/>
      <w:bookmarkEnd w:id="0"/>
      <w:r>
        <w:rPr>
          <w:rFonts w:ascii="Times New Roman" w:hAnsi="Times New Roman" w:cs="Times New Roman"/>
          <w:bCs/>
        </w:rPr>
        <w:t>.</w:t>
      </w:r>
      <w:r>
        <w:rPr>
          <w:rFonts w:ascii="Times New Roman" w:hAnsi="Times New Roman" w:cs="Times New Roman"/>
        </w:rPr>
        <w:t xml:space="preserve">  Interested parties may file comments and reply comments on or before the dates indicated on the first page of this document.  Comments may be filed using the Commission’s Electronic Comment Filing System (ECFS).  </w:t>
      </w:r>
      <w:r>
        <w:rPr>
          <w:rFonts w:ascii="Times New Roman" w:hAnsi="Times New Roman" w:cs="Times New Roman"/>
          <w:i/>
        </w:rPr>
        <w:t>See Electronic Filing of Documents in Rulemaking Proceedings</w:t>
      </w:r>
      <w:r>
        <w:rPr>
          <w:rFonts w:ascii="Times New Roman" w:hAnsi="Times New Roman" w:cs="Times New Roman"/>
        </w:rPr>
        <w:t>, 63 FR 24121 (1998).</w:t>
      </w:r>
    </w:p>
    <w:p w:rsidR="00564804">
      <w:pPr>
        <w:numPr>
          <w:ilvl w:val="0"/>
          <w:numId w:val="10"/>
        </w:numPr>
        <w:spacing w:after="120" w:line="240" w:lineRule="auto"/>
        <w:rPr>
          <w:rFonts w:ascii="Times New Roman" w:hAnsi="Times New Roman" w:cs="Times New Roman"/>
        </w:rPr>
      </w:pPr>
      <w:r>
        <w:rPr>
          <w:rFonts w:ascii="Times New Roman" w:hAnsi="Times New Roman" w:cs="Times New Roman"/>
        </w:rPr>
        <w:t xml:space="preserve">Electronic Filers:  Comments may be filed electronically using the Internet by accessing the ECFS:  http://fjallfoss.fcc.gov/ecfs2/.  </w:t>
      </w:r>
    </w:p>
    <w:p w:rsidR="00564804">
      <w:pPr>
        <w:numPr>
          <w:ilvl w:val="0"/>
          <w:numId w:val="8"/>
        </w:numPr>
        <w:spacing w:after="120" w:line="240" w:lineRule="auto"/>
        <w:rPr>
          <w:rFonts w:ascii="Times New Roman" w:hAnsi="Times New Roman" w:cs="Times New Roman"/>
        </w:rPr>
      </w:pPr>
      <w:r>
        <w:rPr>
          <w:rFonts w:ascii="Times New Roman" w:hAnsi="Times New Roman" w:cs="Times New Roman"/>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564804">
      <w:pPr>
        <w:numPr>
          <w:ilvl w:val="0"/>
          <w:numId w:val="8"/>
        </w:numPr>
        <w:spacing w:after="120" w:line="240" w:lineRule="auto"/>
        <w:rPr>
          <w:rFonts w:ascii="Times New Roman" w:hAnsi="Times New Roman" w:cs="Times New Roman"/>
        </w:rPr>
      </w:pPr>
      <w:r>
        <w:rPr>
          <w:rFonts w:ascii="Times New Roman" w:hAnsi="Times New Roman" w:cs="Times New Roman"/>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64804">
      <w:pPr>
        <w:numPr>
          <w:ilvl w:val="0"/>
          <w:numId w:val="9"/>
        </w:numPr>
        <w:spacing w:after="120" w:line="240" w:lineRule="auto"/>
        <w:rPr>
          <w:rFonts w:ascii="Times New Roman" w:hAnsi="Times New Roman" w:cs="Times New Roman"/>
        </w:rPr>
      </w:pPr>
      <w:r>
        <w:rPr>
          <w:rFonts w:ascii="Times New Roman" w:hAnsi="Times New Roman" w:cs="Times New Roman"/>
        </w:rPr>
        <w:t>All hand-delivered or messenger-delivered paper filings for the Commission’s Secretary must be delivered to FCC Headquarters at 445 12</w:t>
      </w:r>
      <w:r>
        <w:rPr>
          <w:rFonts w:ascii="Times New Roman" w:hAnsi="Times New Roman" w:cs="Times New Roman"/>
          <w:vertAlign w:val="superscript"/>
        </w:rPr>
        <w:t>th</w:t>
      </w:r>
      <w:r>
        <w:rPr>
          <w:rFonts w:ascii="Times New Roman" w:hAnsi="Times New Roman" w:cs="Times New Roman"/>
        </w:rPr>
        <w:t xml:space="preserve"> Street, SW, Room TW-A325, Washington, DC 20554.  The filing hours are 8:00 a.m. to 7:00 p.m.  All hand deliveries must be held together with rubber bands or fasteners.  Any envelopes and boxes must be disposed of </w:t>
      </w:r>
      <w:r>
        <w:rPr>
          <w:rFonts w:ascii="Times New Roman" w:hAnsi="Times New Roman" w:cs="Times New Roman"/>
          <w:u w:val="single"/>
        </w:rPr>
        <w:t>before</w:t>
      </w:r>
      <w:r>
        <w:rPr>
          <w:rFonts w:ascii="Times New Roman" w:hAnsi="Times New Roman" w:cs="Times New Roman"/>
        </w:rPr>
        <w:t xml:space="preserve"> entering the building.  </w:t>
      </w:r>
    </w:p>
    <w:p w:rsidR="00564804">
      <w:pPr>
        <w:numPr>
          <w:ilvl w:val="0"/>
          <w:numId w:val="9"/>
        </w:numPr>
        <w:spacing w:after="120" w:line="240" w:lineRule="auto"/>
        <w:rPr>
          <w:rFonts w:ascii="Times New Roman" w:hAnsi="Times New Roman" w:cs="Times New Roman"/>
        </w:rPr>
      </w:pPr>
      <w:r>
        <w:rPr>
          <w:rFonts w:ascii="Times New Roman" w:hAnsi="Times New Roman" w:cs="Times New Roman"/>
        </w:rPr>
        <w:t>Commercial overnight mail (other than U.S. Postal Service Express Mail and Priority Mail) must be sent to 9050 Junction Drive, Annapolis Junction, MD 20701.</w:t>
      </w:r>
    </w:p>
    <w:p w:rsidR="00564804">
      <w:pPr>
        <w:numPr>
          <w:ilvl w:val="0"/>
          <w:numId w:val="9"/>
        </w:numPr>
        <w:spacing w:after="120" w:line="240" w:lineRule="auto"/>
        <w:rPr>
          <w:rFonts w:ascii="Times New Roman" w:hAnsi="Times New Roman" w:cs="Times New Roman"/>
        </w:rPr>
      </w:pPr>
      <w:r>
        <w:rPr>
          <w:rFonts w:ascii="Times New Roman" w:hAnsi="Times New Roman" w:cs="Times New Roman"/>
        </w:rPr>
        <w:t>U.S. Postal Service first-class, Express, and Priority mail must be addressed to 445 12</w:t>
      </w:r>
      <w:r>
        <w:rPr>
          <w:rFonts w:ascii="Times New Roman" w:hAnsi="Times New Roman" w:cs="Times New Roman"/>
          <w:vertAlign w:val="superscript"/>
        </w:rPr>
        <w:t>th</w:t>
      </w:r>
      <w:r>
        <w:rPr>
          <w:rFonts w:ascii="Times New Roman" w:hAnsi="Times New Roman" w:cs="Times New Roman"/>
        </w:rPr>
        <w:t xml:space="preserve"> Street, SW, Washington, DC 20554.</w:t>
      </w:r>
    </w:p>
    <w:p w:rsidR="00564804">
      <w:pPr>
        <w:spacing w:after="120" w:line="240" w:lineRule="auto"/>
        <w:ind w:firstLine="720"/>
        <w:rPr>
          <w:rFonts w:ascii="Times New Roman" w:hAnsi="Times New Roman" w:cs="Times New Roman"/>
          <w:b/>
        </w:rPr>
      </w:pPr>
      <w:r>
        <w:rPr>
          <w:rFonts w:ascii="Times New Roman" w:hAnsi="Times New Roman" w:cs="Times New Roman"/>
          <w:i/>
        </w:rPr>
        <w:t>Availability of Documents</w:t>
      </w:r>
      <w:r>
        <w:rPr>
          <w:rFonts w:ascii="Times New Roman" w:hAnsi="Times New Roman" w:cs="Times New Roman"/>
        </w:rPr>
        <w:t xml:space="preserve">.  Comments, </w:t>
      </w:r>
      <w:r>
        <w:rPr>
          <w:rFonts w:ascii="Times New Roman" w:hAnsi="Times New Roman" w:cs="Times New Roman"/>
          <w:bCs/>
        </w:rPr>
        <w:t>reply</w:t>
      </w:r>
      <w:r>
        <w:rPr>
          <w:rFonts w:ascii="Times New Roman" w:hAnsi="Times New Roman" w:cs="Times New Roman"/>
        </w:rPr>
        <w:t xml:space="preserve"> comments, and </w:t>
      </w:r>
      <w:r>
        <w:rPr>
          <w:rFonts w:ascii="Times New Roman" w:hAnsi="Times New Roman" w:cs="Times New Roman"/>
          <w:i/>
        </w:rPr>
        <w:t>ex parte</w:t>
      </w:r>
      <w:r>
        <w:rPr>
          <w:rFonts w:ascii="Times New Roman" w:hAnsi="Times New Roman" w:cs="Times New Roman"/>
        </w:rPr>
        <w:t xml:space="preserve"> submissions will be available for public inspection during regular business hours in the FCC Reference Center, Federal Communications Commission, 445 12</w:t>
      </w:r>
      <w:r>
        <w:rPr>
          <w:rFonts w:ascii="Times New Roman" w:hAnsi="Times New Roman" w:cs="Times New Roman"/>
          <w:vertAlign w:val="superscript"/>
        </w:rPr>
        <w:t>th</w:t>
      </w:r>
      <w:r>
        <w:rPr>
          <w:rFonts w:ascii="Times New Roman" w:hAnsi="Times New Roman" w:cs="Times New Roman"/>
        </w:rPr>
        <w:t xml:space="preserve"> Street, SW, CY-A257, Washington, DC 20554.  These documents will also be available via ECFS.  Documents will be available electronically in ASCII, Microsoft Word, and/or Adobe Acrobat.</w:t>
      </w:r>
    </w:p>
    <w:p w:rsidR="00564804">
      <w:pPr>
        <w:spacing w:after="120" w:line="240" w:lineRule="auto"/>
        <w:ind w:firstLine="720"/>
        <w:rPr>
          <w:rFonts w:ascii="Times New Roman" w:hAnsi="Times New Roman" w:cs="Times New Roman"/>
        </w:rPr>
      </w:pPr>
      <w:r>
        <w:rPr>
          <w:rFonts w:ascii="Times New Roman" w:hAnsi="Times New Roman" w:cs="Times New Roman"/>
          <w:i/>
        </w:rPr>
        <w:t>People with Disabilities</w:t>
      </w:r>
      <w:r>
        <w:rPr>
          <w:rFonts w:ascii="Times New Roman" w:hAnsi="Times New Roman" w:cs="Times New Roman"/>
        </w:rPr>
        <w:t xml:space="preserve">.  To request </w:t>
      </w:r>
      <w:r>
        <w:rPr>
          <w:rFonts w:ascii="Times New Roman" w:hAnsi="Times New Roman" w:cs="Times New Roman"/>
          <w:bCs/>
        </w:rPr>
        <w:t>materials</w:t>
      </w:r>
      <w:r>
        <w:rPr>
          <w:rFonts w:ascii="Times New Roman" w:hAnsi="Times New Roman" w:cs="Times New Roman"/>
        </w:rPr>
        <w:t xml:space="preserve"> in accessible formats for people with disabilities (Braille, large print, electronic files, audio format), send an e-mail to </w:t>
      </w:r>
      <w:hyperlink r:id="rId5" w:history="1">
        <w:r>
          <w:rPr>
            <w:rFonts w:ascii="Times New Roman" w:hAnsi="Times New Roman" w:cs="Times New Roman"/>
            <w:color w:val="0000FF"/>
            <w:u w:val="single"/>
          </w:rPr>
          <w:t>fcc504@fcc.gov</w:t>
        </w:r>
      </w:hyperlink>
      <w:r>
        <w:rPr>
          <w:rFonts w:ascii="Times New Roman" w:hAnsi="Times New Roman" w:cs="Times New Roman"/>
        </w:rPr>
        <w:t xml:space="preserve"> or call the FCC’s Consumer &amp; Governmental Affairs Bureau at (202) 418-0530 (voice), (202) 418-0432 (TTY).</w:t>
      </w:r>
    </w:p>
    <w:p w:rsidR="00564804">
      <w:pPr>
        <w:keepNext/>
        <w:keepLines/>
        <w:spacing w:after="120" w:line="240" w:lineRule="auto"/>
        <w:jc w:val="center"/>
        <w:rPr>
          <w:rFonts w:ascii="Times New Roman" w:hAnsi="Times New Roman" w:cs="Times New Roman"/>
        </w:rPr>
      </w:pPr>
      <w:r>
        <w:rPr>
          <w:rFonts w:ascii="Times New Roman" w:hAnsi="Times New Roman" w:cs="Times New Roman"/>
          <w:color w:val="010101"/>
        </w:rPr>
        <w:t xml:space="preserve">For further information, contact Raelynn Remy, </w:t>
      </w:r>
      <w:hyperlink r:id="rId6" w:history="1">
        <w:r>
          <w:rPr>
            <w:rStyle w:val="Hyperlink"/>
            <w:rFonts w:ascii="Times New Roman" w:hAnsi="Times New Roman" w:cs="Times New Roman"/>
          </w:rPr>
          <w:t>Raelynn.Remy@fcc.gov</w:t>
        </w:r>
      </w:hyperlink>
      <w:r>
        <w:rPr>
          <w:rFonts w:ascii="Times New Roman" w:hAnsi="Times New Roman" w:cs="Times New Roman"/>
          <w:color w:val="010101"/>
        </w:rPr>
        <w:t xml:space="preserve"> or (202) 418-2120.</w:t>
      </w:r>
    </w:p>
    <w:p w:rsidR="00564804">
      <w:pPr>
        <w:keepNext/>
        <w:keepLines/>
        <w:spacing w:line="240" w:lineRule="auto"/>
        <w:jc w:val="center"/>
        <w:rPr>
          <w:rFonts w:ascii="Times New Roman" w:hAnsi="Times New Roman" w:cs="Times New Roman"/>
          <w:b/>
        </w:rPr>
      </w:pPr>
      <w:r>
        <w:rPr>
          <w:rFonts w:ascii="Times New Roman" w:hAnsi="Times New Roman" w:cs="Times New Roman"/>
          <w:b/>
        </w:rPr>
        <w:t>- FCC -–</w:t>
      </w:r>
    </w:p>
    <w:p w:rsidR="00564804">
      <w:pPr>
        <w:keepNext/>
        <w:keepLines/>
        <w:spacing w:line="240" w:lineRule="auto"/>
        <w:jc w:val="center"/>
        <w:rPr>
          <w:rFonts w:ascii="Times New Roman" w:hAnsi="Times New Roman" w:cs="Times New Roman"/>
          <w:b/>
        </w:rPr>
      </w:pPr>
    </w:p>
    <w:p w:rsidR="00564804">
      <w:pPr>
        <w:keepNext/>
        <w:keepLines/>
        <w:spacing w:line="240" w:lineRule="auto"/>
        <w:jc w:val="center"/>
        <w:rPr>
          <w:rFonts w:ascii="Times New Roman" w:hAnsi="Times New Roman" w:cs="Times New Roman"/>
          <w:b/>
        </w:rPr>
      </w:pPr>
    </w:p>
    <w:p w:rsidR="00564804">
      <w:pPr>
        <w:keepNext/>
        <w:keepLines/>
        <w:spacing w:line="240" w:lineRule="auto"/>
        <w:jc w:val="center"/>
        <w:rPr>
          <w:rFonts w:ascii="Times New Roman" w:hAnsi="Times New Roman" w:cs="Times New Roman"/>
          <w:b/>
        </w:rPr>
      </w:pPr>
    </w:p>
    <w:p w:rsidR="00564804">
      <w:pPr>
        <w:spacing w:after="0" w:line="240" w:lineRule="auto"/>
        <w:rPr>
          <w:rFonts w:ascii="Times New Roman" w:eastAsia="Times New Roman" w:hAnsi="Times New Roman" w:cs="Times New Roman"/>
          <w:b/>
          <w:snapToGrid w:val="0"/>
          <w:kern w:val="28"/>
          <w:szCs w:val="20"/>
        </w:rPr>
      </w:pPr>
      <w:r>
        <w:rPr>
          <w:rFonts w:ascii="Times New Roman" w:eastAsia="Times New Roman" w:hAnsi="Times New Roman" w:cs="Times New Roman"/>
          <w:b/>
          <w:snapToGrid w:val="0"/>
          <w:kern w:val="28"/>
          <w:szCs w:val="20"/>
        </w:rPr>
        <w:br w:type="page"/>
      </w:r>
    </w:p>
    <w:p w:rsidR="00564804">
      <w:pPr>
        <w:widowControl w:val="0"/>
        <w:spacing w:after="120" w:line="240" w:lineRule="auto"/>
        <w:jc w:val="center"/>
        <w:rPr>
          <w:rFonts w:ascii="Times New Roman" w:eastAsia="Times New Roman" w:hAnsi="Times New Roman" w:cs="Times New Roman"/>
          <w:b/>
          <w:snapToGrid w:val="0"/>
          <w:kern w:val="28"/>
          <w:szCs w:val="20"/>
        </w:rPr>
      </w:pPr>
      <w:r>
        <w:rPr>
          <w:rFonts w:ascii="Times New Roman" w:eastAsia="Times New Roman" w:hAnsi="Times New Roman" w:cs="Times New Roman"/>
          <w:b/>
          <w:snapToGrid w:val="0"/>
          <w:kern w:val="28"/>
          <w:szCs w:val="20"/>
        </w:rPr>
        <w:t>ATTACHMENT</w:t>
      </w:r>
    </w:p>
    <w:p w:rsidR="00564804">
      <w:pPr>
        <w:widowControl w:val="0"/>
        <w:spacing w:after="120" w:line="240" w:lineRule="auto"/>
        <w:jc w:val="center"/>
        <w:rPr>
          <w:rFonts w:ascii="Times New Roman" w:eastAsia="Times New Roman" w:hAnsi="Times New Roman" w:cs="Times New Roman"/>
          <w:b/>
          <w:snapToGrid w:val="0"/>
          <w:kern w:val="28"/>
          <w:szCs w:val="20"/>
        </w:rPr>
      </w:pPr>
      <w:r>
        <w:rPr>
          <w:rFonts w:ascii="Times New Roman" w:eastAsia="Times New Roman" w:hAnsi="Times New Roman" w:cs="Times New Roman"/>
          <w:b/>
          <w:snapToGrid w:val="0"/>
          <w:kern w:val="28"/>
          <w:szCs w:val="20"/>
        </w:rPr>
        <w:t>Initial Regulatory Flexibility Analysis</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szCs w:val="20"/>
        </w:rPr>
      </w:pPr>
      <w:r>
        <w:rPr>
          <w:rFonts w:ascii="Times New Roman" w:eastAsia="Times New Roman" w:hAnsi="Times New Roman" w:cs="Times New Roman"/>
          <w:snapToGrid w:val="0"/>
          <w:kern w:val="28"/>
          <w:szCs w:val="20"/>
        </w:rPr>
        <w:t>As required by the Regulatory Flexibility Act of 1980, as amended (RFA),</w:t>
      </w:r>
      <w:r>
        <w:rPr>
          <w:rFonts w:ascii="Times New Roman" w:eastAsia="Times New Roman" w:hAnsi="Times New Roman" w:cs="Times New Roman"/>
          <w:snapToGrid w:val="0"/>
          <w:kern w:val="28"/>
          <w:szCs w:val="20"/>
          <w:vertAlign w:val="superscript"/>
        </w:rPr>
        <w:footnoteReference w:id="11"/>
      </w:r>
      <w:r>
        <w:rPr>
          <w:rFonts w:ascii="Times New Roman" w:eastAsia="Times New Roman" w:hAnsi="Times New Roman" w:cs="Times New Roman"/>
          <w:snapToGrid w:val="0"/>
          <w:kern w:val="28"/>
          <w:szCs w:val="20"/>
        </w:rPr>
        <w:t xml:space="preserve"> the Commission has prepared this Initial Regulatory Flexibility Analysis (IRFA) concerning the possible significant economic impact on small entities from any rules that may result from the attached Public Notice.  Written public comments are requested on this IRFA.  Comments must be identified as responses to the IRFA and must be filed by the deadlines for comments provided on the first page of the Public Notice.  The Commission will send a copy of the Public Notice, including this IRFA, to the Chief Counsel for Advocacy of the Small Business Administration (SBA).</w:t>
      </w:r>
      <w:r>
        <w:rPr>
          <w:rFonts w:ascii="Times New Roman" w:eastAsia="Times New Roman" w:hAnsi="Times New Roman" w:cs="Times New Roman"/>
          <w:snapToGrid w:val="0"/>
          <w:kern w:val="28"/>
          <w:szCs w:val="20"/>
          <w:vertAlign w:val="superscript"/>
        </w:rPr>
        <w:footnoteReference w:id="12"/>
      </w:r>
      <w:r>
        <w:rPr>
          <w:rFonts w:ascii="Times New Roman" w:eastAsia="Times New Roman" w:hAnsi="Times New Roman" w:cs="Times New Roman"/>
          <w:snapToGrid w:val="0"/>
          <w:kern w:val="28"/>
          <w:szCs w:val="20"/>
        </w:rPr>
        <w:t xml:space="preserve">  In addition, the Public Notice and IRFA (or summaries thereof) will be published in the Federal Register.</w:t>
      </w:r>
      <w:r>
        <w:rPr>
          <w:rFonts w:ascii="Times New Roman" w:eastAsia="Times New Roman" w:hAnsi="Times New Roman" w:cs="Times New Roman"/>
          <w:snapToGrid w:val="0"/>
          <w:kern w:val="28"/>
          <w:szCs w:val="20"/>
          <w:vertAlign w:val="superscript"/>
        </w:rPr>
        <w:footnoteReference w:id="13"/>
      </w:r>
    </w:p>
    <w:p w:rsidR="00564804">
      <w:pPr>
        <w:keepNext/>
        <w:widowControl w:val="0"/>
        <w:numPr>
          <w:ilvl w:val="1"/>
          <w:numId w:val="3"/>
        </w:numPr>
        <w:spacing w:after="120" w:line="240" w:lineRule="auto"/>
        <w:outlineLvl w:val="1"/>
        <w:rPr>
          <w:rFonts w:ascii="Times New Roman" w:eastAsia="Times New Roman" w:hAnsi="Times New Roman" w:cs="Times New Roman"/>
          <w:b/>
          <w:snapToGrid w:val="0"/>
          <w:kern w:val="28"/>
          <w:szCs w:val="20"/>
        </w:rPr>
      </w:pPr>
      <w:bookmarkStart w:id="1" w:name="_Toc290902738"/>
      <w:bookmarkStart w:id="2" w:name="_Toc290985340"/>
      <w:bookmarkStart w:id="3" w:name="_Toc395525831"/>
      <w:bookmarkStart w:id="4" w:name="_Toc395533581"/>
      <w:bookmarkStart w:id="5" w:name="_Toc395688829"/>
      <w:bookmarkStart w:id="6" w:name="_Toc396124452"/>
      <w:bookmarkStart w:id="7" w:name="_Toc396136530"/>
      <w:bookmarkStart w:id="8" w:name="_Toc396213562"/>
      <w:bookmarkStart w:id="9" w:name="_Toc396298480"/>
      <w:bookmarkStart w:id="10" w:name="_Toc402525583"/>
      <w:bookmarkStart w:id="11" w:name="_Toc404083778"/>
      <w:bookmarkStart w:id="12" w:name="_Toc404594700"/>
      <w:bookmarkStart w:id="13" w:name="_Toc407963512"/>
      <w:bookmarkStart w:id="14" w:name="_Toc408297257"/>
      <w:bookmarkStart w:id="15" w:name="_Toc411603981"/>
      <w:bookmarkStart w:id="16" w:name="_Toc414027014"/>
      <w:bookmarkStart w:id="17" w:name="_Toc479770706"/>
      <w:r>
        <w:rPr>
          <w:rFonts w:ascii="Times New Roman" w:eastAsia="Times New Roman" w:hAnsi="Times New Roman" w:cs="Times New Roman"/>
          <w:b/>
          <w:snapToGrid w:val="0"/>
          <w:kern w:val="28"/>
          <w:szCs w:val="20"/>
        </w:rPr>
        <w:t>Need for, and Objectives of, the Proposed Rules</w:t>
      </w:r>
      <w:bookmarkStart w:id="18" w:name="_Toc290902739"/>
      <w:bookmarkStart w:id="19" w:name="_Toc290985341"/>
      <w:bookmarkStart w:id="20" w:name="_Toc395525832"/>
      <w:bookmarkStart w:id="21" w:name="_Toc395533582"/>
      <w:bookmarkStart w:id="22" w:name="_Toc395688830"/>
      <w:bookmarkStart w:id="23" w:name="_Toc396124453"/>
      <w:bookmarkStart w:id="24" w:name="_Toc396136531"/>
      <w:bookmarkStart w:id="25" w:name="_Toc396213563"/>
      <w:bookmarkStart w:id="26" w:name="_Toc396298481"/>
      <w:bookmarkStart w:id="27" w:name="_Toc402525584"/>
      <w:bookmarkStart w:id="28" w:name="_Toc404083779"/>
      <w:bookmarkStart w:id="29" w:name="_Toc404594701"/>
      <w:bookmarkStart w:id="30" w:name="_Toc407963513"/>
      <w:bookmarkStart w:id="31" w:name="_Toc408297258"/>
      <w:bookmarkStart w:id="32" w:name="_Toc411603982"/>
      <w:bookmarkStart w:id="33" w:name="_Toc41402701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szCs w:val="20"/>
        </w:rPr>
      </w:pPr>
      <w:r>
        <w:rPr>
          <w:rFonts w:ascii="Times New Roman" w:eastAsia="Times New Roman" w:hAnsi="Times New Roman" w:cs="Times New Roman"/>
          <w:snapToGrid w:val="0"/>
          <w:kern w:val="28"/>
          <w:szCs w:val="20"/>
        </w:rPr>
        <w:t xml:space="preserve">In the attached Public Notice, </w:t>
      </w:r>
      <w:r>
        <w:rPr>
          <w:rFonts w:ascii="Times New Roman" w:hAnsi="Times New Roman" w:cs="Times New Roman"/>
        </w:rPr>
        <w:t>we seek comment on whether, pursuant to section 1004(b) of the Television Viewer Protection Act of 2019 (TVPA),</w:t>
      </w:r>
      <w:r>
        <w:rPr>
          <w:rFonts w:ascii="Times New Roman" w:hAnsi="Times New Roman" w:cs="Times New Roman"/>
          <w:vertAlign w:val="superscript"/>
        </w:rPr>
        <w:footnoteReference w:id="14"/>
      </w:r>
      <w:r>
        <w:rPr>
          <w:rFonts w:ascii="Times New Roman" w:hAnsi="Times New Roman" w:cs="Times New Roman"/>
        </w:rPr>
        <w:t xml:space="preserve"> good cause exists for granting a blanket extension of section 642’s effective date by six months, until December 20, 2020.  On December 20, 2019, Congress enacted the TVPA, which added section 642 to Title VI of the Communications Act of 1934, as amended (the Act).</w:t>
      </w:r>
      <w:r>
        <w:rPr>
          <w:rStyle w:val="FootnoteReference"/>
          <w:rFonts w:cs="Times New Roman"/>
        </w:rPr>
        <w:footnoteReference w:id="15"/>
      </w:r>
      <w:r>
        <w:rPr>
          <w:rFonts w:ascii="Times New Roman" w:hAnsi="Times New Roman" w:cs="Times New Roman"/>
        </w:rPr>
        <w:t xml:space="preserve">  Section 642 requires multichannel video programming distributors (MVPDs) to “give consumers a breakdown of all charges related to the MVPD’s video service” before entering into a contract with a consumer for service,</w:t>
      </w:r>
      <w:r>
        <w:rPr>
          <w:rStyle w:val="FootnoteReference"/>
          <w:rFonts w:cs="Times New Roman"/>
        </w:rPr>
        <w:footnoteReference w:id="16"/>
      </w:r>
      <w:r>
        <w:rPr>
          <w:rFonts w:ascii="Times New Roman" w:hAnsi="Times New Roman" w:cs="Times New Roman"/>
        </w:rPr>
        <w:t xml:space="preserve"> and also gives consumers 24 hours in which to cancel such service without penalty.</w:t>
      </w:r>
      <w:r>
        <w:rPr>
          <w:rStyle w:val="FootnoteReference"/>
          <w:rFonts w:cs="Times New Roman"/>
        </w:rPr>
        <w:footnoteReference w:id="17"/>
      </w:r>
      <w:r>
        <w:rPr>
          <w:rFonts w:ascii="Times New Roman" w:hAnsi="Times New Roman" w:cs="Times New Roman"/>
        </w:rPr>
        <w:t xml:space="preserve">  In addition, section 642 requires greater transparency in electronic bills and prohibits MVPDs and providers of fixed broadband Internet access service from charging consumers for equipment they do not provide.</w:t>
      </w:r>
      <w:r>
        <w:rPr>
          <w:rStyle w:val="FootnoteReference"/>
          <w:rFonts w:cs="Times New Roman"/>
        </w:rPr>
        <w:footnoteReference w:id="18"/>
      </w:r>
      <w:r>
        <w:rPr>
          <w:rFonts w:ascii="Times New Roman" w:hAnsi="Times New Roman" w:cs="Times New Roman"/>
        </w:rPr>
        <w:t xml:space="preserve">  Section 642 of the Act, as added by the TVPA, becomes effective June 20, 2020, six months after the date of enactment of the TVPA; however, the Commission for “good cause” may extend the effective date by six months.</w:t>
      </w:r>
      <w:r>
        <w:rPr>
          <w:rStyle w:val="FootnoteReference"/>
          <w:rFonts w:cs="Times New Roman"/>
        </w:rPr>
        <w:footnoteReference w:id="19"/>
      </w:r>
      <w:r>
        <w:rPr>
          <w:rFonts w:ascii="Times New Roman" w:hAnsi="Times New Roman" w:cs="Times New Roman"/>
        </w:rPr>
        <w:t xml:space="preserve">  </w:t>
      </w:r>
    </w:p>
    <w:p w:rsidR="00564804">
      <w:pPr>
        <w:keepNext/>
        <w:widowControl w:val="0"/>
        <w:numPr>
          <w:ilvl w:val="1"/>
          <w:numId w:val="3"/>
        </w:numPr>
        <w:spacing w:after="120" w:line="240" w:lineRule="auto"/>
        <w:outlineLvl w:val="1"/>
        <w:rPr>
          <w:rFonts w:ascii="Times New Roman" w:eastAsia="Times New Roman" w:hAnsi="Times New Roman" w:cs="Times New Roman"/>
          <w:b/>
          <w:snapToGrid w:val="0"/>
          <w:kern w:val="28"/>
          <w:szCs w:val="20"/>
        </w:rPr>
      </w:pPr>
      <w:bookmarkStart w:id="34" w:name="_Toc479770707"/>
      <w:r>
        <w:rPr>
          <w:rFonts w:ascii="Times New Roman" w:eastAsia="Times New Roman" w:hAnsi="Times New Roman" w:cs="Times New Roman"/>
          <w:b/>
          <w:snapToGrid w:val="0"/>
          <w:kern w:val="28"/>
          <w:szCs w:val="20"/>
        </w:rPr>
        <w:t>Legal Basis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szCs w:val="20"/>
        </w:rPr>
      </w:pPr>
      <w:r>
        <w:rPr>
          <w:rFonts w:ascii="Times New Roman" w:eastAsia="Times New Roman" w:hAnsi="Times New Roman" w:cs="Times New Roman"/>
          <w:snapToGrid w:val="0"/>
          <w:kern w:val="28"/>
          <w:szCs w:val="20"/>
        </w:rPr>
        <w:t>The proposed action is authorized pursuant to sections 4(i), 4(j), and 303(r) of the Communications Act of 1934, as amended, 47 U.S.C. §§ 154(i), 154(j), 303(r), and section 1004 of the Television Viewer Protection Act of 2019.</w:t>
      </w:r>
      <w:r>
        <w:rPr>
          <w:rFonts w:ascii="Times New Roman" w:eastAsia="Times New Roman" w:hAnsi="Times New Roman" w:cs="Times New Roman"/>
          <w:snapToGrid w:val="0"/>
          <w:kern w:val="28"/>
          <w:sz w:val="20"/>
          <w:szCs w:val="20"/>
          <w:vertAlign w:val="superscript"/>
        </w:rPr>
        <w:footnoteReference w:id="20"/>
      </w:r>
    </w:p>
    <w:p w:rsidR="00564804">
      <w:pPr>
        <w:keepNext/>
        <w:keepLines/>
        <w:widowControl w:val="0"/>
        <w:numPr>
          <w:ilvl w:val="1"/>
          <w:numId w:val="3"/>
        </w:numPr>
        <w:spacing w:after="120" w:line="240" w:lineRule="auto"/>
        <w:outlineLvl w:val="1"/>
        <w:rPr>
          <w:rFonts w:ascii="Times New Roman" w:eastAsia="Times New Roman" w:hAnsi="Times New Roman" w:cs="Times New Roman"/>
          <w:b/>
          <w:snapToGrid w:val="0"/>
          <w:kern w:val="28"/>
          <w:szCs w:val="20"/>
        </w:rPr>
      </w:pPr>
      <w:bookmarkStart w:id="35" w:name="_Toc290902740"/>
      <w:bookmarkStart w:id="36" w:name="_Toc290985342"/>
      <w:bookmarkStart w:id="37" w:name="_Toc395525833"/>
      <w:bookmarkStart w:id="38" w:name="_Toc395533583"/>
      <w:bookmarkStart w:id="39" w:name="_Toc395688831"/>
      <w:bookmarkStart w:id="40" w:name="_Toc396124454"/>
      <w:bookmarkStart w:id="41" w:name="_Toc396136532"/>
      <w:bookmarkStart w:id="42" w:name="_Toc396213564"/>
      <w:bookmarkStart w:id="43" w:name="_Toc396298482"/>
      <w:bookmarkStart w:id="44" w:name="_Toc402525585"/>
      <w:bookmarkStart w:id="45" w:name="_Toc404083780"/>
      <w:bookmarkStart w:id="46" w:name="_Toc404594702"/>
      <w:bookmarkStart w:id="47" w:name="_Toc407963514"/>
      <w:bookmarkStart w:id="48" w:name="_Toc408297259"/>
      <w:bookmarkStart w:id="49" w:name="_Toc411603983"/>
      <w:bookmarkStart w:id="50" w:name="_Toc414027016"/>
      <w:bookmarkStart w:id="51" w:name="_Toc479770708"/>
      <w:r>
        <w:rPr>
          <w:rFonts w:ascii="Times New Roman" w:eastAsia="Times New Roman" w:hAnsi="Times New Roman" w:cs="Times New Roman"/>
          <w:b/>
          <w:snapToGrid w:val="0"/>
          <w:kern w:val="28"/>
          <w:szCs w:val="20"/>
        </w:rPr>
        <w:t>Description and Estimate of the Number of Small Entities To Which the Proposed Rules Will Apply</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564804">
      <w:pPr>
        <w:keepNext/>
        <w:keepLines/>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szCs w:val="20"/>
        </w:rPr>
      </w:pPr>
      <w:r>
        <w:rPr>
          <w:rFonts w:ascii="Times New Roman" w:eastAsia="Times New Roman" w:hAnsi="Times New Roman" w:cs="Times New Roman"/>
          <w:snapToGrid w:val="0"/>
          <w:kern w:val="28"/>
          <w:szCs w:val="20"/>
        </w:rPr>
        <w:t>The RFA directs agencies to provide a description of, and where feasible, an estimate of the number of small entities that may be affected by the proposed rules, if adopted.</w:t>
      </w:r>
      <w:r>
        <w:rPr>
          <w:rFonts w:ascii="Times New Roman" w:eastAsia="Times New Roman" w:hAnsi="Times New Roman" w:cs="Times New Roman"/>
          <w:snapToGrid w:val="0"/>
          <w:kern w:val="28"/>
          <w:szCs w:val="20"/>
          <w:vertAlign w:val="superscript"/>
        </w:rPr>
        <w:footnoteReference w:id="21"/>
      </w:r>
      <w:r>
        <w:rPr>
          <w:rFonts w:ascii="Times New Roman" w:eastAsia="Times New Roman" w:hAnsi="Times New Roman" w:cs="Times New Roman"/>
          <w:snapToGrid w:val="0"/>
          <w:kern w:val="28"/>
          <w:szCs w:val="20"/>
        </w:rPr>
        <w:t xml:space="preserve">  The RFA generally defines the term “small entity” as having the same meaning as the terms “small business,” “small organization,” and “small governmental jurisdiction.”</w:t>
      </w:r>
      <w:r>
        <w:rPr>
          <w:rFonts w:ascii="Times New Roman" w:eastAsia="Times New Roman" w:hAnsi="Times New Roman" w:cs="Times New Roman"/>
          <w:snapToGrid w:val="0"/>
          <w:kern w:val="28"/>
          <w:szCs w:val="20"/>
          <w:vertAlign w:val="superscript"/>
        </w:rPr>
        <w:footnoteReference w:id="22"/>
      </w:r>
      <w:r>
        <w:rPr>
          <w:rFonts w:ascii="Times New Roman" w:eastAsia="Times New Roman" w:hAnsi="Times New Roman" w:cs="Times New Roman"/>
          <w:snapToGrid w:val="0"/>
          <w:kern w:val="28"/>
          <w:szCs w:val="20"/>
        </w:rPr>
        <w:t xml:space="preserve">  In addition, the term “small business” has the same meaning as the term “small business concern” under the Small Business Act.</w:t>
      </w:r>
      <w:r>
        <w:rPr>
          <w:rFonts w:ascii="Times New Roman" w:eastAsia="Times New Roman" w:hAnsi="Times New Roman" w:cs="Times New Roman"/>
          <w:snapToGrid w:val="0"/>
          <w:kern w:val="28"/>
          <w:szCs w:val="20"/>
          <w:vertAlign w:val="superscript"/>
        </w:rPr>
        <w:footnoteReference w:id="23"/>
      </w:r>
      <w:r>
        <w:rPr>
          <w:rFonts w:ascii="Times New Roman" w:eastAsia="Times New Roman" w:hAnsi="Times New Roman" w:cs="Times New Roman"/>
          <w:snapToGrid w:val="0"/>
          <w:kern w:val="28"/>
          <w:szCs w:val="20"/>
        </w:rPr>
        <w:t xml:space="preserve">  A small business concern is one which:  (1) is independently owned and operated; (2) is not dominant in its field of operation; and (3) satisfies any additional criteria established by the SBA.</w:t>
      </w:r>
      <w:r>
        <w:rPr>
          <w:rFonts w:ascii="Times New Roman" w:eastAsia="Times New Roman" w:hAnsi="Times New Roman" w:cs="Times New Roman"/>
          <w:snapToGrid w:val="0"/>
          <w:kern w:val="28"/>
          <w:szCs w:val="20"/>
          <w:vertAlign w:val="superscript"/>
        </w:rPr>
        <w:footnoteReference w:id="24"/>
      </w:r>
      <w:r>
        <w:rPr>
          <w:rFonts w:ascii="Times New Roman" w:eastAsia="Times New Roman" w:hAnsi="Times New Roman" w:cs="Times New Roman"/>
          <w:snapToGrid w:val="0"/>
          <w:kern w:val="28"/>
          <w:szCs w:val="20"/>
        </w:rPr>
        <w:t xml:space="preserve">  Below, we provide a description of such small entities, as well as an estimate of the number of such small entities, where feasible.</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szCs w:val="20"/>
        </w:rPr>
      </w:pPr>
      <w:r>
        <w:rPr>
          <w:rFonts w:ascii="Times New Roman" w:eastAsia="Times New Roman" w:hAnsi="Times New Roman" w:cs="Times New Roman"/>
          <w:i/>
          <w:snapToGrid w:val="0"/>
          <w:kern w:val="28"/>
          <w:szCs w:val="20"/>
        </w:rPr>
        <w:t>Cable Companies and Systems (Rate Regulation Standard)</w:t>
      </w:r>
      <w:r>
        <w:rPr>
          <w:rFonts w:ascii="Times New Roman" w:eastAsia="Times New Roman" w:hAnsi="Times New Roman" w:cs="Times New Roman"/>
          <w:snapToGrid w:val="0"/>
          <w:kern w:val="28"/>
          <w:szCs w:val="20"/>
        </w:rPr>
        <w:t>.  The Commission has also developed its own small business size standards, for the purpose of cable rate regulation.  Under the Commission’s rules, a “small cable company” is one serving 400,000 or fewer subscribers nationwide.</w:t>
      </w:r>
      <w:r>
        <w:rPr>
          <w:rFonts w:ascii="Times New Roman" w:eastAsia="Times New Roman" w:hAnsi="Times New Roman" w:cs="Times New Roman"/>
          <w:snapToGrid w:val="0"/>
          <w:kern w:val="28"/>
          <w:szCs w:val="20"/>
          <w:vertAlign w:val="superscript"/>
        </w:rPr>
        <w:footnoteReference w:id="25"/>
      </w:r>
      <w:r>
        <w:rPr>
          <w:rFonts w:ascii="Times New Roman" w:eastAsia="Times New Roman" w:hAnsi="Times New Roman" w:cs="Times New Roman"/>
          <w:snapToGrid w:val="0"/>
          <w:kern w:val="28"/>
          <w:szCs w:val="20"/>
        </w:rPr>
        <w:t xml:space="preserve">  In addition, under the Commission’s rules, a “small system” is a cable system serving 15,000 or fewer subscribers.</w:t>
      </w:r>
      <w:r>
        <w:rPr>
          <w:rFonts w:ascii="Times New Roman" w:eastAsia="Times New Roman" w:hAnsi="Times New Roman" w:cs="Times New Roman"/>
          <w:snapToGrid w:val="0"/>
          <w:kern w:val="28"/>
          <w:szCs w:val="20"/>
          <w:vertAlign w:val="superscript"/>
        </w:rPr>
        <w:footnoteReference w:id="26"/>
      </w:r>
      <w:r>
        <w:rPr>
          <w:rFonts w:ascii="Times New Roman" w:eastAsia="Times New Roman" w:hAnsi="Times New Roman" w:cs="Times New Roman"/>
          <w:snapToGrid w:val="0"/>
          <w:kern w:val="28"/>
          <w:szCs w:val="20"/>
        </w:rPr>
        <w:t xml:space="preserve">  Industry data indicate that there are currently 4,392 active cable systems in the United States.</w:t>
      </w:r>
      <w:r>
        <w:rPr>
          <w:rFonts w:ascii="Times New Roman" w:eastAsia="Times New Roman" w:hAnsi="Times New Roman" w:cs="Times New Roman"/>
          <w:snapToGrid w:val="0"/>
          <w:kern w:val="28"/>
          <w:szCs w:val="20"/>
          <w:vertAlign w:val="superscript"/>
        </w:rPr>
        <w:footnoteReference w:id="27"/>
      </w:r>
      <w:r>
        <w:rPr>
          <w:rFonts w:ascii="Times New Roman" w:eastAsia="Times New Roman" w:hAnsi="Times New Roman" w:cs="Times New Roman"/>
          <w:snapToGrid w:val="0"/>
          <w:kern w:val="28"/>
          <w:szCs w:val="20"/>
        </w:rPr>
        <w:t xml:space="preserve">  Of this total, 3,691 cable systems have fewer than 15,000 subscribers, and 701 systems have 15,000 or more.</w:t>
      </w:r>
      <w:r>
        <w:rPr>
          <w:rFonts w:ascii="Times New Roman" w:eastAsia="Times New Roman" w:hAnsi="Times New Roman" w:cs="Times New Roman"/>
          <w:snapToGrid w:val="0"/>
          <w:kern w:val="28"/>
          <w:szCs w:val="20"/>
          <w:vertAlign w:val="superscript"/>
        </w:rPr>
        <w:footnoteReference w:id="28"/>
      </w:r>
      <w:r>
        <w:rPr>
          <w:rFonts w:ascii="Times New Roman" w:eastAsia="Times New Roman" w:hAnsi="Times New Roman" w:cs="Times New Roman"/>
          <w:snapToGrid w:val="0"/>
          <w:kern w:val="28"/>
          <w:szCs w:val="20"/>
        </w:rPr>
        <w:t xml:space="preserve">  Thus, we estimate that most cable systems are small entities.</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szCs w:val="20"/>
        </w:rPr>
      </w:pPr>
      <w:r>
        <w:rPr>
          <w:rFonts w:ascii="Times New Roman" w:eastAsia="Times New Roman" w:hAnsi="Times New Roman" w:cs="Times New Roman"/>
          <w:i/>
          <w:snapToGrid w:val="0"/>
          <w:kern w:val="28"/>
          <w:szCs w:val="20"/>
        </w:rPr>
        <w:t>Cable System Operators (Telecommunications Act Standard)</w:t>
      </w:r>
      <w:r>
        <w:rPr>
          <w:rFonts w:ascii="Times New Roman" w:eastAsia="Times New Roman" w:hAnsi="Times New Roman" w:cs="Times New Roman"/>
          <w:snapToGrid w:val="0"/>
          <w:kern w:val="28"/>
          <w:szCs w:val="20"/>
        </w:rPr>
        <w:t>.</w:t>
      </w:r>
      <w:r>
        <w:rPr>
          <w:rFonts w:ascii="Times New Roman" w:eastAsia="Times New Roman" w:hAnsi="Times New Roman" w:cs="Times New Roman"/>
          <w:b/>
          <w:snapToGrid w:val="0"/>
          <w:kern w:val="28"/>
          <w:szCs w:val="20"/>
        </w:rPr>
        <w:t xml:space="preserve">  </w:t>
      </w:r>
      <w:r>
        <w:rPr>
          <w:rFonts w:ascii="Times New Roman" w:eastAsia="Times New Roman" w:hAnsi="Times New Roman" w:cs="Times New Roman"/>
          <w:snapToGrid w:val="0"/>
          <w:kern w:val="28"/>
          <w:szCs w:val="20"/>
        </w:rPr>
        <w:t xml:space="preserve">The Act also contains a size standard for a small cable system operator, which is “a cable operator that, directly or through an affiliate, serves in the aggregate fewer than 1 percent of all subscribers in the United States and is not affiliated with any entity or entities whose gross annual revenues in the aggregate exceed </w:t>
      </w:r>
      <w:r>
        <w:rPr>
          <w:rFonts w:ascii="Times New Roman" w:eastAsia="Times New Roman" w:hAnsi="Times New Roman" w:cs="Times New Roman"/>
          <w:snapToGrid w:val="0"/>
          <w:kern w:val="28"/>
          <w:szCs w:val="20"/>
        </w:rPr>
        <w:t>$250,000,000.”</w:t>
      </w:r>
      <w:r>
        <w:rPr>
          <w:rFonts w:ascii="Times New Roman" w:eastAsia="Times New Roman" w:hAnsi="Times New Roman" w:cs="Times New Roman"/>
          <w:snapToGrid w:val="0"/>
          <w:kern w:val="28"/>
          <w:szCs w:val="20"/>
          <w:vertAlign w:val="superscript"/>
        </w:rPr>
        <w:footnoteReference w:id="29"/>
      </w:r>
      <w:r>
        <w:rPr>
          <w:rFonts w:ascii="Times New Roman" w:eastAsia="Times New Roman" w:hAnsi="Times New Roman" w:cs="Times New Roman"/>
          <w:snapToGrid w:val="0"/>
          <w:kern w:val="28"/>
          <w:szCs w:val="20"/>
        </w:rPr>
        <w:t xml:space="preserve">  There are approximately 49,011,210 cable video subscribers in the United States today.</w:t>
      </w:r>
      <w:r>
        <w:rPr>
          <w:rFonts w:ascii="Times New Roman" w:eastAsia="Times New Roman" w:hAnsi="Times New Roman" w:cs="Times New Roman"/>
          <w:snapToGrid w:val="0"/>
          <w:kern w:val="28"/>
          <w:szCs w:val="20"/>
          <w:vertAlign w:val="superscript"/>
        </w:rPr>
        <w:footnoteReference w:id="30"/>
      </w:r>
      <w:r>
        <w:rPr>
          <w:rFonts w:ascii="Times New Roman" w:eastAsia="Times New Roman" w:hAnsi="Times New Roman" w:cs="Times New Roman"/>
          <w:snapToGrid w:val="0"/>
          <w:kern w:val="28"/>
          <w:szCs w:val="20"/>
        </w:rPr>
        <w:t xml:space="preserve">  Accordingly, an operator serving fewer than 490,112 subscribers shall be deemed a small operator if its annual revenues, when combined with the total annual revenues of all its affiliates, do not exceed $250 million in the aggregate.</w:t>
      </w:r>
      <w:r>
        <w:rPr>
          <w:rFonts w:ascii="Times New Roman" w:eastAsia="Times New Roman" w:hAnsi="Times New Roman" w:cs="Times New Roman"/>
          <w:snapToGrid w:val="0"/>
          <w:kern w:val="28"/>
          <w:szCs w:val="20"/>
          <w:vertAlign w:val="superscript"/>
        </w:rPr>
        <w:footnoteReference w:id="31"/>
      </w:r>
      <w:r>
        <w:rPr>
          <w:rFonts w:ascii="Times New Roman" w:eastAsia="Times New Roman" w:hAnsi="Times New Roman" w:cs="Times New Roman"/>
          <w:snapToGrid w:val="0"/>
          <w:kern w:val="28"/>
          <w:szCs w:val="20"/>
        </w:rPr>
        <w:t xml:space="preserve">  Based on available data, we find that all but five incumbent cable operators are small entities under this size standard.</w:t>
      </w:r>
      <w:r>
        <w:rPr>
          <w:rFonts w:ascii="Times New Roman" w:eastAsia="Times New Roman" w:hAnsi="Times New Roman" w:cs="Times New Roman"/>
          <w:snapToGrid w:val="0"/>
          <w:kern w:val="28"/>
          <w:szCs w:val="20"/>
          <w:vertAlign w:val="superscript"/>
        </w:rPr>
        <w:footnoteReference w:id="32"/>
      </w:r>
      <w:r>
        <w:rPr>
          <w:rFonts w:ascii="Times New Roman" w:eastAsia="Times New Roman" w:hAnsi="Times New Roman" w:cs="Times New Roman"/>
          <w:snapToGrid w:val="0"/>
          <w:kern w:val="28"/>
          <w:szCs w:val="20"/>
        </w:rPr>
        <w:t xml:space="preserve">  We note that the Commission neither requests nor collects information on whether cable system operators are affiliated with entities whose gross annual revenues exceed $250 million.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szCs w:val="20"/>
        </w:rPr>
      </w:pPr>
      <w:r>
        <w:rPr>
          <w:rFonts w:ascii="Times New Roman" w:eastAsia="Times New Roman" w:hAnsi="Times New Roman" w:cs="Times New Roman"/>
          <w:snapToGrid w:val="0"/>
          <w:kern w:val="28"/>
          <w:szCs w:val="20"/>
        </w:rPr>
        <w:t>Most recent available data also indicate that there are 188 cable antenna relay service (CARS) licensees.</w:t>
      </w:r>
      <w:r>
        <w:rPr>
          <w:rFonts w:ascii="Times New Roman" w:eastAsia="Times New Roman" w:hAnsi="Times New Roman" w:cs="Times New Roman"/>
          <w:snapToGrid w:val="0"/>
          <w:kern w:val="28"/>
          <w:szCs w:val="20"/>
          <w:vertAlign w:val="superscript"/>
        </w:rPr>
        <w:footnoteReference w:id="33"/>
      </w:r>
      <w:r>
        <w:rPr>
          <w:rFonts w:ascii="Times New Roman" w:eastAsia="Times New Roman" w:hAnsi="Times New Roman" w:cs="Times New Roman"/>
          <w:snapToGrid w:val="0"/>
          <w:kern w:val="28"/>
          <w:szCs w:val="20"/>
        </w:rPr>
        <w:t xml:space="preserve">  The Commission, however, neither requests nor collects information on whether CARS licensees are affiliated with entities whose gross annual revenues exceed $250 million.  Although some CARS licensees may be affiliated with entities whose gross annual revenues exceed $250 million, we are unable at this time to estimate with greater precision the number of CARS licensees that would qualify as small cable operators under the definition in the Communications Act.</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szCs w:val="20"/>
        </w:rPr>
      </w:pPr>
      <w:r>
        <w:rPr>
          <w:rFonts w:ascii="Times New Roman" w:eastAsia="Times New Roman" w:hAnsi="Times New Roman" w:cs="Times New Roman"/>
          <w:i/>
          <w:snapToGrid w:val="0"/>
          <w:kern w:val="28"/>
          <w:szCs w:val="20"/>
        </w:rPr>
        <w:t>Open Video Services.</w:t>
      </w:r>
      <w:r>
        <w:rPr>
          <w:rFonts w:ascii="Times New Roman" w:eastAsia="Times New Roman" w:hAnsi="Times New Roman" w:cs="Times New Roman"/>
          <w:snapToGrid w:val="0"/>
          <w:kern w:val="28"/>
          <w:szCs w:val="20"/>
        </w:rPr>
        <w:t xml:space="preserve">  Open Video Service (OVS) systems provide subscription services.</w:t>
      </w:r>
      <w:r>
        <w:rPr>
          <w:rFonts w:ascii="Times New Roman" w:eastAsia="Times New Roman" w:hAnsi="Times New Roman" w:cs="Times New Roman"/>
          <w:snapToGrid w:val="0"/>
          <w:kern w:val="28"/>
          <w:szCs w:val="20"/>
          <w:vertAlign w:val="superscript"/>
        </w:rPr>
        <w:footnoteReference w:id="34"/>
      </w:r>
      <w:r>
        <w:rPr>
          <w:rFonts w:ascii="Times New Roman" w:eastAsia="Times New Roman" w:hAnsi="Times New Roman" w:cs="Times New Roman"/>
          <w:snapToGrid w:val="0"/>
          <w:kern w:val="28"/>
          <w:szCs w:val="20"/>
        </w:rPr>
        <w:t xml:space="preserve">  The open video system framework was established in 1996, and is one of four statutorily recognized options for the provision of video programming services by local exchange carriers.</w:t>
      </w:r>
      <w:r>
        <w:rPr>
          <w:rFonts w:ascii="Times New Roman" w:eastAsia="Times New Roman" w:hAnsi="Times New Roman" w:cs="Times New Roman"/>
          <w:snapToGrid w:val="0"/>
          <w:kern w:val="28"/>
          <w:szCs w:val="20"/>
          <w:vertAlign w:val="superscript"/>
        </w:rPr>
        <w:footnoteReference w:id="35"/>
      </w:r>
      <w:r>
        <w:rPr>
          <w:rFonts w:ascii="Times New Roman" w:eastAsia="Times New Roman" w:hAnsi="Times New Roman" w:cs="Times New Roman"/>
          <w:snapToGrid w:val="0"/>
          <w:kern w:val="28"/>
          <w:szCs w:val="20"/>
        </w:rPr>
        <w:t xml:space="preserve">  The OVS framework provides opportunities for the distribution of video programming other than through cable systems.  Because OVS operators provide subscription services,</w:t>
      </w:r>
      <w:r>
        <w:rPr>
          <w:rFonts w:ascii="Times New Roman" w:eastAsia="Times New Roman" w:hAnsi="Times New Roman" w:cs="Times New Roman"/>
          <w:snapToGrid w:val="0"/>
          <w:kern w:val="28"/>
          <w:szCs w:val="20"/>
          <w:vertAlign w:val="superscript"/>
        </w:rPr>
        <w:footnoteReference w:id="36"/>
      </w:r>
      <w:r>
        <w:rPr>
          <w:rFonts w:ascii="Times New Roman" w:eastAsia="Times New Roman" w:hAnsi="Times New Roman" w:cs="Times New Roman"/>
          <w:snapToGrid w:val="0"/>
          <w:kern w:val="28"/>
          <w:szCs w:val="20"/>
        </w:rPr>
        <w:t xml:space="preserve"> OVS falls within the SBA small business size standard covering cable services, which is “Wired Telecommunications Carriers.”</w:t>
      </w:r>
      <w:r>
        <w:rPr>
          <w:rFonts w:ascii="Times New Roman" w:eastAsia="Times New Roman" w:hAnsi="Times New Roman" w:cs="Times New Roman"/>
          <w:snapToGrid w:val="0"/>
          <w:kern w:val="28"/>
          <w:szCs w:val="20"/>
          <w:vertAlign w:val="superscript"/>
        </w:rPr>
        <w:footnoteReference w:id="37"/>
      </w:r>
      <w:r>
        <w:rPr>
          <w:rFonts w:ascii="Times New Roman" w:eastAsia="Times New Roman" w:hAnsi="Times New Roman" w:cs="Times New Roman"/>
          <w:snapToGrid w:val="0"/>
          <w:kern w:val="28"/>
          <w:szCs w:val="20"/>
        </w:rPr>
        <w:t xml:space="preserve">  The SBA has developed a small business size standard for this category, which is:  all such firms having 1,500 or fewer employees.</w:t>
      </w:r>
      <w:r>
        <w:rPr>
          <w:rFonts w:ascii="Times New Roman" w:eastAsia="Times New Roman" w:hAnsi="Times New Roman" w:cs="Times New Roman"/>
          <w:snapToGrid w:val="0"/>
          <w:kern w:val="28"/>
          <w:sz w:val="20"/>
          <w:szCs w:val="20"/>
          <w:vertAlign w:val="superscript"/>
        </w:rPr>
        <w:footnoteReference w:id="38"/>
      </w:r>
      <w:r>
        <w:rPr>
          <w:rFonts w:ascii="Times New Roman" w:eastAsia="Times New Roman" w:hAnsi="Times New Roman" w:cs="Times New Roman"/>
          <w:snapToGrid w:val="0"/>
          <w:kern w:val="28"/>
          <w:szCs w:val="20"/>
        </w:rPr>
        <w:t xml:space="preserve">  To gauge small business prevalence for the OVS service, the Commission relies on data currently available from the U.S. Census for the year 2012.  According to that source, there were 3,117 firms that in 2012 were Wired Telecommunications Carriers.  Of these, 3,059 operated with fewer than 1,000 employees.  Based on this data, the majority of these firms can be considered small.</w:t>
      </w:r>
      <w:r>
        <w:rPr>
          <w:rFonts w:ascii="Times New Roman" w:eastAsia="Times New Roman" w:hAnsi="Times New Roman" w:cs="Times New Roman"/>
          <w:snapToGrid w:val="0"/>
          <w:kern w:val="28"/>
          <w:szCs w:val="20"/>
          <w:vertAlign w:val="superscript"/>
        </w:rPr>
        <w:footnoteReference w:id="39"/>
      </w:r>
      <w:r>
        <w:rPr>
          <w:rFonts w:ascii="Times New Roman" w:eastAsia="Times New Roman" w:hAnsi="Times New Roman" w:cs="Times New Roman"/>
          <w:snapToGrid w:val="0"/>
          <w:kern w:val="28"/>
          <w:szCs w:val="20"/>
        </w:rPr>
        <w:t xml:space="preserve">  In </w:t>
      </w:r>
      <w:r>
        <w:rPr>
          <w:rFonts w:ascii="Times New Roman" w:eastAsia="Times New Roman" w:hAnsi="Times New Roman" w:cs="Times New Roman"/>
          <w:snapToGrid w:val="0"/>
          <w:kern w:val="28"/>
          <w:szCs w:val="20"/>
        </w:rPr>
        <w:t>addition, we note that the Commission has certified some OVS operators, with some now providing service.</w:t>
      </w:r>
      <w:r>
        <w:rPr>
          <w:rFonts w:ascii="Times New Roman" w:eastAsia="Times New Roman" w:hAnsi="Times New Roman" w:cs="Times New Roman"/>
          <w:snapToGrid w:val="0"/>
          <w:kern w:val="28"/>
          <w:szCs w:val="20"/>
          <w:vertAlign w:val="superscript"/>
        </w:rPr>
        <w:footnoteReference w:id="40"/>
      </w:r>
      <w:r>
        <w:rPr>
          <w:rFonts w:ascii="Times New Roman" w:eastAsia="Times New Roman" w:hAnsi="Times New Roman" w:cs="Times New Roman"/>
          <w:snapToGrid w:val="0"/>
          <w:kern w:val="28"/>
          <w:szCs w:val="20"/>
        </w:rPr>
        <w:t>  Broadband service providers (“BSPs”) are currently the only significant holders of OVS certifications or local OVS franchises.</w:t>
      </w:r>
      <w:r>
        <w:rPr>
          <w:rFonts w:ascii="Times New Roman" w:eastAsia="Times New Roman" w:hAnsi="Times New Roman" w:cs="Times New Roman"/>
          <w:snapToGrid w:val="0"/>
          <w:kern w:val="28"/>
          <w:szCs w:val="20"/>
          <w:vertAlign w:val="superscript"/>
        </w:rPr>
        <w:footnoteReference w:id="41"/>
      </w:r>
      <w:r>
        <w:rPr>
          <w:rFonts w:ascii="Times New Roman" w:eastAsia="Times New Roman" w:hAnsi="Times New Roman" w:cs="Times New Roman"/>
          <w:snapToGrid w:val="0"/>
          <w:kern w:val="28"/>
          <w:szCs w:val="20"/>
        </w:rPr>
        <w:t>  The Commission does not have financial or employment information regarding the entities authorized to provide OVS, some of which may not yet be operational.  Thus, at least some of the OVS operators may qualify as small entities. The Commission further notes that it has certified approximately 45 OVS operators to serve 116 areas, and some of these are currently providing service.</w:t>
      </w:r>
      <w:r>
        <w:rPr>
          <w:rFonts w:ascii="Times New Roman" w:eastAsia="Times New Roman" w:hAnsi="Times New Roman" w:cs="Times New Roman"/>
          <w:snapToGrid w:val="0"/>
          <w:kern w:val="28"/>
          <w:szCs w:val="20"/>
          <w:vertAlign w:val="superscript"/>
        </w:rPr>
        <w:footnoteReference w:id="42"/>
      </w:r>
      <w:r>
        <w:rPr>
          <w:rFonts w:ascii="Times New Roman" w:eastAsia="Times New Roman" w:hAnsi="Times New Roman" w:cs="Times New Roman"/>
          <w:snapToGrid w:val="0"/>
          <w:kern w:val="28"/>
          <w:szCs w:val="20"/>
        </w:rPr>
        <w:t xml:space="preserve">  Affiliates of Residential Communications Network, Inc. (RCN) received approval to operate OVS systems in New York City, Boston, Washington, D.C., and other areas.  RCN has sufficient revenues to assure that they do not qualify as a small business entity.  Little financial information is available for the other entities that are authorized to provide OVS and are not yet operational.  Given that some entities authorized to provide OVS service have not yet begun to generate revenues, the Commission concludes that up to 44 OVS operators (those remaining) might qualify as small businesses that may be affected by the rules and policies adopted herein.</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szCs w:val="20"/>
        </w:rPr>
      </w:pPr>
      <w:r>
        <w:rPr>
          <w:rFonts w:ascii="Times New Roman" w:eastAsia="Times New Roman" w:hAnsi="Times New Roman" w:cs="Times New Roman"/>
          <w:i/>
          <w:snapToGrid w:val="0"/>
          <w:kern w:val="28"/>
          <w:szCs w:val="20"/>
        </w:rPr>
        <w:t xml:space="preserve">Satellite Master Antenna Television (SMATV) Systems, also known as Private Cable Operators (PCOs).  </w:t>
      </w:r>
      <w:r>
        <w:rPr>
          <w:rFonts w:ascii="Times New Roman" w:eastAsia="Times New Roman" w:hAnsi="Times New Roman" w:cs="Times New Roman"/>
          <w:szCs w:val="20"/>
        </w:rPr>
        <w:t>SMATV</w:t>
      </w:r>
      <w:r>
        <w:rPr>
          <w:rFonts w:ascii="Times New Roman" w:eastAsia="Times New Roman" w:hAnsi="Times New Roman" w:cs="Times New Roman"/>
          <w:snapToGrid w:val="0"/>
          <w:kern w:val="28"/>
          <w:szCs w:val="20"/>
        </w:rPr>
        <w:t xml:space="preserve">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Pr>
          <w:rFonts w:ascii="Times New Roman" w:eastAsia="Times New Roman" w:hAnsi="Times New Roman" w:cs="Times New Roman"/>
          <w:snapToGrid w:val="0"/>
          <w:kern w:val="28"/>
          <w:szCs w:val="20"/>
          <w:vertAlign w:val="superscript"/>
        </w:rPr>
        <w:footnoteReference w:id="43"/>
      </w:r>
      <w:r>
        <w:rPr>
          <w:rFonts w:ascii="Times New Roman" w:eastAsia="Times New Roman" w:hAnsi="Times New Roman" w:cs="Times New Roman"/>
          <w:snapToGrid w:val="0"/>
          <w:kern w:val="28"/>
          <w:szCs w:val="20"/>
        </w:rPr>
        <w:t xml:space="preserve"> which was developed for small wireline firms.</w:t>
      </w:r>
      <w:r>
        <w:rPr>
          <w:rFonts w:ascii="Times New Roman" w:eastAsia="Times New Roman" w:hAnsi="Times New Roman" w:cs="Times New Roman"/>
          <w:snapToGrid w:val="0"/>
          <w:kern w:val="28"/>
          <w:szCs w:val="20"/>
          <w:vertAlign w:val="superscript"/>
        </w:rPr>
        <w:footnoteReference w:id="44"/>
      </w:r>
      <w:r>
        <w:rPr>
          <w:rFonts w:ascii="Times New Roman" w:eastAsia="Times New Roman" w:hAnsi="Times New Roman" w:cs="Times New Roman"/>
          <w:snapToGrid w:val="0"/>
          <w:kern w:val="28"/>
          <w:szCs w:val="20"/>
        </w:rPr>
        <w:t xml:space="preserve">  Under this category, the SBA deems a wireline business to be small if it has 1,500 or fewer employees.</w:t>
      </w:r>
      <w:r>
        <w:rPr>
          <w:rFonts w:ascii="Times New Roman" w:eastAsia="Times New Roman" w:hAnsi="Times New Roman" w:cs="Times New Roman"/>
          <w:snapToGrid w:val="0"/>
          <w:kern w:val="28"/>
          <w:szCs w:val="20"/>
          <w:vertAlign w:val="superscript"/>
        </w:rPr>
        <w:footnoteReference w:id="45"/>
      </w:r>
      <w:r>
        <w:rPr>
          <w:rFonts w:ascii="Times New Roman" w:eastAsia="Times New Roman" w:hAnsi="Times New Roman" w:cs="Times New Roman"/>
          <w:snapToGrid w:val="0"/>
          <w:kern w:val="28"/>
          <w:szCs w:val="20"/>
        </w:rPr>
        <w:t xml:space="preserve">  Census data for 2012 indicate that in that year there were 3,117 firms operating businesses as wired telecommunications carriers.  Of that 3,117, 3,059 operated with 999 or fewer employees.  Based on this data, we estimate that a majority of operators of SMATV/PCO companies were small under the applicable SBA size standard.</w:t>
      </w:r>
      <w:r>
        <w:rPr>
          <w:rFonts w:ascii="Times New Roman" w:eastAsia="Times New Roman" w:hAnsi="Times New Roman" w:cs="Times New Roman"/>
          <w:snapToGrid w:val="0"/>
          <w:kern w:val="28"/>
          <w:szCs w:val="20"/>
          <w:vertAlign w:val="superscript"/>
        </w:rPr>
        <w:footnoteReference w:id="46"/>
      </w:r>
    </w:p>
    <w:p w:rsidR="00564804" w:rsidRPr="004B0309">
      <w:pPr>
        <w:widowControl w:val="0"/>
        <w:numPr>
          <w:ilvl w:val="0"/>
          <w:numId w:val="2"/>
        </w:numPr>
        <w:tabs>
          <w:tab w:val="clear" w:pos="1080"/>
          <w:tab w:val="num" w:pos="1440"/>
        </w:tabs>
        <w:spacing w:after="120" w:line="240" w:lineRule="auto"/>
        <w:rPr>
          <w:rFonts w:ascii="Times New Roman" w:eastAsia="Times New Roman" w:hAnsi="Times New Roman" w:cs="Times New Roman"/>
          <w:bCs/>
          <w:snapToGrid w:val="0"/>
          <w:kern w:val="28"/>
          <w:szCs w:val="20"/>
        </w:rPr>
      </w:pPr>
      <w:r>
        <w:rPr>
          <w:rFonts w:ascii="Times New Roman" w:eastAsia="Times New Roman" w:hAnsi="Times New Roman" w:cs="Times New Roman"/>
          <w:i/>
          <w:snapToGrid w:val="0"/>
          <w:kern w:val="28"/>
          <w:szCs w:val="20"/>
        </w:rPr>
        <w:t>Direct Broadcast Satellite (DBS) Service</w:t>
      </w:r>
      <w:r>
        <w:rPr>
          <w:rFonts w:ascii="Times New Roman" w:eastAsia="Times New Roman" w:hAnsi="Times New Roman" w:cs="Times New Roman"/>
          <w:snapToGrid w:val="0"/>
          <w:kern w:val="28"/>
          <w:szCs w:val="20"/>
        </w:rPr>
        <w:t xml:space="preserve">.  DBS service is a nationally distributed subscription service that delivers video and audio programming via satellite to a small parabolic dish antenna at the subscriber’s location.  DBS is now included in SBA’s economic census category “Wired Telecommunications Carriers.”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w:t>
      </w:r>
      <w:r>
        <w:rPr>
          <w:rFonts w:ascii="Times New Roman" w:eastAsia="Times New Roman" w:hAnsi="Times New Roman" w:cs="Times New Roman"/>
          <w:snapToGrid w:val="0"/>
          <w:kern w:val="28"/>
          <w:szCs w:val="20"/>
        </w:rPr>
        <w:t>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Fonts w:ascii="Times New Roman" w:eastAsia="Times New Roman" w:hAnsi="Times New Roman" w:cs="Times New Roman"/>
          <w:snapToGrid w:val="0"/>
          <w:kern w:val="28"/>
          <w:szCs w:val="20"/>
          <w:vertAlign w:val="superscript"/>
        </w:rPr>
        <w:footnoteReference w:id="47"/>
      </w:r>
      <w:r>
        <w:rPr>
          <w:rFonts w:ascii="Times New Roman" w:eastAsia="Times New Roman" w:hAnsi="Times New Roman" w:cs="Times New Roman"/>
          <w:snapToGrid w:val="0"/>
          <w:kern w:val="28"/>
          <w:szCs w:val="20"/>
        </w:rPr>
        <w:t xml:space="preserve">  The SBA determines that a wireline business is small if it has fewer than 1,500 employees.</w:t>
      </w:r>
      <w:r>
        <w:rPr>
          <w:rFonts w:ascii="Times New Roman" w:eastAsia="Times New Roman" w:hAnsi="Times New Roman" w:cs="Times New Roman"/>
          <w:snapToGrid w:val="0"/>
          <w:kern w:val="28"/>
          <w:szCs w:val="20"/>
          <w:vertAlign w:val="superscript"/>
        </w:rPr>
        <w:footnoteReference w:id="48"/>
      </w:r>
      <w:r>
        <w:rPr>
          <w:rFonts w:ascii="Times New Roman" w:eastAsia="Times New Roman" w:hAnsi="Times New Roman" w:cs="Times New Roman"/>
          <w:snapToGrid w:val="0"/>
          <w:kern w:val="28"/>
          <w:szCs w:val="20"/>
        </w:rPr>
        <w:t xml:space="preserve">  Economic census data for 2012 indicate that 3,117 wireline companies were operational during that year.  Of that number, 3,083 operated with fewer than 1,000 employees.</w:t>
      </w:r>
      <w:r>
        <w:rPr>
          <w:rFonts w:ascii="Times New Roman" w:eastAsia="Times New Roman" w:hAnsi="Times New Roman" w:cs="Times New Roman"/>
          <w:snapToGrid w:val="0"/>
          <w:kern w:val="28"/>
          <w:szCs w:val="20"/>
          <w:vertAlign w:val="superscript"/>
        </w:rPr>
        <w:footnoteReference w:id="49"/>
      </w:r>
      <w:r>
        <w:rPr>
          <w:rFonts w:ascii="Times New Roman" w:eastAsia="Times New Roman" w:hAnsi="Times New Roman" w:cs="Times New Roman"/>
          <w:snapToGrid w:val="0"/>
          <w:kern w:val="28"/>
          <w:szCs w:val="20"/>
        </w:rPr>
        <w:t xml:space="preserve">  Based on that data, we conclude that the majority of wireline firms are small under the applicable standard.  Currently, however, only two entities provide DBS service, which requires a great deal of capital for operation:  DIRECTV (owned by AT&amp;T) and DISH Network.</w:t>
      </w:r>
      <w:r>
        <w:rPr>
          <w:rFonts w:ascii="Times New Roman" w:eastAsia="Times New Roman" w:hAnsi="Times New Roman" w:cs="Times New Roman"/>
          <w:snapToGrid w:val="0"/>
          <w:kern w:val="28"/>
          <w:szCs w:val="20"/>
          <w:vertAlign w:val="superscript"/>
        </w:rPr>
        <w:footnoteReference w:id="50"/>
      </w:r>
      <w:r>
        <w:rPr>
          <w:rFonts w:ascii="Times New Roman" w:eastAsia="Times New Roman" w:hAnsi="Times New Roman" w:cs="Times New Roman"/>
          <w:snapToGrid w:val="0"/>
          <w:kern w:val="28"/>
          <w:szCs w:val="20"/>
        </w:rPr>
        <w:t xml:space="preserve">   DIRECTV and DISH Network each report annual revenues that are in excess of the threshold for a small business.  Accordingly, we conclude that, in general, DBS service is provided only by large firms.</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szCs w:val="20"/>
        </w:rPr>
      </w:pPr>
      <w:r>
        <w:rPr>
          <w:rFonts w:ascii="Times New Roman" w:eastAsia="Times New Roman" w:hAnsi="Times New Roman" w:cs="Times New Roman"/>
          <w:i/>
          <w:snapToGrid w:val="0"/>
          <w:kern w:val="28"/>
          <w:szCs w:val="20"/>
        </w:rPr>
        <w:t>Wired Telecommunications Carriers.</w:t>
      </w:r>
      <w:r>
        <w:rPr>
          <w:rFonts w:ascii="Times New Roman" w:eastAsia="Times New Roman" w:hAnsi="Times New Roman" w:cs="Times New Roman"/>
          <w:snapToGrid w:val="0"/>
          <w:kern w:val="28"/>
          <w:szCs w:val="20"/>
        </w:rPr>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Fonts w:ascii="Times New Roman" w:eastAsia="Times New Roman" w:hAnsi="Times New Roman" w:cs="Times New Roman"/>
          <w:snapToGrid w:val="0"/>
          <w:kern w:val="28"/>
          <w:sz w:val="20"/>
          <w:szCs w:val="20"/>
          <w:vertAlign w:val="superscript"/>
        </w:rPr>
        <w:footnoteReference w:id="51"/>
      </w:r>
      <w:r>
        <w:rPr>
          <w:rFonts w:ascii="Times New Roman" w:eastAsia="Times New Roman" w:hAnsi="Times New Roman" w:cs="Times New Roman"/>
          <w:snapToGrid w:val="0"/>
          <w:kern w:val="28"/>
          <w:szCs w:val="20"/>
        </w:rPr>
        <w:t xml:space="preserve">  The SBA has developed a small business size standard for Wired Telecommunications Carriers, which consists of all such companies having 1,500 or fewer employees.</w:t>
      </w:r>
      <w:r>
        <w:rPr>
          <w:rFonts w:ascii="Times New Roman" w:eastAsia="Times New Roman" w:hAnsi="Times New Roman" w:cs="Times New Roman"/>
          <w:snapToGrid w:val="0"/>
          <w:kern w:val="28"/>
          <w:sz w:val="20"/>
          <w:szCs w:val="20"/>
          <w:vertAlign w:val="superscript"/>
        </w:rPr>
        <w:footnoteReference w:id="52"/>
      </w:r>
      <w:r>
        <w:rPr>
          <w:rFonts w:ascii="Times New Roman" w:eastAsia="Times New Roman" w:hAnsi="Times New Roman" w:cs="Times New Roman"/>
          <w:snapToGrid w:val="0"/>
          <w:kern w:val="28"/>
          <w:szCs w:val="20"/>
        </w:rPr>
        <w:t xml:space="preserve">  Census data for 2012 show that there were 3,117 firms that operated that year.</w:t>
      </w:r>
      <w:r>
        <w:rPr>
          <w:rFonts w:ascii="Times New Roman" w:eastAsia="Times New Roman" w:hAnsi="Times New Roman" w:cs="Times New Roman"/>
          <w:snapToGrid w:val="0"/>
          <w:kern w:val="28"/>
          <w:sz w:val="20"/>
          <w:szCs w:val="20"/>
          <w:vertAlign w:val="superscript"/>
        </w:rPr>
        <w:footnoteReference w:id="53"/>
      </w:r>
      <w:r>
        <w:rPr>
          <w:rFonts w:ascii="Times New Roman" w:eastAsia="Times New Roman" w:hAnsi="Times New Roman" w:cs="Times New Roman"/>
          <w:snapToGrid w:val="0"/>
          <w:kern w:val="28"/>
          <w:szCs w:val="20"/>
        </w:rPr>
        <w:t xml:space="preserve">  Of this total, 3,083 operated with fewer than 1,000 employees.</w:t>
      </w:r>
      <w:r>
        <w:rPr>
          <w:rFonts w:ascii="Times New Roman" w:eastAsia="Times New Roman" w:hAnsi="Times New Roman" w:cs="Times New Roman"/>
          <w:snapToGrid w:val="0"/>
          <w:kern w:val="28"/>
          <w:sz w:val="20"/>
          <w:szCs w:val="20"/>
          <w:vertAlign w:val="superscript"/>
        </w:rPr>
        <w:footnoteReference w:id="54"/>
      </w:r>
      <w:r>
        <w:rPr>
          <w:rFonts w:ascii="Times New Roman" w:eastAsia="Times New Roman" w:hAnsi="Times New Roman" w:cs="Times New Roman"/>
          <w:snapToGrid w:val="0"/>
          <w:kern w:val="28"/>
          <w:szCs w:val="20"/>
        </w:rPr>
        <w:t xml:space="preserve">  Thus, under this size standard, the majority of firms in this industry can be considered small.</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rPr>
      </w:pPr>
      <w:r>
        <w:rPr>
          <w:rFonts w:ascii="Times New Roman" w:eastAsia="Times New Roman" w:hAnsi="Times New Roman" w:cs="Times New Roman"/>
          <w:i/>
          <w:snapToGrid w:val="0"/>
          <w:kern w:val="28"/>
          <w:szCs w:val="20"/>
        </w:rPr>
        <w:t>Local Exchange Carriers (LECs).</w:t>
      </w:r>
      <w:r>
        <w:rPr>
          <w:rFonts w:ascii="Times New Roman" w:eastAsia="Times New Roman" w:hAnsi="Times New Roman" w:cs="Times New Roman"/>
          <w:snapToGrid w:val="0"/>
          <w:kern w:val="28"/>
          <w:szCs w:val="20"/>
        </w:rPr>
        <w:t xml:space="preserve">  Neither the Commission nor the SBA has developed a size standard for small businesses specifically applicable to local exchange services.  The closest applicable NAICS Code category is for Wired Telecommunications Carriers.  Under that size standard, </w:t>
      </w:r>
      <w:r>
        <w:rPr>
          <w:rFonts w:ascii="Times New Roman" w:eastAsia="Times New Roman" w:hAnsi="Times New Roman" w:cs="Times New Roman"/>
          <w:snapToGrid w:val="0"/>
          <w:kern w:val="28"/>
          <w:szCs w:val="20"/>
        </w:rPr>
        <w:t>such a business is small if it has 1,500 or fewer employees.</w:t>
      </w:r>
      <w:r>
        <w:rPr>
          <w:rFonts w:ascii="Times New Roman" w:eastAsia="Times New Roman" w:hAnsi="Times New Roman" w:cs="Times New Roman"/>
          <w:snapToGrid w:val="0"/>
          <w:kern w:val="28"/>
          <w:sz w:val="20"/>
          <w:szCs w:val="20"/>
          <w:vertAlign w:val="superscript"/>
        </w:rPr>
        <w:footnoteReference w:id="55"/>
      </w:r>
      <w:r>
        <w:rPr>
          <w:rFonts w:ascii="Times New Roman" w:eastAsia="Times New Roman" w:hAnsi="Times New Roman" w:cs="Times New Roman"/>
          <w:snapToGrid w:val="0"/>
          <w:kern w:val="28"/>
          <w:sz w:val="13"/>
          <w:szCs w:val="13"/>
        </w:rPr>
        <w:t xml:space="preserve">   </w:t>
      </w:r>
      <w:r>
        <w:rPr>
          <w:rFonts w:ascii="Times New Roman" w:eastAsia="Times New Roman" w:hAnsi="Times New Roman" w:cs="Times New Roman"/>
          <w:snapToGrid w:val="0"/>
          <w:kern w:val="28"/>
          <w:szCs w:val="20"/>
        </w:rPr>
        <w:t>Census data for 2012 show that there were 3,117 firms that operated that year.  Of this total, 3,083 operated with fewer than 1,000 employees.</w:t>
      </w:r>
      <w:r>
        <w:rPr>
          <w:rFonts w:ascii="Times New Roman" w:eastAsia="Times New Roman" w:hAnsi="Times New Roman" w:cs="Times New Roman"/>
          <w:snapToGrid w:val="0"/>
          <w:kern w:val="28"/>
          <w:sz w:val="20"/>
          <w:szCs w:val="20"/>
          <w:vertAlign w:val="superscript"/>
        </w:rPr>
        <w:footnoteReference w:id="56"/>
      </w:r>
      <w:r>
        <w:rPr>
          <w:rFonts w:ascii="Times New Roman" w:eastAsia="Times New Roman" w:hAnsi="Times New Roman" w:cs="Times New Roman"/>
          <w:snapToGrid w:val="0"/>
          <w:kern w:val="28"/>
          <w:sz w:val="14"/>
          <w:szCs w:val="14"/>
        </w:rPr>
        <w:t xml:space="preserve">  </w:t>
      </w:r>
      <w:r>
        <w:rPr>
          <w:rFonts w:ascii="Times New Roman" w:eastAsia="Times New Roman" w:hAnsi="Times New Roman" w:cs="Times New Roman"/>
          <w:snapToGrid w:val="0"/>
          <w:kern w:val="28"/>
          <w:szCs w:val="20"/>
        </w:rPr>
        <w:t>The Commission therefore estimates that most providers of local exchange carrier service are small entities that may be affected by our actions in this proceeding.</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szCs w:val="20"/>
        </w:rPr>
      </w:pPr>
      <w:r>
        <w:rPr>
          <w:rFonts w:ascii="Times New Roman" w:eastAsia="Times New Roman" w:hAnsi="Times New Roman" w:cs="Times New Roman"/>
          <w:i/>
          <w:snapToGrid w:val="0"/>
          <w:kern w:val="28"/>
          <w:szCs w:val="20"/>
        </w:rPr>
        <w:t>Incumbent Local Exchange Carriers (incumbent LECs).</w:t>
      </w:r>
      <w:r>
        <w:rPr>
          <w:rFonts w:ascii="Times New Roman" w:eastAsia="Times New Roman" w:hAnsi="Times New Roman" w:cs="Times New Roman"/>
          <w:b/>
          <w:snapToGrid w:val="0"/>
          <w:kern w:val="28"/>
          <w:szCs w:val="20"/>
        </w:rPr>
        <w:t xml:space="preserve">  </w:t>
      </w:r>
      <w:r>
        <w:rPr>
          <w:rFonts w:ascii="Times New Roman" w:eastAsia="Times New Roman" w:hAnsi="Times New Roman" w:cs="Times New Roman"/>
          <w:snapToGrid w:val="0"/>
          <w:kern w:val="28"/>
          <w:szCs w:val="20"/>
        </w:rPr>
        <w:t>Neither the Commission nor the SBA has developed a small business size standard specifically for incumbent local exchange services.  The closest applicable NAICS Code category is Wired Telecommunications Carriers.  Under that size standard, such a business is small if it has 1,500 or fewer employees.</w:t>
      </w:r>
      <w:r>
        <w:rPr>
          <w:rFonts w:ascii="Times New Roman" w:eastAsia="Times New Roman" w:hAnsi="Times New Roman" w:cs="Times New Roman"/>
          <w:snapToGrid w:val="0"/>
          <w:kern w:val="28"/>
          <w:sz w:val="20"/>
          <w:szCs w:val="20"/>
          <w:vertAlign w:val="superscript"/>
        </w:rPr>
        <w:footnoteReference w:id="57"/>
      </w:r>
      <w:r>
        <w:rPr>
          <w:rFonts w:ascii="Times New Roman" w:eastAsia="Times New Roman" w:hAnsi="Times New Roman" w:cs="Times New Roman"/>
          <w:snapToGrid w:val="0"/>
          <w:kern w:val="28"/>
          <w:szCs w:val="20"/>
        </w:rPr>
        <w:t xml:space="preserve">  According to Commission data, 3,117 firms operated in that year.  Of this total, 3,083 operated with fewer than 1,000 employees.</w:t>
      </w:r>
      <w:r>
        <w:rPr>
          <w:rFonts w:ascii="Times New Roman" w:eastAsia="Times New Roman" w:hAnsi="Times New Roman" w:cs="Times New Roman"/>
          <w:snapToGrid w:val="0"/>
          <w:kern w:val="28"/>
          <w:sz w:val="20"/>
          <w:szCs w:val="20"/>
          <w:vertAlign w:val="superscript"/>
        </w:rPr>
        <w:footnoteReference w:id="58"/>
      </w:r>
      <w:r>
        <w:rPr>
          <w:rFonts w:ascii="Times New Roman" w:eastAsia="Times New Roman" w:hAnsi="Times New Roman" w:cs="Times New Roman"/>
          <w:snapToGrid w:val="0"/>
          <w:kern w:val="28"/>
          <w:szCs w:val="20"/>
        </w:rPr>
        <w:t xml:space="preserve">  Consequently, the Commission estimates that most providers of incumbent local exchange service are small businesses that may be affected by our actions in this proceeding</w:t>
      </w:r>
      <w:r>
        <w:rPr>
          <w:rFonts w:ascii="Times New Roman" w:eastAsia="Times New Roman" w:hAnsi="Times New Roman" w:cs="Times New Roman"/>
          <w:i/>
          <w:iCs/>
          <w:snapToGrid w:val="0"/>
          <w:kern w:val="28"/>
          <w:szCs w:val="20"/>
        </w:rPr>
        <w:t xml:space="preserve">.  </w:t>
      </w:r>
      <w:r>
        <w:rPr>
          <w:rFonts w:ascii="Times New Roman" w:eastAsia="Times New Roman" w:hAnsi="Times New Roman" w:cs="Times New Roman"/>
          <w:snapToGrid w:val="0"/>
          <w:kern w:val="28"/>
          <w:szCs w:val="20"/>
        </w:rPr>
        <w:t>A total of 1,307 entities reported that they were incumbent local exchange service providers.</w:t>
      </w:r>
      <w:r>
        <w:rPr>
          <w:rFonts w:ascii="Times New Roman" w:eastAsia="Times New Roman" w:hAnsi="Times New Roman" w:cs="Times New Roman"/>
          <w:snapToGrid w:val="0"/>
          <w:kern w:val="28"/>
          <w:sz w:val="20"/>
          <w:szCs w:val="20"/>
          <w:vertAlign w:val="superscript"/>
        </w:rPr>
        <w:footnoteReference w:id="59"/>
      </w:r>
      <w:r>
        <w:rPr>
          <w:rFonts w:ascii="Times New Roman" w:eastAsia="Times New Roman" w:hAnsi="Times New Roman" w:cs="Times New Roman"/>
          <w:snapToGrid w:val="0"/>
          <w:kern w:val="28"/>
          <w:szCs w:val="20"/>
        </w:rPr>
        <w:t xml:space="preserve">  Of this total, an estimated 1,006 have 1,500 or fewer employees.</w:t>
      </w:r>
      <w:r>
        <w:rPr>
          <w:rFonts w:ascii="Times New Roman" w:eastAsia="Times New Roman" w:hAnsi="Times New Roman" w:cs="Times New Roman"/>
          <w:snapToGrid w:val="0"/>
          <w:kern w:val="28"/>
          <w:sz w:val="20"/>
          <w:szCs w:val="20"/>
          <w:vertAlign w:val="superscript"/>
        </w:rPr>
        <w:footnoteReference w:id="60"/>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rPr>
      </w:pPr>
      <w:r>
        <w:rPr>
          <w:rFonts w:ascii="Times New Roman" w:eastAsia="Times New Roman" w:hAnsi="Times New Roman" w:cs="Times New Roman"/>
          <w:i/>
          <w:snapToGrid w:val="0"/>
          <w:kern w:val="28"/>
          <w:szCs w:val="20"/>
        </w:rPr>
        <w:t>Competitive Local Exchange Carriers (Competitive LECs), Competitive Access Providers (CAPs), Shared-Tenant Service Providers, and Other Local Service Providers.</w:t>
      </w:r>
      <w:r>
        <w:rPr>
          <w:rFonts w:ascii="Times New Roman" w:eastAsia="Times New Roman" w:hAnsi="Times New Roman" w:cs="Times New Roman"/>
          <w:snapToGrid w:val="0"/>
          <w:kern w:val="28"/>
          <w:szCs w:val="20"/>
        </w:rPr>
        <w:t xml:space="preserve">  Neither the Commission nor the SBA has developed a small business size standard specifically for these service providers.  The appropriate NAICS Code category is Wired Telecommunications Carriers.  Under that size standard, such a business is small if it has 1,500 or fewer employees.  U.S. Census data for 2012 indicate that 3,117 firms operated during that year.  Of that number, 3,083 operated with fewer than 1,000 employees.</w:t>
      </w:r>
      <w:r>
        <w:rPr>
          <w:rFonts w:ascii="Times New Roman" w:eastAsia="Times New Roman" w:hAnsi="Times New Roman" w:cs="Times New Roman"/>
          <w:snapToGrid w:val="0"/>
          <w:kern w:val="28"/>
          <w:sz w:val="20"/>
          <w:szCs w:val="20"/>
          <w:vertAlign w:val="superscript"/>
        </w:rPr>
        <w:footnoteReference w:id="61"/>
      </w:r>
      <w:r>
        <w:rPr>
          <w:rFonts w:ascii="Times New Roman" w:eastAsia="Times New Roman" w:hAnsi="Times New Roman" w:cs="Times New Roman"/>
          <w:snapToGrid w:val="0"/>
          <w:kern w:val="28"/>
          <w:szCs w:val="20"/>
        </w:rPr>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rFonts w:ascii="Times New Roman" w:eastAsia="Times New Roman" w:hAnsi="Times New Roman" w:cs="Times New Roman"/>
          <w:snapToGrid w:val="0"/>
          <w:kern w:val="28"/>
          <w:sz w:val="20"/>
          <w:szCs w:val="20"/>
          <w:vertAlign w:val="superscript"/>
        </w:rPr>
        <w:footnoteReference w:id="62"/>
      </w:r>
      <w:r>
        <w:rPr>
          <w:rFonts w:ascii="Times New Roman" w:eastAsia="Times New Roman" w:hAnsi="Times New Roman" w:cs="Times New Roman"/>
          <w:snapToGrid w:val="0"/>
          <w:kern w:val="28"/>
          <w:szCs w:val="20"/>
        </w:rPr>
        <w:t xml:space="preserve">  Of these 1,442 carriers, an estimated 1,256 have 1,500 or fewer employees.  In addition, 17 carriers have reported that they are Shared-Tenant Service Providers, and all 17 are estimated to have 1,500 or fewer employees.</w:t>
      </w:r>
      <w:r>
        <w:rPr>
          <w:rFonts w:ascii="Times New Roman" w:eastAsia="Times New Roman" w:hAnsi="Times New Roman" w:cs="Times New Roman"/>
          <w:snapToGrid w:val="0"/>
          <w:kern w:val="28"/>
          <w:sz w:val="20"/>
          <w:szCs w:val="20"/>
          <w:vertAlign w:val="superscript"/>
        </w:rPr>
        <w:footnoteReference w:id="63"/>
      </w:r>
      <w:r>
        <w:rPr>
          <w:rFonts w:ascii="Times New Roman" w:eastAsia="Times New Roman" w:hAnsi="Times New Roman" w:cs="Times New Roman"/>
          <w:snapToGrid w:val="0"/>
          <w:kern w:val="28"/>
          <w:szCs w:val="20"/>
        </w:rPr>
        <w:t xml:space="preserve">  Moreover, 72 carriers </w:t>
      </w:r>
      <w:r>
        <w:rPr>
          <w:rFonts w:ascii="Times New Roman" w:eastAsia="Times New Roman" w:hAnsi="Times New Roman" w:cs="Times New Roman"/>
          <w:snapToGrid w:val="0"/>
          <w:kern w:val="28"/>
          <w:szCs w:val="20"/>
        </w:rPr>
        <w:t>have reported that they are Other Local Service Providers.</w:t>
      </w:r>
      <w:r>
        <w:rPr>
          <w:rFonts w:ascii="Times New Roman" w:eastAsia="Times New Roman" w:hAnsi="Times New Roman" w:cs="Times New Roman"/>
          <w:snapToGrid w:val="0"/>
          <w:kern w:val="28"/>
          <w:sz w:val="20"/>
          <w:szCs w:val="20"/>
          <w:vertAlign w:val="superscript"/>
        </w:rPr>
        <w:footnoteReference w:id="64"/>
      </w:r>
      <w:r>
        <w:rPr>
          <w:rFonts w:ascii="Times New Roman" w:eastAsia="Times New Roman" w:hAnsi="Times New Roman" w:cs="Times New Roman"/>
          <w:snapToGrid w:val="0"/>
          <w:kern w:val="28"/>
          <w:szCs w:val="20"/>
        </w:rPr>
        <w:t xml:space="preserve">  Of this total, 70 have 1,500 or fewer employees.</w:t>
      </w:r>
      <w:r>
        <w:rPr>
          <w:rFonts w:ascii="Times New Roman" w:eastAsia="Times New Roman" w:hAnsi="Times New Roman" w:cs="Times New Roman"/>
          <w:snapToGrid w:val="0"/>
          <w:kern w:val="28"/>
          <w:sz w:val="20"/>
          <w:szCs w:val="20"/>
          <w:vertAlign w:val="superscript"/>
        </w:rPr>
        <w:footnoteReference w:id="65"/>
      </w:r>
      <w:r>
        <w:rPr>
          <w:rFonts w:ascii="Times New Roman" w:eastAsia="Times New Roman" w:hAnsi="Times New Roman" w:cs="Times New Roman"/>
          <w:snapToGrid w:val="0"/>
          <w:kern w:val="28"/>
          <w:szCs w:val="20"/>
        </w:rPr>
        <w:t xml:space="preserve">  Consequently, the Commission estimates that most providers of competitive local exchange service, competitive access providers, Shared-Tenant Service Providers, and Other Local Service Providers are small entities that may be affected by our actions in this proceeding. </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rPr>
      </w:pPr>
      <w:r>
        <w:rPr>
          <w:rFonts w:ascii="Times New Roman" w:eastAsia="Times New Roman" w:hAnsi="Times New Roman" w:cs="Times New Roman"/>
          <w:snapToGrid w:val="0"/>
          <w:kern w:val="28"/>
        </w:rPr>
        <w:t xml:space="preserve">We have included small incumbent LECs in this present RFA analysis.  As noted above, a “small business” under the RFA is one that, </w:t>
      </w:r>
      <w:r>
        <w:rPr>
          <w:rFonts w:ascii="Times New Roman" w:eastAsia="Times New Roman" w:hAnsi="Times New Roman" w:cs="Times New Roman"/>
          <w:i/>
          <w:iCs/>
          <w:snapToGrid w:val="0"/>
          <w:kern w:val="28"/>
        </w:rPr>
        <w:t>inter alia</w:t>
      </w:r>
      <w:r>
        <w:rPr>
          <w:rFonts w:ascii="Times New Roman" w:eastAsia="Times New Roman" w:hAnsi="Times New Roman" w:cs="Times New Roman"/>
          <w:snapToGrid w:val="0"/>
          <w:kern w:val="28"/>
        </w:rPr>
        <w:t>, meets the pertinent small business size standard (</w:t>
      </w:r>
      <w:r>
        <w:rPr>
          <w:rFonts w:ascii="Times New Roman" w:eastAsia="Times New Roman" w:hAnsi="Times New Roman" w:cs="Times New Roman"/>
          <w:i/>
          <w:snapToGrid w:val="0"/>
          <w:kern w:val="28"/>
        </w:rPr>
        <w:t>e.g</w:t>
      </w:r>
      <w:r>
        <w:rPr>
          <w:rFonts w:ascii="Times New Roman" w:eastAsia="Times New Roman" w:hAnsi="Times New Roman" w:cs="Times New Roman"/>
          <w:iCs/>
          <w:snapToGrid w:val="0"/>
          <w:kern w:val="28"/>
        </w:rPr>
        <w:t>.</w:t>
      </w:r>
      <w:r>
        <w:rPr>
          <w:rFonts w:ascii="Times New Roman" w:eastAsia="Times New Roman" w:hAnsi="Times New Roman" w:cs="Times New Roman"/>
          <w:snapToGrid w:val="0"/>
          <w:kern w:val="28"/>
        </w:rPr>
        <w:t>, a telephone communications business having 1,500 or fewer employees), and “is not dominant in its field of operation.”</w:t>
      </w:r>
      <w:r>
        <w:rPr>
          <w:rFonts w:ascii="Times New Roman" w:eastAsia="Times New Roman" w:hAnsi="Times New Roman" w:cs="Times New Roman"/>
          <w:snapToGrid w:val="0"/>
          <w:kern w:val="28"/>
          <w:vertAlign w:val="superscript"/>
        </w:rPr>
        <w:footnoteReference w:id="66"/>
      </w:r>
      <w:r>
        <w:rPr>
          <w:rFonts w:ascii="Times New Roman" w:eastAsia="Times New Roman" w:hAnsi="Times New Roman" w:cs="Times New Roman"/>
          <w:snapToGrid w:val="0"/>
          <w:kern w:val="28"/>
        </w:rPr>
        <w:t xml:space="preserve">  The SBA’s Office of Advocacy contends that, for RFA purposes, small incumbent LECs are not dominant in their field of operation because any such dominance is not “national” in scope.</w:t>
      </w:r>
      <w:r>
        <w:rPr>
          <w:rFonts w:ascii="Times New Roman" w:eastAsia="Times New Roman" w:hAnsi="Times New Roman" w:cs="Times New Roman"/>
          <w:snapToGrid w:val="0"/>
          <w:kern w:val="28"/>
          <w:vertAlign w:val="superscript"/>
        </w:rPr>
        <w:footnoteReference w:id="67"/>
      </w:r>
      <w:r>
        <w:rPr>
          <w:rFonts w:ascii="Times New Roman" w:eastAsia="Times New Roman" w:hAnsi="Times New Roman" w:cs="Times New Roman"/>
          <w:snapToGrid w:val="0"/>
          <w:kern w:val="28"/>
        </w:rPr>
        <w:t xml:space="preserve">  We have therefore included small incumbent LECs in this RFA analysis, although we emphasize that this RFA action has no effect on Commission analyses and determinations in other, non-RFA contexts.</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szCs w:val="20"/>
        </w:rPr>
      </w:pPr>
      <w:r>
        <w:rPr>
          <w:rFonts w:ascii="Times New Roman" w:eastAsia="Times New Roman" w:hAnsi="Times New Roman" w:cs="Times New Roman"/>
          <w:i/>
          <w:snapToGrid w:val="0"/>
          <w:kern w:val="28"/>
          <w:szCs w:val="20"/>
        </w:rPr>
        <w:t>Interexchange Carriers (IXCs).</w:t>
      </w:r>
      <w:r>
        <w:rPr>
          <w:rFonts w:ascii="Times New Roman" w:eastAsia="Times New Roman" w:hAnsi="Times New Roman" w:cs="Times New Roman"/>
          <w:snapToGrid w:val="0"/>
          <w:kern w:val="28"/>
          <w:szCs w:val="20"/>
        </w:rPr>
        <w:t xml:space="preserve">  Neither the Commission nor the SBA has developed a definition for Interexchange Carriers.  The closest NAICS Code category is Wired Telecommunications Carriers.  The applicable size standard under SBA rules is that such a business is small if it has 1,500 or fewer employees.</w:t>
      </w:r>
      <w:r>
        <w:rPr>
          <w:rFonts w:ascii="Times New Roman" w:eastAsia="Times New Roman" w:hAnsi="Times New Roman" w:cs="Times New Roman"/>
          <w:snapToGrid w:val="0"/>
          <w:kern w:val="28"/>
          <w:sz w:val="20"/>
          <w:szCs w:val="20"/>
          <w:vertAlign w:val="superscript"/>
        </w:rPr>
        <w:footnoteReference w:id="68"/>
      </w:r>
      <w:r>
        <w:rPr>
          <w:rFonts w:ascii="Times New Roman" w:eastAsia="Times New Roman" w:hAnsi="Times New Roman" w:cs="Times New Roman"/>
          <w:snapToGrid w:val="0"/>
          <w:kern w:val="28"/>
          <w:szCs w:val="20"/>
        </w:rPr>
        <w:t xml:space="preserve">  According to Commission data, 359 companies reported that their primary telecommunications service activity was the provision of interexchange services.</w:t>
      </w:r>
      <w:r>
        <w:rPr>
          <w:rFonts w:ascii="Times New Roman" w:eastAsia="Times New Roman" w:hAnsi="Times New Roman" w:cs="Times New Roman"/>
          <w:snapToGrid w:val="0"/>
          <w:kern w:val="28"/>
          <w:sz w:val="20"/>
          <w:szCs w:val="20"/>
          <w:vertAlign w:val="superscript"/>
        </w:rPr>
        <w:footnoteReference w:id="69"/>
      </w:r>
      <w:r>
        <w:rPr>
          <w:rFonts w:ascii="Times New Roman" w:eastAsia="Times New Roman" w:hAnsi="Times New Roman" w:cs="Times New Roman"/>
          <w:snapToGrid w:val="0"/>
          <w:kern w:val="28"/>
          <w:szCs w:val="20"/>
        </w:rPr>
        <w:t xml:space="preserve">  Of this total, an estimated 317 have 1,500 or fewer employees and 42 have more than 1,500 employees.</w:t>
      </w:r>
      <w:r>
        <w:rPr>
          <w:rFonts w:ascii="Times New Roman" w:eastAsia="Times New Roman" w:hAnsi="Times New Roman" w:cs="Times New Roman"/>
          <w:snapToGrid w:val="0"/>
          <w:kern w:val="28"/>
          <w:sz w:val="20"/>
          <w:szCs w:val="20"/>
          <w:vertAlign w:val="superscript"/>
        </w:rPr>
        <w:footnoteReference w:id="70"/>
      </w:r>
      <w:r>
        <w:rPr>
          <w:rFonts w:ascii="Times New Roman" w:eastAsia="Times New Roman" w:hAnsi="Times New Roman" w:cs="Times New Roman"/>
          <w:snapToGrid w:val="0"/>
          <w:kern w:val="28"/>
          <w:szCs w:val="20"/>
        </w:rPr>
        <w:t xml:space="preserve">  Consequently, the Commission estimates that the majority of interexchange service providers are small entities that may be affected by our actions in this proceeding.</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rPr>
      </w:pPr>
      <w:r>
        <w:rPr>
          <w:rFonts w:ascii="Times New Roman" w:eastAsia="Times New Roman" w:hAnsi="Times New Roman" w:cs="Times New Roman"/>
          <w:i/>
          <w:snapToGrid w:val="0"/>
          <w:kern w:val="28"/>
        </w:rPr>
        <w:t xml:space="preserve">Operator Service Providers </w:t>
      </w:r>
      <w:r>
        <w:rPr>
          <w:rFonts w:ascii="Times New Roman" w:eastAsia="Times New Roman" w:hAnsi="Times New Roman" w:cs="Times New Roman"/>
          <w:snapToGrid w:val="0"/>
          <w:kern w:val="28"/>
        </w:rPr>
        <w:t>(</w:t>
      </w:r>
      <w:r>
        <w:rPr>
          <w:rFonts w:ascii="Times New Roman" w:eastAsia="Times New Roman" w:hAnsi="Times New Roman" w:cs="Times New Roman"/>
          <w:i/>
          <w:snapToGrid w:val="0"/>
          <w:kern w:val="28"/>
        </w:rPr>
        <w:t>OSPs</w:t>
      </w:r>
      <w:r>
        <w:rPr>
          <w:rFonts w:ascii="Times New Roman" w:eastAsia="Times New Roman" w:hAnsi="Times New Roman" w:cs="Times New Roman"/>
          <w:snapToGrid w:val="0"/>
          <w:kern w:val="28"/>
        </w:rPr>
        <w:t>).  Neither the Commission nor the SBA has developed a small business size standard specifically for operator service providers.  The appropriate size standard under SBA rules is for the category Wired Telecommunications Carriers.  Under that size standard, such a business is small if it has 1,500 or fewer employees.</w:t>
      </w:r>
      <w:r>
        <w:rPr>
          <w:rFonts w:ascii="Times New Roman" w:eastAsia="Times New Roman" w:hAnsi="Times New Roman" w:cs="Times New Roman"/>
          <w:snapToGrid w:val="0"/>
          <w:kern w:val="28"/>
          <w:sz w:val="20"/>
          <w:vertAlign w:val="superscript"/>
        </w:rPr>
        <w:footnoteReference w:id="71"/>
      </w:r>
      <w:r>
        <w:rPr>
          <w:rFonts w:ascii="Times New Roman" w:eastAsia="Times New Roman" w:hAnsi="Times New Roman" w:cs="Times New Roman"/>
          <w:snapToGrid w:val="0"/>
          <w:kern w:val="28"/>
        </w:rPr>
        <w:t xml:space="preserve">  According to Commission data, 33 carriers have reported that they are engaged in the provision of operator services.  Of these, an estimated 31 have 1,500 or fewer employees and two have more than 1,500 employees.</w:t>
      </w:r>
      <w:r>
        <w:rPr>
          <w:rFonts w:ascii="Times New Roman" w:eastAsia="Times New Roman" w:hAnsi="Times New Roman" w:cs="Times New Roman"/>
          <w:snapToGrid w:val="0"/>
          <w:kern w:val="28"/>
          <w:sz w:val="20"/>
          <w:vertAlign w:val="superscript"/>
        </w:rPr>
        <w:footnoteReference w:id="72"/>
      </w:r>
      <w:r>
        <w:rPr>
          <w:rFonts w:ascii="Times New Roman" w:eastAsia="Times New Roman" w:hAnsi="Times New Roman" w:cs="Times New Roman"/>
          <w:snapToGrid w:val="0"/>
          <w:kern w:val="28"/>
        </w:rPr>
        <w:t xml:space="preserve">  Consequently, the Commission estimates that the majority of OSPs are small entities that may be affected by our actions in this proceeding.</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szCs w:val="20"/>
        </w:rPr>
      </w:pPr>
      <w:r>
        <w:rPr>
          <w:rFonts w:ascii="Times New Roman" w:eastAsia="Times New Roman" w:hAnsi="Times New Roman" w:cs="Times New Roman"/>
          <w:i/>
          <w:snapToGrid w:val="0"/>
          <w:kern w:val="28"/>
        </w:rPr>
        <w:t>Other Toll Carriers</w:t>
      </w:r>
      <w:r>
        <w:rPr>
          <w:rFonts w:ascii="Times New Roman" w:eastAsia="Times New Roman" w:hAnsi="Times New Roman" w:cs="Times New Roman"/>
          <w:snapToGrid w:val="0"/>
          <w:kern w:val="28"/>
        </w:rPr>
        <w:t xml:space="preserve">.  </w:t>
      </w:r>
      <w:r>
        <w:rPr>
          <w:rFonts w:ascii="Times New Roman" w:eastAsia="Times New Roman" w:hAnsi="Times New Roman" w:cs="Times New Roman"/>
          <w:snapToGrid w:val="0"/>
          <w:kern w:val="28"/>
          <w:szCs w:val="20"/>
        </w:rPr>
        <w:t xml:space="preserve">Neither the Commission nor the SBA has developed a definition for small businesses specifically applicable to Other Toll Carriers.  This category includes toll carriers that do </w:t>
      </w:r>
      <w:r>
        <w:rPr>
          <w:rFonts w:ascii="Times New Roman" w:eastAsia="Times New Roman" w:hAnsi="Times New Roman" w:cs="Times New Roman"/>
          <w:snapToGrid w:val="0"/>
          <w:kern w:val="28"/>
          <w:szCs w:val="20"/>
        </w:rPr>
        <w:t>not fall within the categories of interexchange carriers, operator service providers, prepaid calling card providers, satellite service carriers, or toll resellers.  The closest applicable NAICS Code category is for Wired Telecommunications Carriers as defined above.  Under the applicable SBA size standard, such a business is small if it has 1,500 or fewer employees.  Census data for 2012 shows that there were 3,117 firms that operated that year.  Of this total, 3,083 operated with fewer than 1,000 employees.</w:t>
      </w:r>
      <w:r>
        <w:rPr>
          <w:rFonts w:ascii="Times New Roman" w:eastAsia="Times New Roman" w:hAnsi="Times New Roman" w:cs="Times New Roman"/>
          <w:snapToGrid w:val="0"/>
          <w:kern w:val="28"/>
          <w:sz w:val="20"/>
          <w:szCs w:val="20"/>
          <w:vertAlign w:val="superscript"/>
        </w:rPr>
        <w:footnoteReference w:id="73"/>
      </w:r>
      <w:r>
        <w:rPr>
          <w:rFonts w:ascii="Times New Roman" w:eastAsia="Times New Roman" w:hAnsi="Times New Roman" w:cs="Times New Roman"/>
          <w:snapToGrid w:val="0"/>
          <w:kern w:val="28"/>
          <w:szCs w:val="20"/>
        </w:rPr>
        <w:t xml:space="preserve">  Thus, under this category and the associated small business size standard, the majority of Other Toll Carriers can be considered small.  According to internally developed Commission data, 284 companies reported that their primary telecommunications service activity was the provision of other toll carriage.</w:t>
      </w:r>
      <w:r>
        <w:rPr>
          <w:rFonts w:ascii="Times New Roman" w:eastAsia="Times New Roman" w:hAnsi="Times New Roman" w:cs="Times New Roman"/>
          <w:snapToGrid w:val="0"/>
          <w:kern w:val="28"/>
          <w:sz w:val="20"/>
          <w:szCs w:val="20"/>
          <w:vertAlign w:val="superscript"/>
        </w:rPr>
        <w:footnoteReference w:id="74"/>
      </w:r>
      <w:r>
        <w:rPr>
          <w:rFonts w:ascii="Times New Roman" w:eastAsia="Times New Roman" w:hAnsi="Times New Roman" w:cs="Times New Roman"/>
          <w:snapToGrid w:val="0"/>
          <w:kern w:val="28"/>
          <w:szCs w:val="20"/>
        </w:rPr>
        <w:t xml:space="preserve">  Of these, an estimated 279 have 1,500 or fewer employees.  </w:t>
      </w:r>
      <w:r>
        <w:rPr>
          <w:rFonts w:ascii="Times New Roman" w:eastAsia="Times New Roman" w:hAnsi="Times New Roman" w:cs="Times New Roman"/>
          <w:snapToGrid w:val="0"/>
          <w:kern w:val="28"/>
        </w:rPr>
        <w:t>Consequently, the Commission estimates that most Other Toll Carriers are small entities that may be affected by our actions in this proceeding.</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rPr>
      </w:pPr>
      <w:r>
        <w:rPr>
          <w:rFonts w:ascii="Times New Roman" w:eastAsia="Times New Roman" w:hAnsi="Times New Roman" w:cs="Times New Roman"/>
          <w:i/>
          <w:snapToGrid w:val="0"/>
          <w:kern w:val="28"/>
        </w:rPr>
        <w:t>Wireless Telecommunications Carriers (except Satellite</w:t>
      </w:r>
      <w:r>
        <w:rPr>
          <w:rFonts w:ascii="Times New Roman" w:eastAsia="Times New Roman" w:hAnsi="Times New Roman" w:cs="Times New Roman"/>
          <w:snapToGrid w:val="0"/>
          <w:kern w:val="28"/>
        </w:rPr>
        <w:t xml:space="preserve">).  </w:t>
      </w:r>
      <w:r>
        <w:rPr>
          <w:rFonts w:ascii="Times New Roman" w:eastAsia="Times New Roman" w:hAnsi="Times New Roman" w:cs="Times New Roman"/>
          <w:snapToGrid w:val="0"/>
          <w:kern w:val="28"/>
          <w:szCs w:val="20"/>
        </w:rPr>
        <w:t>This industry comprises establishments engaged in operating and maintaining switching and transmission facilities to provide communications via the airwaves, such as cellular services, paging services, wireless internet access, and wireless video services.</w:t>
      </w:r>
      <w:r>
        <w:rPr>
          <w:rFonts w:ascii="Times New Roman" w:eastAsia="Times New Roman" w:hAnsi="Times New Roman" w:cs="Times New Roman"/>
          <w:snapToGrid w:val="0"/>
          <w:kern w:val="28"/>
          <w:sz w:val="20"/>
          <w:szCs w:val="20"/>
          <w:vertAlign w:val="superscript"/>
        </w:rPr>
        <w:footnoteReference w:id="75"/>
      </w:r>
      <w:r>
        <w:rPr>
          <w:rFonts w:ascii="Times New Roman" w:eastAsia="Times New Roman" w:hAnsi="Times New Roman" w:cs="Times New Roman"/>
          <w:snapToGrid w:val="0"/>
          <w:kern w:val="28"/>
          <w:szCs w:val="20"/>
        </w:rPr>
        <w:t xml:space="preserve">  The appropriate size standard under SBA rules is that such a business is small if it has 1,500 or fewer employees.  For this industry, Census data for 2012 show that there were 967 firms that operated for the entire year.  Of this total, 955 firms had fewer than 1,000 employees.</w:t>
      </w:r>
      <w:r>
        <w:rPr>
          <w:rFonts w:ascii="Times New Roman" w:eastAsia="Times New Roman" w:hAnsi="Times New Roman" w:cs="Times New Roman"/>
          <w:snapToGrid w:val="0"/>
          <w:kern w:val="28"/>
          <w:sz w:val="20"/>
          <w:szCs w:val="20"/>
          <w:vertAlign w:val="superscript"/>
        </w:rPr>
        <w:footnoteReference w:id="76"/>
      </w:r>
      <w:r>
        <w:rPr>
          <w:rFonts w:ascii="Times New Roman" w:eastAsia="Times New Roman" w:hAnsi="Times New Roman" w:cs="Times New Roman"/>
          <w:snapToGrid w:val="0"/>
          <w:kern w:val="28"/>
          <w:szCs w:val="20"/>
        </w:rPr>
        <w:t xml:space="preserve">  Thus under this category and the associated size standard, the Commission estimates that the majority of wireless telecommunications carriers (except satellite) are small entities.  Similarly, according to internally developed Commission data, 413 carriers reported that they were engaged in the provision of wireless telephony, including cellular service, Personal Communications Service (PCS), and Specialized Mobile Radio (SMR) services.</w:t>
      </w:r>
      <w:r>
        <w:rPr>
          <w:rFonts w:ascii="Times New Roman" w:eastAsia="Times New Roman" w:hAnsi="Times New Roman" w:cs="Times New Roman"/>
          <w:snapToGrid w:val="0"/>
          <w:kern w:val="28"/>
          <w:sz w:val="20"/>
          <w:szCs w:val="20"/>
          <w:vertAlign w:val="superscript"/>
        </w:rPr>
        <w:footnoteReference w:id="77"/>
      </w:r>
      <w:r>
        <w:rPr>
          <w:rFonts w:ascii="Times New Roman" w:eastAsia="Times New Roman" w:hAnsi="Times New Roman" w:cs="Times New Roman"/>
          <w:snapToGrid w:val="0"/>
          <w:kern w:val="28"/>
          <w:szCs w:val="20"/>
        </w:rPr>
        <w:t xml:space="preserve">  Of this total, an estimated 261 have 1,500 or fewer employees.</w:t>
      </w:r>
      <w:r>
        <w:rPr>
          <w:rFonts w:ascii="Times New Roman" w:eastAsia="Times New Roman" w:hAnsi="Times New Roman" w:cs="Times New Roman"/>
          <w:snapToGrid w:val="0"/>
          <w:kern w:val="28"/>
          <w:sz w:val="20"/>
          <w:szCs w:val="20"/>
          <w:vertAlign w:val="superscript"/>
        </w:rPr>
        <w:footnoteReference w:id="78"/>
      </w:r>
      <w:r>
        <w:rPr>
          <w:rFonts w:ascii="Times New Roman" w:eastAsia="Times New Roman" w:hAnsi="Times New Roman" w:cs="Times New Roman"/>
          <w:snapToGrid w:val="0"/>
          <w:kern w:val="28"/>
          <w:szCs w:val="20"/>
        </w:rPr>
        <w:t xml:space="preserve">  Consequently, the Commission estimates that approximately half of these firms can be considered small.  Thus, using available data, we estimate that the majority of wireless firms can be considered small.  </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szCs w:val="20"/>
        </w:rPr>
      </w:pPr>
      <w:r>
        <w:rPr>
          <w:rFonts w:ascii="Times New Roman" w:eastAsia="Times New Roman" w:hAnsi="Times New Roman" w:cs="Times New Roman"/>
          <w:snapToGrid w:val="0"/>
          <w:kern w:val="28"/>
          <w:szCs w:val="20"/>
        </w:rPr>
        <w:t xml:space="preserve">  The Commission’s own data—available in its Universal Licensing System—indicate that, as of October 2016, there were 280 Cellular licensees that could be affected by our actions in this proceeding.</w:t>
      </w:r>
      <w:r>
        <w:rPr>
          <w:rFonts w:ascii="Times New Roman" w:eastAsia="Times New Roman" w:hAnsi="Times New Roman" w:cs="Times New Roman"/>
          <w:snapToGrid w:val="0"/>
          <w:kern w:val="28"/>
          <w:sz w:val="20"/>
          <w:vertAlign w:val="superscript"/>
        </w:rPr>
        <w:footnoteReference w:id="79"/>
      </w:r>
      <w:r>
        <w:rPr>
          <w:rFonts w:ascii="Times New Roman" w:eastAsia="Times New Roman" w:hAnsi="Times New Roman" w:cs="Times New Roman"/>
          <w:snapToGrid w:val="0"/>
          <w:kern w:val="28"/>
          <w:szCs w:val="20"/>
        </w:rPr>
        <w:t xml:space="preserve">  The Commission does not know how many of these licensees are small, as it does not collect that information for these types of entities.  Similarly, according to internally developed Commission data, 413 carriers reported that they were engaged in the provision of wireless telephony, including cellular service, Personal Communications Service, and Specialized Mobile Radio Telephony </w:t>
      </w:r>
      <w:r>
        <w:rPr>
          <w:rFonts w:ascii="Times New Roman" w:eastAsia="Times New Roman" w:hAnsi="Times New Roman" w:cs="Times New Roman"/>
          <w:snapToGrid w:val="0"/>
          <w:kern w:val="28"/>
          <w:szCs w:val="20"/>
        </w:rPr>
        <w:t>services.</w:t>
      </w:r>
      <w:r>
        <w:rPr>
          <w:rFonts w:ascii="Times New Roman" w:eastAsia="Times New Roman" w:hAnsi="Times New Roman" w:cs="Times New Roman"/>
          <w:snapToGrid w:val="0"/>
          <w:kern w:val="28"/>
          <w:sz w:val="20"/>
          <w:vertAlign w:val="superscript"/>
        </w:rPr>
        <w:footnoteReference w:id="80"/>
      </w:r>
      <w:r>
        <w:rPr>
          <w:rFonts w:ascii="Times New Roman" w:eastAsia="Times New Roman" w:hAnsi="Times New Roman" w:cs="Times New Roman"/>
          <w:snapToGrid w:val="0"/>
          <w:kern w:val="28"/>
          <w:szCs w:val="20"/>
        </w:rPr>
        <w:t xml:space="preserve">  Of this total, an estimated 261 have 1,500 or fewer employees, and 152 have more than 1,500 employees.</w:t>
      </w:r>
      <w:r>
        <w:rPr>
          <w:rFonts w:ascii="Times New Roman" w:eastAsia="Times New Roman" w:hAnsi="Times New Roman" w:cs="Times New Roman"/>
          <w:snapToGrid w:val="0"/>
          <w:kern w:val="28"/>
          <w:sz w:val="20"/>
          <w:vertAlign w:val="superscript"/>
        </w:rPr>
        <w:footnoteReference w:id="81"/>
      </w:r>
      <w:r>
        <w:rPr>
          <w:rFonts w:ascii="Times New Roman" w:eastAsia="Times New Roman" w:hAnsi="Times New Roman" w:cs="Times New Roman"/>
          <w:snapToGrid w:val="0"/>
          <w:kern w:val="28"/>
          <w:szCs w:val="20"/>
        </w:rPr>
        <w:t xml:space="preserve">  Thus, using available data, we estimate that the majority of wireless firms can be considered small.  </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rPr>
      </w:pPr>
      <w:r>
        <w:rPr>
          <w:rFonts w:ascii="Times New Roman" w:eastAsia="Times New Roman" w:hAnsi="Times New Roman" w:cs="Times New Roman"/>
          <w:i/>
          <w:snapToGrid w:val="0"/>
          <w:kern w:val="28"/>
        </w:rPr>
        <w:t>Wireless Communications Services</w:t>
      </w:r>
      <w:r>
        <w:rPr>
          <w:rFonts w:ascii="Times New Roman" w:eastAsia="Times New Roman" w:hAnsi="Times New Roman" w:cs="Times New Roman"/>
          <w:snapToGrid w:val="0"/>
          <w:kern w:val="28"/>
        </w:rPr>
        <w:t>.  This service can be used for fixed, mobile, radiolocation, and digital audio broadcasting satellite uses.  The Commission has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Fonts w:ascii="Times New Roman" w:eastAsia="Times New Roman" w:hAnsi="Times New Roman" w:cs="Times New Roman"/>
          <w:snapToGrid w:val="0"/>
          <w:kern w:val="28"/>
          <w:sz w:val="20"/>
          <w:vertAlign w:val="superscript"/>
        </w:rPr>
        <w:footnoteReference w:id="82"/>
      </w:r>
      <w:r>
        <w:rPr>
          <w:rFonts w:ascii="Times New Roman" w:eastAsia="Times New Roman" w:hAnsi="Times New Roman" w:cs="Times New Roman"/>
          <w:snapToGrid w:val="0"/>
          <w:kern w:val="28"/>
        </w:rPr>
        <w:t xml:space="preserve">  The SBA has approved these definitions.</w:t>
      </w:r>
      <w:r>
        <w:rPr>
          <w:rFonts w:ascii="Times New Roman" w:eastAsia="Times New Roman" w:hAnsi="Times New Roman" w:cs="Times New Roman"/>
          <w:snapToGrid w:val="0"/>
          <w:kern w:val="28"/>
          <w:sz w:val="20"/>
          <w:vertAlign w:val="superscript"/>
        </w:rPr>
        <w:footnoteReference w:id="83"/>
      </w:r>
      <w:r>
        <w:rPr>
          <w:rFonts w:ascii="Times New Roman" w:eastAsia="Times New Roman" w:hAnsi="Times New Roman" w:cs="Times New Roman"/>
          <w:snapToGrid w:val="0"/>
          <w:kern w:val="28"/>
        </w:rPr>
        <w:t xml:space="preserve">  </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rPr>
      </w:pPr>
      <w:r>
        <w:rPr>
          <w:rFonts w:ascii="Times New Roman" w:eastAsia="Times New Roman" w:hAnsi="Times New Roman" w:cs="Times New Roman"/>
          <w:i/>
          <w:iCs/>
          <w:snapToGrid w:val="0"/>
          <w:kern w:val="28"/>
        </w:rPr>
        <w:t>Wireless Telephony</w:t>
      </w:r>
      <w:r>
        <w:rPr>
          <w:rFonts w:ascii="Times New Roman" w:eastAsia="Times New Roman" w:hAnsi="Times New Roman" w:cs="Times New Roman"/>
          <w:snapToGrid w:val="0"/>
          <w:kern w:val="28"/>
        </w:rPr>
        <w:t>.  Wireless telephony includes cellular, personal communications services, and specialized mobile radio telephony carriers.  The closest applicable SBA category is Wireless Telecommunications Carriers (except Satellite)</w:t>
      </w:r>
      <w:r>
        <w:rPr>
          <w:rFonts w:ascii="Times New Roman" w:eastAsia="Times New Roman" w:hAnsi="Times New Roman" w:cs="Times New Roman"/>
          <w:snapToGrid w:val="0"/>
          <w:kern w:val="28"/>
          <w:sz w:val="20"/>
          <w:vertAlign w:val="superscript"/>
        </w:rPr>
        <w:t xml:space="preserve"> </w:t>
      </w:r>
      <w:r>
        <w:rPr>
          <w:rFonts w:ascii="Times New Roman" w:eastAsia="Times New Roman" w:hAnsi="Times New Roman" w:cs="Times New Roman"/>
          <w:snapToGrid w:val="0"/>
          <w:kern w:val="28"/>
          <w:sz w:val="20"/>
          <w:vertAlign w:val="superscript"/>
        </w:rPr>
        <w:footnoteReference w:id="84"/>
      </w:r>
      <w:r>
        <w:rPr>
          <w:rFonts w:ascii="Times New Roman" w:eastAsia="Times New Roman" w:hAnsi="Times New Roman" w:cs="Times New Roman"/>
          <w:snapToGrid w:val="0"/>
          <w:kern w:val="28"/>
        </w:rPr>
        <w:t xml:space="preserve"> and the appropriate size standard for this category under the SBA rules is that such a business is small if it has 1,500 or fewer employees.</w:t>
      </w:r>
      <w:r>
        <w:rPr>
          <w:rFonts w:ascii="Times New Roman" w:eastAsia="Times New Roman" w:hAnsi="Times New Roman" w:cs="Times New Roman"/>
          <w:snapToGrid w:val="0"/>
          <w:kern w:val="28"/>
          <w:sz w:val="20"/>
          <w:vertAlign w:val="superscript"/>
        </w:rPr>
        <w:footnoteReference w:id="85"/>
      </w:r>
      <w:r>
        <w:rPr>
          <w:rFonts w:ascii="Times New Roman" w:eastAsia="Times New Roman" w:hAnsi="Times New Roman" w:cs="Times New Roman"/>
          <w:snapToGrid w:val="0"/>
          <w:kern w:val="28"/>
        </w:rPr>
        <w:t xml:space="preserve">  For this industry, U.S. Census Bureau data for 2012 shows that there were 967 firms that operated for the entire year.</w:t>
      </w:r>
      <w:r>
        <w:rPr>
          <w:rFonts w:ascii="Times New Roman" w:eastAsia="Times New Roman" w:hAnsi="Times New Roman" w:cs="Times New Roman"/>
          <w:snapToGrid w:val="0"/>
          <w:kern w:val="28"/>
          <w:sz w:val="20"/>
          <w:szCs w:val="20"/>
          <w:vertAlign w:val="superscript"/>
        </w:rPr>
        <w:footnoteReference w:id="86"/>
      </w:r>
      <w:r>
        <w:rPr>
          <w:rFonts w:ascii="Times New Roman" w:eastAsia="Times New Roman" w:hAnsi="Times New Roman" w:cs="Times New Roman"/>
          <w:snapToGrid w:val="0"/>
          <w:kern w:val="28"/>
          <w:szCs w:val="20"/>
        </w:rPr>
        <w:t xml:space="preserve"> </w:t>
      </w:r>
      <w:r>
        <w:rPr>
          <w:rFonts w:ascii="Times New Roman" w:eastAsia="Times New Roman" w:hAnsi="Times New Roman" w:cs="Times New Roman"/>
          <w:snapToGrid w:val="0"/>
          <w:kern w:val="28"/>
        </w:rPr>
        <w:t xml:space="preserve"> Of this total, 955 firms had fewer than 1,000 employees and 12 firms has 1000 employees or more.</w:t>
      </w:r>
      <w:r>
        <w:rPr>
          <w:rFonts w:ascii="Times New Roman" w:eastAsia="Times New Roman" w:hAnsi="Times New Roman" w:cs="Times New Roman"/>
          <w:snapToGrid w:val="0"/>
          <w:kern w:val="28"/>
          <w:sz w:val="20"/>
          <w:szCs w:val="20"/>
          <w:vertAlign w:val="superscript"/>
        </w:rPr>
        <w:footnoteReference w:id="87"/>
      </w:r>
      <w:r>
        <w:rPr>
          <w:rFonts w:ascii="Times New Roman" w:eastAsia="Times New Roman" w:hAnsi="Times New Roman" w:cs="Times New Roman"/>
          <w:snapToGrid w:val="0"/>
          <w:kern w:val="28"/>
          <w:szCs w:val="20"/>
        </w:rPr>
        <w:t xml:space="preserve"> </w:t>
      </w:r>
      <w:r>
        <w:rPr>
          <w:rFonts w:ascii="Times New Roman" w:eastAsia="Times New Roman" w:hAnsi="Times New Roman" w:cs="Times New Roman"/>
          <w:snapToGrid w:val="0"/>
          <w:kern w:val="28"/>
        </w:rPr>
        <w:t xml:space="preserve"> Thus under this category and the associated size standard, the Commission estimates that a majority of these entities can be considered small.  According to Commission data, 413 carriers reported that they were engaged in wireless telephony.</w:t>
      </w:r>
      <w:r>
        <w:rPr>
          <w:rFonts w:ascii="Times New Roman" w:eastAsia="Times New Roman" w:hAnsi="Times New Roman" w:cs="Times New Roman"/>
          <w:snapToGrid w:val="0"/>
          <w:kern w:val="28"/>
          <w:sz w:val="20"/>
          <w:vertAlign w:val="superscript"/>
        </w:rPr>
        <w:footnoteReference w:id="88"/>
      </w:r>
      <w:r>
        <w:rPr>
          <w:rFonts w:ascii="Times New Roman" w:eastAsia="Times New Roman" w:hAnsi="Times New Roman" w:cs="Times New Roman"/>
          <w:snapToGrid w:val="0"/>
          <w:kern w:val="28"/>
        </w:rPr>
        <w:t xml:space="preserve">  Of these, an estimated 261 have 1,500 or fewer employees and 152 have more than 1,500 employees.  Therefore, more than half of these entities can be considered small.</w:t>
      </w:r>
      <w:r>
        <w:rPr>
          <w:rFonts w:ascii="Times New Roman" w:eastAsia="Times New Roman" w:hAnsi="Times New Roman" w:cs="Times New Roman"/>
          <w:snapToGrid w:val="0"/>
          <w:kern w:val="28"/>
          <w:sz w:val="20"/>
          <w:vertAlign w:val="superscript"/>
        </w:rPr>
        <w:footnoteReference w:id="89"/>
      </w:r>
      <w:r>
        <w:rPr>
          <w:rFonts w:ascii="Times New Roman" w:eastAsia="Times New Roman" w:hAnsi="Times New Roman" w:cs="Times New Roman"/>
          <w:snapToGrid w:val="0"/>
          <w:kern w:val="28"/>
        </w:rPr>
        <w:t xml:space="preserve">  </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rPr>
      </w:pPr>
      <w:r>
        <w:rPr>
          <w:rFonts w:ascii="Times New Roman" w:eastAsia="Times New Roman" w:hAnsi="Times New Roman" w:cs="Times New Roman"/>
          <w:i/>
          <w:snapToGrid w:val="0"/>
          <w:kern w:val="28"/>
        </w:rPr>
        <w:t>Broadband Personal Communications Service.</w:t>
      </w:r>
      <w:r>
        <w:rPr>
          <w:rFonts w:ascii="Times New Roman" w:eastAsia="Times New Roman" w:hAnsi="Times New Roman" w:cs="Times New Roman"/>
          <w:snapToGrid w:val="0"/>
          <w:kern w:val="28"/>
        </w:rPr>
        <w:t xml:space="preserve">  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w:t>
      </w:r>
      <w:r>
        <w:rPr>
          <w:rFonts w:ascii="Times New Roman" w:eastAsia="Times New Roman" w:hAnsi="Times New Roman" w:cs="Times New Roman"/>
          <w:snapToGrid w:val="0"/>
          <w:kern w:val="28"/>
        </w:rPr>
        <w:t>previous calendar years.</w:t>
      </w:r>
      <w:r>
        <w:rPr>
          <w:rFonts w:ascii="Times New Roman" w:eastAsia="Times New Roman" w:hAnsi="Times New Roman" w:cs="Times New Roman"/>
          <w:snapToGrid w:val="0"/>
          <w:kern w:val="28"/>
          <w:sz w:val="20"/>
          <w:vertAlign w:val="superscript"/>
        </w:rPr>
        <w:footnoteReference w:id="90"/>
      </w:r>
      <w:r>
        <w:rPr>
          <w:rFonts w:ascii="Times New Roman" w:eastAsia="Times New Roman" w:hAnsi="Times New Roman" w:cs="Times New Roman"/>
          <w:snapToGrid w:val="0"/>
          <w:kern w:val="28"/>
        </w:rPr>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Pr>
          <w:rFonts w:ascii="Times New Roman" w:eastAsia="Times New Roman" w:hAnsi="Times New Roman" w:cs="Times New Roman"/>
          <w:snapToGrid w:val="0"/>
          <w:kern w:val="28"/>
          <w:sz w:val="20"/>
          <w:vertAlign w:val="superscript"/>
        </w:rPr>
        <w:footnoteReference w:id="91"/>
      </w:r>
      <w:r>
        <w:rPr>
          <w:rFonts w:ascii="Times New Roman" w:eastAsia="Times New Roman" w:hAnsi="Times New Roman" w:cs="Times New Roman"/>
          <w:snapToGrid w:val="0"/>
          <w:kern w:val="28"/>
        </w:rPr>
        <w:t xml:space="preserve">  These small business size standards, in the context of broadband PCS auctions, have been approved by the SBA.</w:t>
      </w:r>
      <w:r>
        <w:rPr>
          <w:rFonts w:ascii="Times New Roman" w:eastAsia="Times New Roman" w:hAnsi="Times New Roman" w:cs="Times New Roman"/>
          <w:snapToGrid w:val="0"/>
          <w:kern w:val="28"/>
          <w:sz w:val="20"/>
          <w:vertAlign w:val="superscript"/>
        </w:rPr>
        <w:footnoteReference w:id="92"/>
      </w:r>
      <w:r>
        <w:rPr>
          <w:rFonts w:ascii="Times New Roman" w:eastAsia="Times New Roman" w:hAnsi="Times New Roman" w:cs="Times New Roman"/>
          <w:snapToGrid w:val="0"/>
          <w:kern w:val="28"/>
        </w:rPr>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Pr>
          <w:rFonts w:ascii="Times New Roman" w:eastAsia="Times New Roman" w:hAnsi="Times New Roman" w:cs="Times New Roman"/>
          <w:snapToGrid w:val="0"/>
          <w:kern w:val="28"/>
          <w:sz w:val="20"/>
          <w:vertAlign w:val="superscript"/>
        </w:rPr>
        <w:footnoteReference w:id="93"/>
      </w:r>
      <w:r>
        <w:rPr>
          <w:rFonts w:ascii="Times New Roman" w:eastAsia="Times New Roman" w:hAnsi="Times New Roman" w:cs="Times New Roman"/>
          <w:snapToGrid w:val="0"/>
          <w:kern w:val="28"/>
        </w:rPr>
        <w:t xml:space="preserve">  On April 15, 1999, the Commission completed the reauction of 347 C-, D-, E-, and F-Block licenses in Auction No. 22.</w:t>
      </w:r>
      <w:r>
        <w:rPr>
          <w:rFonts w:ascii="Times New Roman" w:eastAsia="Times New Roman" w:hAnsi="Times New Roman" w:cs="Times New Roman"/>
          <w:snapToGrid w:val="0"/>
          <w:kern w:val="28"/>
          <w:sz w:val="20"/>
          <w:vertAlign w:val="superscript"/>
        </w:rPr>
        <w:footnoteReference w:id="94"/>
      </w:r>
      <w:r>
        <w:rPr>
          <w:rFonts w:ascii="Times New Roman" w:eastAsia="Times New Roman" w:hAnsi="Times New Roman" w:cs="Times New Roman"/>
          <w:snapToGrid w:val="0"/>
          <w:kern w:val="28"/>
        </w:rPr>
        <w:t xml:space="preserve">  Of the 57 winning bidders in that auction, 48 claimed small business status and won 277 licenses.</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rPr>
      </w:pPr>
      <w:r>
        <w:rPr>
          <w:rFonts w:ascii="Times New Roman" w:eastAsia="Times New Roman" w:hAnsi="Times New Roman" w:cs="Times New Roman"/>
          <w:snapToGrid w:val="0"/>
          <w:kern w:val="28"/>
        </w:rPr>
        <w:t>On January 26, 2001, the Commission completed the auction of 422 C and F Block Broadband PCS licenses in Auction No. 35.  Of the 35 winning bidders in that auction, 29 claimed small business status.</w:t>
      </w:r>
      <w:r>
        <w:rPr>
          <w:rFonts w:ascii="Times New Roman" w:eastAsia="Times New Roman" w:hAnsi="Times New Roman" w:cs="Times New Roman"/>
          <w:snapToGrid w:val="0"/>
          <w:kern w:val="28"/>
          <w:sz w:val="20"/>
          <w:vertAlign w:val="superscript"/>
        </w:rPr>
        <w:footnoteReference w:id="95"/>
      </w:r>
      <w:r>
        <w:rPr>
          <w:rFonts w:ascii="Times New Roman" w:eastAsia="Times New Roman" w:hAnsi="Times New Roman" w:cs="Times New Roman"/>
          <w:snapToGrid w:val="0"/>
          <w:kern w:val="28"/>
        </w:rPr>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Pr>
          <w:rFonts w:ascii="Times New Roman" w:eastAsia="Times New Roman" w:hAnsi="Times New Roman" w:cs="Times New Roman"/>
          <w:snapToGrid w:val="0"/>
          <w:kern w:val="28"/>
          <w:sz w:val="20"/>
          <w:vertAlign w:val="superscript"/>
        </w:rPr>
        <w:footnoteReference w:id="96"/>
      </w:r>
      <w:r>
        <w:rPr>
          <w:rFonts w:ascii="Times New Roman" w:eastAsia="Times New Roman" w:hAnsi="Times New Roman" w:cs="Times New Roman"/>
          <w:snapToGrid w:val="0"/>
          <w:kern w:val="28"/>
        </w:rPr>
        <w:t xml:space="preserve">  On May 21, 2007, the Commission completed an auction of 33 licenses in the A, C, and F Blocks in Auction No. 71.</w:t>
      </w:r>
      <w:r>
        <w:rPr>
          <w:rFonts w:ascii="Times New Roman" w:eastAsia="Times New Roman" w:hAnsi="Times New Roman" w:cs="Times New Roman"/>
          <w:snapToGrid w:val="0"/>
          <w:kern w:val="28"/>
          <w:vertAlign w:val="superscript"/>
        </w:rPr>
        <w:footnoteReference w:id="97"/>
      </w:r>
      <w:r>
        <w:rPr>
          <w:rFonts w:ascii="Times New Roman" w:eastAsia="Times New Roman" w:hAnsi="Times New Roman" w:cs="Times New Roman"/>
          <w:snapToGrid w:val="0"/>
          <w:kern w:val="28"/>
        </w:rPr>
        <w:t xml:space="preserve">  Of the 12 winning bidders in that auction, five claimed small business status and won 18 licenses.</w:t>
      </w:r>
      <w:r>
        <w:rPr>
          <w:rFonts w:ascii="Times New Roman" w:eastAsia="Times New Roman" w:hAnsi="Times New Roman" w:cs="Times New Roman"/>
          <w:snapToGrid w:val="0"/>
          <w:kern w:val="28"/>
          <w:vertAlign w:val="superscript"/>
        </w:rPr>
        <w:footnoteReference w:id="98"/>
      </w:r>
      <w:r>
        <w:rPr>
          <w:rFonts w:ascii="Times New Roman" w:eastAsia="Times New Roman" w:hAnsi="Times New Roman" w:cs="Times New Roman"/>
          <w:snapToGrid w:val="0"/>
          <w:kern w:val="28"/>
        </w:rPr>
        <w:t xml:space="preserve">  On August 20, 2008, the Commission completed the auction of 20 C-, D-, E-, and F-Block Broadband PCS licenses in Auction No. 78.</w:t>
      </w:r>
      <w:r>
        <w:rPr>
          <w:rFonts w:ascii="Times New Roman" w:eastAsia="Times New Roman" w:hAnsi="Times New Roman" w:cs="Times New Roman"/>
          <w:snapToGrid w:val="0"/>
          <w:kern w:val="28"/>
          <w:sz w:val="20"/>
          <w:vertAlign w:val="superscript"/>
        </w:rPr>
        <w:footnoteReference w:id="99"/>
      </w:r>
      <w:r>
        <w:rPr>
          <w:rFonts w:ascii="Times New Roman" w:eastAsia="Times New Roman" w:hAnsi="Times New Roman" w:cs="Times New Roman"/>
          <w:snapToGrid w:val="0"/>
          <w:kern w:val="28"/>
        </w:rPr>
        <w:t xml:space="preserve">  Of the eight winning bidders for Broadband PCS licenses in that auction, six claimed small business status and won 14 licenses.</w:t>
      </w:r>
      <w:r>
        <w:rPr>
          <w:rFonts w:ascii="Times New Roman" w:eastAsia="Times New Roman" w:hAnsi="Times New Roman" w:cs="Times New Roman"/>
          <w:snapToGrid w:val="0"/>
          <w:kern w:val="28"/>
          <w:sz w:val="20"/>
          <w:vertAlign w:val="superscript"/>
        </w:rPr>
        <w:footnoteReference w:id="100"/>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rPr>
      </w:pPr>
      <w:r>
        <w:rPr>
          <w:rFonts w:ascii="Times New Roman" w:eastAsia="Times New Roman" w:hAnsi="Times New Roman" w:cs="Times New Roman"/>
          <w:i/>
          <w:snapToGrid w:val="0"/>
          <w:kern w:val="28"/>
        </w:rPr>
        <w:t>Specialized Mobile Radio Licenses.</w:t>
      </w:r>
      <w:r>
        <w:rPr>
          <w:rFonts w:ascii="Times New Roman" w:eastAsia="Times New Roman" w:hAnsi="Times New Roman" w:cs="Times New Roman"/>
          <w:snapToGrid w:val="0"/>
          <w:kern w:val="28"/>
        </w:rPr>
        <w:t xml:space="preserve">  The Commission awards “small entity” bidding </w:t>
      </w:r>
      <w:r>
        <w:rPr>
          <w:rFonts w:ascii="Times New Roman" w:eastAsia="Times New Roman" w:hAnsi="Times New Roman" w:cs="Times New Roman"/>
          <w:snapToGrid w:val="0"/>
          <w:kern w:val="28"/>
        </w:rPr>
        <w:t>credits in auctions for Specialized Mobile Radio (SMR) geographic area licenses in the 800 MHz and 900 MHz bands to firms that had revenues of no more than $15 million in each of the three previous calendar years.</w:t>
      </w:r>
      <w:r>
        <w:rPr>
          <w:rFonts w:ascii="Times New Roman" w:eastAsia="Times New Roman" w:hAnsi="Times New Roman" w:cs="Times New Roman"/>
          <w:snapToGrid w:val="0"/>
          <w:kern w:val="28"/>
          <w:sz w:val="20"/>
          <w:vertAlign w:val="superscript"/>
        </w:rPr>
        <w:footnoteReference w:id="101"/>
      </w:r>
      <w:r>
        <w:rPr>
          <w:rFonts w:ascii="Times New Roman" w:eastAsia="Times New Roman" w:hAnsi="Times New Roman" w:cs="Times New Roman"/>
          <w:snapToGrid w:val="0"/>
          <w:kern w:val="28"/>
        </w:rPr>
        <w:t xml:space="preserve">  The Commission awards “very small entity” bidding credits to firms that had revenues of no more than $3 million in each of the three previous calendar years.</w:t>
      </w:r>
      <w:r>
        <w:rPr>
          <w:rFonts w:ascii="Times New Roman" w:eastAsia="Times New Roman" w:hAnsi="Times New Roman" w:cs="Times New Roman"/>
          <w:snapToGrid w:val="0"/>
          <w:kern w:val="28"/>
          <w:sz w:val="20"/>
          <w:vertAlign w:val="superscript"/>
        </w:rPr>
        <w:footnoteReference w:id="102"/>
      </w:r>
      <w:r>
        <w:rPr>
          <w:rFonts w:ascii="Times New Roman" w:eastAsia="Times New Roman" w:hAnsi="Times New Roman" w:cs="Times New Roman"/>
          <w:snapToGrid w:val="0"/>
          <w:kern w:val="28"/>
        </w:rPr>
        <w:t xml:space="preserve">  The SBA has approved these small business size standards for the 900 MHz Service.</w:t>
      </w:r>
      <w:r>
        <w:rPr>
          <w:rFonts w:ascii="Times New Roman" w:eastAsia="Times New Roman" w:hAnsi="Times New Roman" w:cs="Times New Roman"/>
          <w:snapToGrid w:val="0"/>
          <w:kern w:val="28"/>
          <w:sz w:val="20"/>
          <w:vertAlign w:val="superscript"/>
        </w:rPr>
        <w:footnoteReference w:id="103"/>
      </w:r>
      <w:r>
        <w:rPr>
          <w:rFonts w:ascii="Times New Roman" w:eastAsia="Times New Roman" w:hAnsi="Times New Roman" w:cs="Times New Roman"/>
          <w:snapToGrid w:val="0"/>
          <w:kern w:val="28"/>
        </w:rPr>
        <w:t xml:space="preserve">  The Commission has held auctions for geographic area licenses in the 800 MHz and 900 MHz bands.  The 900 MHz SMR auction began on December 5, 1995, and closed on April 15, 1996.  Sixty bidders claiming that they qualified as small businesses under the $15 million size standard won 263 geographic area licenses in the 900 MHz SMR band.  The 800 MHz SMR auction for the upper 200 channels began on October 28, 1997, and was completed on December 8, 1997.  Ten bidders claiming that they qualified as small businesses under the $15 million size standard won 38 geographic area licenses for the upper 200 channels in the 800 MHz SMR band.</w:t>
      </w:r>
      <w:r>
        <w:rPr>
          <w:rFonts w:ascii="Times New Roman" w:eastAsia="Times New Roman" w:hAnsi="Times New Roman" w:cs="Times New Roman"/>
          <w:snapToGrid w:val="0"/>
          <w:kern w:val="28"/>
          <w:sz w:val="20"/>
          <w:vertAlign w:val="superscript"/>
        </w:rPr>
        <w:footnoteReference w:id="104"/>
      </w:r>
      <w:r>
        <w:rPr>
          <w:rFonts w:ascii="Times New Roman" w:eastAsia="Times New Roman" w:hAnsi="Times New Roman" w:cs="Times New Roman"/>
          <w:snapToGrid w:val="0"/>
          <w:kern w:val="28"/>
        </w:rPr>
        <w:t xml:space="preserve">  A second auction for the 800 MHz band was held on January 10, 2002 and closed on January 17, 2002 and included 23 BEA licenses.  One bidder claiming small business status won five licenses.</w:t>
      </w:r>
      <w:r>
        <w:rPr>
          <w:rFonts w:ascii="Times New Roman" w:eastAsia="Times New Roman" w:hAnsi="Times New Roman" w:cs="Times New Roman"/>
          <w:snapToGrid w:val="0"/>
          <w:kern w:val="28"/>
          <w:sz w:val="20"/>
          <w:vertAlign w:val="superscript"/>
        </w:rPr>
        <w:footnoteReference w:id="105"/>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rPr>
      </w:pPr>
      <w:r>
        <w:rPr>
          <w:rFonts w:ascii="Times New Roman" w:eastAsia="Times New Roman" w:hAnsi="Times New Roman" w:cs="Times New Roman"/>
          <w:snapToGrid w:val="0"/>
          <w:kern w:val="28"/>
        </w:rPr>
        <w:t>The auction of the 1,053 800 MHz SMR geographic area licenses for the General Category channels began on August 16, 2000, and was completed on September 1, 2000.  Eleven bidders won 108 geographic area licenses for the General Category channels in the 800 MHz SMR band and qualified as small businesses under the $15 million size standard.</w:t>
      </w:r>
      <w:r>
        <w:rPr>
          <w:rFonts w:ascii="Times New Roman" w:eastAsia="Times New Roman" w:hAnsi="Times New Roman" w:cs="Times New Roman"/>
          <w:snapToGrid w:val="0"/>
          <w:kern w:val="28"/>
          <w:sz w:val="20"/>
          <w:vertAlign w:val="superscript"/>
        </w:rPr>
        <w:footnoteReference w:id="106"/>
      </w:r>
      <w:r>
        <w:rPr>
          <w:rFonts w:ascii="Times New Roman" w:eastAsia="Times New Roman" w:hAnsi="Times New Roman" w:cs="Times New Roman"/>
          <w:snapToGrid w:val="0"/>
          <w:kern w:val="28"/>
        </w:rPr>
        <w:t xml:space="preserve">  In an auction completed on December 5, 2000, a total of 2,800 Economic Area licenses in the lower 80 channels of the 800 MHz SMR service were awarded.</w:t>
      </w:r>
      <w:r>
        <w:rPr>
          <w:rFonts w:ascii="Times New Roman" w:eastAsia="Times New Roman" w:hAnsi="Times New Roman" w:cs="Times New Roman"/>
          <w:snapToGrid w:val="0"/>
          <w:kern w:val="28"/>
          <w:sz w:val="20"/>
          <w:vertAlign w:val="superscript"/>
        </w:rPr>
        <w:footnoteReference w:id="107"/>
      </w:r>
      <w:r>
        <w:rPr>
          <w:rFonts w:ascii="Times New Roman" w:eastAsia="Times New Roman" w:hAnsi="Times New Roman" w:cs="Times New Roman"/>
          <w:snapToGrid w:val="0"/>
          <w:kern w:val="28"/>
        </w:rPr>
        <w:t xml:space="preserve">  Of the 22 winning bidders, 19 claimed small business status and won 129 licenses.  Thus, combining all four auctions, 41 winning bidders for geographic licenses in the 800 MHz SMR band claimed status as small businesses.</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rPr>
      </w:pPr>
      <w:r>
        <w:rPr>
          <w:rFonts w:ascii="Times New Roman" w:eastAsia="Times New Roman" w:hAnsi="Times New Roman" w:cs="Times New Roman"/>
          <w:snapToGrid w:val="0"/>
          <w:kern w:val="28"/>
        </w:rPr>
        <w:t>In addition, there are numerous incumbent site-by-site SMR licenses and licensees with extended implementation authorizations in the 800 and 900 MHz bands.  We do not know how many firms provide 800 MHz or 900 MHz geographic area SMR service pursuant to extended implementation authorizations, nor how many of these providers have annual revenues of no more than $15 million.  One firm has over $15 million in revenues.  In addition, we do not know how many of these firms have 1,500 or fewer employees, which is the SBA-determined size standard.</w:t>
      </w:r>
      <w:r>
        <w:rPr>
          <w:rFonts w:ascii="Times New Roman" w:eastAsia="Times New Roman" w:hAnsi="Times New Roman" w:cs="Times New Roman"/>
          <w:snapToGrid w:val="0"/>
          <w:kern w:val="28"/>
          <w:sz w:val="20"/>
          <w:vertAlign w:val="superscript"/>
        </w:rPr>
        <w:footnoteReference w:id="108"/>
      </w:r>
      <w:r>
        <w:rPr>
          <w:rFonts w:ascii="Times New Roman" w:eastAsia="Times New Roman" w:hAnsi="Times New Roman" w:cs="Times New Roman"/>
          <w:snapToGrid w:val="0"/>
          <w:kern w:val="28"/>
        </w:rPr>
        <w:t xml:space="preserve">  We assume, for purposes of this analysis, that all of the remaining extended implementation authorizations are held by small entities, as defined by the SBA.</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rPr>
      </w:pPr>
      <w:r>
        <w:rPr>
          <w:rFonts w:ascii="Times New Roman" w:eastAsia="Times New Roman" w:hAnsi="Times New Roman" w:cs="Times New Roman"/>
          <w:i/>
          <w:snapToGrid w:val="0"/>
          <w:kern w:val="28"/>
        </w:rPr>
        <w:t>Lower 700 MHz Band Licenses</w:t>
      </w:r>
      <w:r>
        <w:rPr>
          <w:rFonts w:ascii="Times New Roman" w:eastAsia="Times New Roman" w:hAnsi="Times New Roman" w:cs="Times New Roman"/>
          <w:snapToGrid w:val="0"/>
          <w:kern w:val="28"/>
        </w:rPr>
        <w:t xml:space="preserve">.  The Commission previously adopted criteria for defining three groups of small businesses for purposes of determining their eligibility for special </w:t>
      </w:r>
      <w:r>
        <w:rPr>
          <w:rFonts w:ascii="Times New Roman" w:eastAsia="Times New Roman" w:hAnsi="Times New Roman" w:cs="Times New Roman"/>
          <w:snapToGrid w:val="0"/>
          <w:kern w:val="28"/>
        </w:rPr>
        <w:t>provisions such as bidding credits.</w:t>
      </w:r>
      <w:r>
        <w:rPr>
          <w:rFonts w:ascii="Times New Roman" w:eastAsia="Times New Roman" w:hAnsi="Times New Roman" w:cs="Times New Roman"/>
          <w:snapToGrid w:val="0"/>
          <w:kern w:val="28"/>
          <w:vertAlign w:val="superscript"/>
        </w:rPr>
        <w:footnoteReference w:id="109"/>
      </w:r>
      <w:r>
        <w:rPr>
          <w:rFonts w:ascii="Times New Roman" w:eastAsia="Times New Roman" w:hAnsi="Times New Roman" w:cs="Times New Roman"/>
          <w:snapToGrid w:val="0"/>
          <w:kern w:val="28"/>
        </w:rPr>
        <w:t xml:space="preserve">  The Commission defined a “small business” as an entity that, together with its affiliates and controlling principals, has average gross revenues not exceeding $40 million for the preceding three years.</w:t>
      </w:r>
      <w:r>
        <w:rPr>
          <w:rFonts w:ascii="Times New Roman" w:eastAsia="Times New Roman" w:hAnsi="Times New Roman" w:cs="Times New Roman"/>
          <w:snapToGrid w:val="0"/>
          <w:kern w:val="28"/>
          <w:vertAlign w:val="superscript"/>
        </w:rPr>
        <w:footnoteReference w:id="110"/>
      </w:r>
      <w:r>
        <w:rPr>
          <w:rFonts w:ascii="Times New Roman" w:eastAsia="Times New Roman" w:hAnsi="Times New Roman" w:cs="Times New Roman"/>
          <w:snapToGrid w:val="0"/>
          <w:kern w:val="28"/>
        </w:rPr>
        <w:t xml:space="preserve">  A “very small business” is defined as an entity that, together with its affiliates and controlling principals, has average gross revenues that are not more than $15 million for the preceding three years.</w:t>
      </w:r>
      <w:r>
        <w:rPr>
          <w:rFonts w:ascii="Times New Roman" w:eastAsia="Times New Roman" w:hAnsi="Times New Roman" w:cs="Times New Roman"/>
          <w:snapToGrid w:val="0"/>
          <w:kern w:val="28"/>
          <w:vertAlign w:val="superscript"/>
        </w:rPr>
        <w:footnoteReference w:id="111"/>
      </w:r>
      <w:r>
        <w:rPr>
          <w:rFonts w:ascii="Times New Roman" w:eastAsia="Times New Roman" w:hAnsi="Times New Roman" w:cs="Times New Roman"/>
          <w:snapToGrid w:val="0"/>
          <w:kern w:val="28"/>
        </w:rPr>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Pr>
          <w:rFonts w:ascii="Times New Roman" w:eastAsia="Times New Roman" w:hAnsi="Times New Roman" w:cs="Times New Roman"/>
          <w:snapToGrid w:val="0"/>
          <w:kern w:val="28"/>
          <w:vertAlign w:val="superscript"/>
        </w:rPr>
        <w:footnoteReference w:id="112"/>
      </w:r>
      <w:r>
        <w:rPr>
          <w:rFonts w:ascii="Times New Roman" w:eastAsia="Times New Roman" w:hAnsi="Times New Roman" w:cs="Times New Roman"/>
          <w:snapToGrid w:val="0"/>
          <w:kern w:val="28"/>
        </w:rPr>
        <w:t xml:space="preserve">  The SBA approved these small size standards.</w:t>
      </w:r>
      <w:r>
        <w:rPr>
          <w:rFonts w:ascii="Times New Roman" w:eastAsia="Times New Roman" w:hAnsi="Times New Roman" w:cs="Times New Roman"/>
          <w:snapToGrid w:val="0"/>
          <w:kern w:val="28"/>
          <w:vertAlign w:val="superscript"/>
        </w:rPr>
        <w:footnoteReference w:id="113"/>
      </w:r>
      <w:r>
        <w:rPr>
          <w:rFonts w:ascii="Times New Roman" w:eastAsia="Times New Roman" w:hAnsi="Times New Roman" w:cs="Times New Roman"/>
          <w:snapToGrid w:val="0"/>
          <w:kern w:val="28"/>
        </w:rPr>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Pr>
          <w:rFonts w:ascii="Times New Roman" w:eastAsia="Times New Roman" w:hAnsi="Times New Roman" w:cs="Times New Roman"/>
          <w:snapToGrid w:val="0"/>
          <w:kern w:val="28"/>
          <w:vertAlign w:val="superscript"/>
        </w:rPr>
        <w:footnoteReference w:id="114"/>
      </w:r>
      <w:r>
        <w:rPr>
          <w:rFonts w:ascii="Times New Roman" w:eastAsia="Times New Roman" w:hAnsi="Times New Roman" w:cs="Times New Roman"/>
          <w:snapToGrid w:val="0"/>
          <w:kern w:val="28"/>
        </w:rPr>
        <w:t xml:space="preserve">  A second auction commenced on May 28, 2003, closed on June 13, 2003, and included 256 licenses:  5 EAG licenses and 476 Cellular Market Area licenses.</w:t>
      </w:r>
      <w:r>
        <w:rPr>
          <w:rFonts w:ascii="Times New Roman" w:eastAsia="Times New Roman" w:hAnsi="Times New Roman" w:cs="Times New Roman"/>
          <w:snapToGrid w:val="0"/>
          <w:kern w:val="28"/>
          <w:vertAlign w:val="superscript"/>
        </w:rPr>
        <w:footnoteReference w:id="115"/>
      </w:r>
      <w:r>
        <w:rPr>
          <w:rFonts w:ascii="Times New Roman" w:eastAsia="Times New Roman" w:hAnsi="Times New Roman" w:cs="Times New Roman"/>
          <w:snapToGrid w:val="0"/>
          <w:kern w:val="28"/>
        </w:rPr>
        <w:t xml:space="preserve">  Seventeen winning bidders claimed small or very small business status and won 60 licenses, and nine winning bidders claimed entrepreneur status and won 154 licenses.</w:t>
      </w:r>
      <w:r>
        <w:rPr>
          <w:rFonts w:ascii="Times New Roman" w:eastAsia="Times New Roman" w:hAnsi="Times New Roman" w:cs="Times New Roman"/>
          <w:snapToGrid w:val="0"/>
          <w:kern w:val="28"/>
          <w:vertAlign w:val="superscript"/>
        </w:rPr>
        <w:footnoteReference w:id="116"/>
      </w:r>
      <w:r>
        <w:rPr>
          <w:rFonts w:ascii="Times New Roman" w:eastAsia="Times New Roman" w:hAnsi="Times New Roman" w:cs="Times New Roman"/>
          <w:snapToGrid w:val="0"/>
          <w:kern w:val="28"/>
        </w:rPr>
        <w:t xml:space="preserve">  On July 26, 2005, the Commission completed an auction of 5 licenses in the Lower 700 MHz band (Auction No. 60).  There were three winning bidders for five licenses.  All three winning bidders claimed small business status.</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rPr>
      </w:pPr>
      <w:r>
        <w:rPr>
          <w:rFonts w:ascii="Times New Roman" w:eastAsia="Times New Roman" w:hAnsi="Times New Roman" w:cs="Times New Roman"/>
          <w:snapToGrid w:val="0"/>
          <w:kern w:val="28"/>
        </w:rPr>
        <w:t xml:space="preserve">In 2007, the Commission reexamined its rules governing the 700 MHz band in the </w:t>
      </w:r>
      <w:r>
        <w:rPr>
          <w:rFonts w:ascii="Times New Roman" w:eastAsia="Times New Roman" w:hAnsi="Times New Roman" w:cs="Times New Roman"/>
          <w:i/>
          <w:snapToGrid w:val="0"/>
          <w:kern w:val="28"/>
        </w:rPr>
        <w:t>700 MHz Second Report and Order</w:t>
      </w:r>
      <w:r>
        <w:rPr>
          <w:rFonts w:ascii="Times New Roman" w:eastAsia="Times New Roman" w:hAnsi="Times New Roman" w:cs="Times New Roman"/>
          <w:snapToGrid w:val="0"/>
          <w:kern w:val="28"/>
        </w:rPr>
        <w:t>.</w:t>
      </w:r>
      <w:r>
        <w:rPr>
          <w:rFonts w:ascii="Times New Roman" w:eastAsia="Times New Roman" w:hAnsi="Times New Roman" w:cs="Times New Roman"/>
          <w:snapToGrid w:val="0"/>
          <w:kern w:val="28"/>
          <w:sz w:val="20"/>
          <w:vertAlign w:val="superscript"/>
        </w:rPr>
        <w:footnoteReference w:id="117"/>
      </w:r>
      <w:r>
        <w:rPr>
          <w:rFonts w:ascii="Times New Roman" w:eastAsia="Times New Roman" w:hAnsi="Times New Roman" w:cs="Times New Roman"/>
          <w:snapToGrid w:val="0"/>
          <w:kern w:val="28"/>
        </w:rPr>
        <w:t xml:space="preserve">  An auction of 700 MHz licenses commenced January 24, 2008 and closed on March 18, 2008, which included, 176 Economic Area licenses in the A Block, 734 Cellular Market Area licenses in the B Block, and 176 EA licenses in the E Block.</w:t>
      </w:r>
      <w:r>
        <w:rPr>
          <w:rFonts w:ascii="Times New Roman" w:eastAsia="Times New Roman" w:hAnsi="Times New Roman" w:cs="Times New Roman"/>
          <w:snapToGrid w:val="0"/>
          <w:kern w:val="28"/>
          <w:sz w:val="20"/>
          <w:vertAlign w:val="superscript"/>
        </w:rPr>
        <w:footnoteReference w:id="118"/>
      </w:r>
      <w:r>
        <w:rPr>
          <w:rFonts w:ascii="Times New Roman" w:eastAsia="Times New Roman" w:hAnsi="Times New Roman" w:cs="Times New Roman"/>
          <w:snapToGrid w:val="0"/>
          <w:kern w:val="28"/>
        </w:rPr>
        <w:t xml:space="preserve">  Twenty winning bidders, claiming small business status (those with attributable average annual gross revenues that exceed $15 million and do not exceed $40 million for the preceding three years) won 49 licenses.  Thirty three winning bidders claiming very small business status (those with attributable average annual gross revenues that do not exceed $15 million for the preceding three years) won 325 licenses.</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rPr>
      </w:pPr>
      <w:r>
        <w:rPr>
          <w:rFonts w:ascii="Times New Roman" w:eastAsia="Times New Roman" w:hAnsi="Times New Roman" w:cs="Times New Roman"/>
          <w:i/>
          <w:snapToGrid w:val="0"/>
          <w:kern w:val="28"/>
        </w:rPr>
        <w:t>Upper 700 MHz Band Licenses</w:t>
      </w:r>
      <w:r>
        <w:rPr>
          <w:rFonts w:ascii="Times New Roman" w:eastAsia="Times New Roman" w:hAnsi="Times New Roman" w:cs="Times New Roman"/>
          <w:snapToGrid w:val="0"/>
          <w:kern w:val="28"/>
        </w:rPr>
        <w:t xml:space="preserve">.  In the </w:t>
      </w:r>
      <w:r>
        <w:rPr>
          <w:rFonts w:ascii="Times New Roman" w:eastAsia="Times New Roman" w:hAnsi="Times New Roman" w:cs="Times New Roman"/>
          <w:i/>
          <w:snapToGrid w:val="0"/>
          <w:kern w:val="28"/>
        </w:rPr>
        <w:t>700 MHz Second Report and Order</w:t>
      </w:r>
      <w:r>
        <w:rPr>
          <w:rFonts w:ascii="Times New Roman" w:eastAsia="Times New Roman" w:hAnsi="Times New Roman" w:cs="Times New Roman"/>
          <w:snapToGrid w:val="0"/>
          <w:kern w:val="28"/>
        </w:rPr>
        <w:t>, the Commission revised its rules regarding Upper 700 MHz licenses.</w:t>
      </w:r>
      <w:r>
        <w:rPr>
          <w:rFonts w:ascii="Times New Roman" w:eastAsia="Times New Roman" w:hAnsi="Times New Roman" w:cs="Times New Roman"/>
          <w:snapToGrid w:val="0"/>
          <w:kern w:val="28"/>
          <w:sz w:val="20"/>
          <w:vertAlign w:val="superscript"/>
        </w:rPr>
        <w:footnoteReference w:id="119"/>
      </w:r>
      <w:r>
        <w:rPr>
          <w:rFonts w:ascii="Times New Roman" w:eastAsia="Times New Roman" w:hAnsi="Times New Roman" w:cs="Times New Roman"/>
          <w:snapToGrid w:val="0"/>
          <w:kern w:val="28"/>
        </w:rPr>
        <w:t xml:space="preserve">  On January 24, 2008, the Commission commenced Auction 73 in which several licenses in the Upper 700 MHz band were </w:t>
      </w:r>
      <w:r>
        <w:rPr>
          <w:rFonts w:ascii="Times New Roman" w:eastAsia="Times New Roman" w:hAnsi="Times New Roman" w:cs="Times New Roman"/>
          <w:snapToGrid w:val="0"/>
          <w:kern w:val="28"/>
        </w:rPr>
        <w:t>available for licensing:  12 Regional Economic Area Grouping licenses in the C Block, and one nationwide license in the D Block.</w:t>
      </w:r>
      <w:r>
        <w:rPr>
          <w:rFonts w:ascii="Times New Roman" w:eastAsia="Times New Roman" w:hAnsi="Times New Roman" w:cs="Times New Roman"/>
          <w:snapToGrid w:val="0"/>
          <w:kern w:val="28"/>
          <w:sz w:val="20"/>
          <w:vertAlign w:val="superscript"/>
        </w:rPr>
        <w:footnoteReference w:id="120"/>
      </w:r>
      <w:r>
        <w:rPr>
          <w:rFonts w:ascii="Times New Roman" w:eastAsia="Times New Roman" w:hAnsi="Times New Roman" w:cs="Times New Roman"/>
          <w:snapToGrid w:val="0"/>
          <w:kern w:val="28"/>
        </w:rPr>
        <w:t xml:space="preserve">  The auction concluded on March 18, 2008, with 3 winning bidders claiming very small business status (those with attributable average annual gross revenues that do not exceed $15 million for the preceding three years) and winning five licenses.</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rPr>
      </w:pPr>
      <w:r>
        <w:rPr>
          <w:rFonts w:ascii="Times New Roman" w:eastAsia="Times New Roman" w:hAnsi="Times New Roman" w:cs="Times New Roman"/>
          <w:i/>
          <w:snapToGrid w:val="0"/>
          <w:kern w:val="28"/>
        </w:rPr>
        <w:t>700 MHz Guard Band Licensees</w:t>
      </w:r>
      <w:r>
        <w:rPr>
          <w:rFonts w:ascii="Times New Roman" w:eastAsia="Times New Roman" w:hAnsi="Times New Roman" w:cs="Times New Roman"/>
          <w:snapToGrid w:val="0"/>
          <w:kern w:val="28"/>
        </w:rPr>
        <w:t>.  In 2000, in the 700 MHz Guard Band Order, the Commission adopted size standards for “small businesses” and “very small businesses” for purposes of determining their eligibility for special provisions such as bidding credits and installment payments.</w:t>
      </w:r>
      <w:r>
        <w:rPr>
          <w:rFonts w:ascii="Times New Roman" w:eastAsia="Times New Roman" w:hAnsi="Times New Roman" w:cs="Times New Roman"/>
          <w:snapToGrid w:val="0"/>
          <w:kern w:val="28"/>
          <w:sz w:val="20"/>
          <w:vertAlign w:val="superscript"/>
        </w:rPr>
        <w:footnoteReference w:id="121"/>
      </w:r>
      <w:r>
        <w:rPr>
          <w:rFonts w:ascii="Times New Roman" w:eastAsia="Times New Roman" w:hAnsi="Times New Roman" w:cs="Times New Roman"/>
          <w:snapToGrid w:val="0"/>
          <w:kern w:val="28"/>
        </w:rPr>
        <w:t xml:space="preserve">  A small business in this service is an entity that, together with its affiliates and controlling principals, has average gross revenues not exceeding $40 million for the preceding three years.</w:t>
      </w:r>
      <w:r>
        <w:rPr>
          <w:rFonts w:ascii="Times New Roman" w:eastAsia="Times New Roman" w:hAnsi="Times New Roman" w:cs="Times New Roman"/>
          <w:snapToGrid w:val="0"/>
          <w:kern w:val="28"/>
          <w:sz w:val="20"/>
          <w:vertAlign w:val="superscript"/>
        </w:rPr>
        <w:footnoteReference w:id="122"/>
      </w:r>
      <w:r>
        <w:rPr>
          <w:rFonts w:ascii="Times New Roman" w:eastAsia="Times New Roman" w:hAnsi="Times New Roman" w:cs="Times New Roman"/>
          <w:snapToGrid w:val="0"/>
          <w:kern w:val="28"/>
        </w:rPr>
        <w:t xml:space="preserve">  Additionally, a very small business is an entity that, together with its affiliates and controlling principals, has average gross revenues that are not more than $15 million for the preceding three years.</w:t>
      </w:r>
      <w:r>
        <w:rPr>
          <w:rFonts w:ascii="Times New Roman" w:eastAsia="Times New Roman" w:hAnsi="Times New Roman" w:cs="Times New Roman"/>
          <w:snapToGrid w:val="0"/>
          <w:kern w:val="28"/>
          <w:sz w:val="20"/>
          <w:vertAlign w:val="superscript"/>
        </w:rPr>
        <w:footnoteReference w:id="123"/>
      </w:r>
      <w:r>
        <w:rPr>
          <w:rFonts w:ascii="Times New Roman" w:eastAsia="Times New Roman" w:hAnsi="Times New Roman" w:cs="Times New Roman"/>
          <w:snapToGrid w:val="0"/>
          <w:kern w:val="28"/>
        </w:rPr>
        <w:t xml:space="preserve">  SBA approval of these definitions is not required.</w:t>
      </w:r>
      <w:r>
        <w:rPr>
          <w:rFonts w:ascii="Times New Roman" w:eastAsia="Times New Roman" w:hAnsi="Times New Roman" w:cs="Times New Roman"/>
          <w:snapToGrid w:val="0"/>
          <w:kern w:val="28"/>
          <w:sz w:val="20"/>
          <w:vertAlign w:val="superscript"/>
        </w:rPr>
        <w:footnoteReference w:id="124"/>
      </w:r>
      <w:r>
        <w:rPr>
          <w:rFonts w:ascii="Times New Roman" w:eastAsia="Times New Roman" w:hAnsi="Times New Roman" w:cs="Times New Roman"/>
          <w:snapToGrid w:val="0"/>
          <w:kern w:val="28"/>
        </w:rPr>
        <w:t xml:space="preserve">  An auction of 52 Major Economic Area licenses commenced on September 6, 2000, and closed on September 21, 2000.</w:t>
      </w:r>
      <w:r>
        <w:rPr>
          <w:rFonts w:ascii="Times New Roman" w:eastAsia="Times New Roman" w:hAnsi="Times New Roman" w:cs="Times New Roman"/>
          <w:snapToGrid w:val="0"/>
          <w:kern w:val="28"/>
          <w:sz w:val="20"/>
          <w:vertAlign w:val="superscript"/>
        </w:rPr>
        <w:footnoteReference w:id="125"/>
      </w:r>
      <w:r>
        <w:rPr>
          <w:rFonts w:ascii="Times New Roman" w:eastAsia="Times New Roman" w:hAnsi="Times New Roman" w:cs="Times New Roman"/>
          <w:snapToGrid w:val="0"/>
          <w:kern w:val="28"/>
        </w:rPr>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Pr>
          <w:rFonts w:ascii="Times New Roman" w:eastAsia="Times New Roman" w:hAnsi="Times New Roman" w:cs="Times New Roman"/>
          <w:snapToGrid w:val="0"/>
          <w:kern w:val="28"/>
          <w:sz w:val="20"/>
          <w:vertAlign w:val="superscript"/>
        </w:rPr>
        <w:footnoteReference w:id="126"/>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rPr>
      </w:pPr>
      <w:r>
        <w:rPr>
          <w:rFonts w:ascii="Times New Roman" w:eastAsia="Times New Roman" w:hAnsi="Times New Roman" w:cs="Times New Roman"/>
          <w:i/>
          <w:snapToGrid w:val="0"/>
          <w:kern w:val="28"/>
        </w:rPr>
        <w:t>Air-Ground Radiotelephone Service</w:t>
      </w:r>
      <w:r>
        <w:rPr>
          <w:rFonts w:ascii="Times New Roman" w:eastAsia="Times New Roman" w:hAnsi="Times New Roman" w:cs="Times New Roman"/>
          <w:snapToGrid w:val="0"/>
          <w:kern w:val="28"/>
        </w:rPr>
        <w:t xml:space="preserve">.  The Commission has previously used the SBA’s small business size standard applicable to Wireless Telecommunications Carriers (except Satellite), </w:t>
      </w:r>
      <w:r>
        <w:rPr>
          <w:rFonts w:ascii="Times New Roman" w:eastAsia="Times New Roman" w:hAnsi="Times New Roman" w:cs="Times New Roman"/>
          <w:i/>
          <w:iCs/>
          <w:snapToGrid w:val="0"/>
          <w:kern w:val="28"/>
        </w:rPr>
        <w:t>i.e</w:t>
      </w:r>
      <w:r>
        <w:rPr>
          <w:rFonts w:ascii="Times New Roman" w:eastAsia="Times New Roman" w:hAnsi="Times New Roman" w:cs="Times New Roman"/>
          <w:snapToGrid w:val="0"/>
          <w:kern w:val="28"/>
        </w:rPr>
        <w:t>., an entity employing no more than 1,500 persons.</w:t>
      </w:r>
      <w:r>
        <w:rPr>
          <w:rFonts w:ascii="Times New Roman" w:eastAsia="Times New Roman" w:hAnsi="Times New Roman" w:cs="Times New Roman"/>
          <w:snapToGrid w:val="0"/>
          <w:kern w:val="28"/>
          <w:sz w:val="20"/>
          <w:vertAlign w:val="superscript"/>
        </w:rPr>
        <w:footnoteReference w:id="127"/>
      </w:r>
      <w:r>
        <w:rPr>
          <w:rFonts w:ascii="Times New Roman" w:eastAsia="Times New Roman" w:hAnsi="Times New Roman" w:cs="Times New Roman"/>
          <w:snapToGrid w:val="0"/>
          <w:kern w:val="28"/>
        </w:rPr>
        <w:t xml:space="preserve">  There are approximately 100 licensees in the Air-Ground Radiotelephone Service, and under that definition, we estimate that almost all of them qualify as small entities under the SBA definition.  For purposes of assigning Air-Ground Radiotelephone Service licenses through competitive bidding, the Commission has defined “small business” as an entity that, together with controlling interests and affiliates, has average annual gross revenues for the preceding three years not exceeding $40 million.</w:t>
      </w:r>
      <w:r>
        <w:rPr>
          <w:rFonts w:ascii="Times New Roman" w:eastAsia="Times New Roman" w:hAnsi="Times New Roman" w:cs="Times New Roman"/>
          <w:snapToGrid w:val="0"/>
          <w:kern w:val="28"/>
          <w:sz w:val="20"/>
          <w:vertAlign w:val="superscript"/>
        </w:rPr>
        <w:footnoteReference w:id="128"/>
      </w:r>
      <w:r>
        <w:rPr>
          <w:rFonts w:ascii="Times New Roman" w:eastAsia="Times New Roman" w:hAnsi="Times New Roman" w:cs="Times New Roman"/>
          <w:snapToGrid w:val="0"/>
          <w:kern w:val="28"/>
        </w:rPr>
        <w:t xml:space="preserve">  A “very small business” is defined as an entity that, together with controlling interests and affiliates, has average annual gross revenues for the preceding three years </w:t>
      </w:r>
      <w:r>
        <w:rPr>
          <w:rFonts w:ascii="Times New Roman" w:eastAsia="Times New Roman" w:hAnsi="Times New Roman" w:cs="Times New Roman"/>
          <w:snapToGrid w:val="0"/>
          <w:kern w:val="28"/>
        </w:rPr>
        <w:t>not exceeding $15 million.</w:t>
      </w:r>
      <w:r>
        <w:rPr>
          <w:rFonts w:ascii="Times New Roman" w:eastAsia="Times New Roman" w:hAnsi="Times New Roman" w:cs="Times New Roman"/>
          <w:snapToGrid w:val="0"/>
          <w:kern w:val="28"/>
          <w:sz w:val="20"/>
          <w:vertAlign w:val="superscript"/>
        </w:rPr>
        <w:footnoteReference w:id="129"/>
      </w:r>
      <w:r>
        <w:rPr>
          <w:rFonts w:ascii="Times New Roman" w:eastAsia="Times New Roman" w:hAnsi="Times New Roman" w:cs="Times New Roman"/>
          <w:snapToGrid w:val="0"/>
          <w:kern w:val="28"/>
        </w:rPr>
        <w:t xml:space="preserve">  These definitions were approved by the SBA.</w:t>
      </w:r>
      <w:r>
        <w:rPr>
          <w:rFonts w:ascii="Times New Roman" w:eastAsia="Times New Roman" w:hAnsi="Times New Roman" w:cs="Times New Roman"/>
          <w:snapToGrid w:val="0"/>
          <w:kern w:val="28"/>
          <w:sz w:val="20"/>
          <w:vertAlign w:val="superscript"/>
        </w:rPr>
        <w:footnoteReference w:id="130"/>
      </w:r>
      <w:r>
        <w:rPr>
          <w:rFonts w:ascii="Times New Roman" w:eastAsia="Times New Roman" w:hAnsi="Times New Roman" w:cs="Times New Roman"/>
          <w:snapToGrid w:val="0"/>
          <w:kern w:val="28"/>
        </w:rPr>
        <w:t xml:space="preserve">  In May 2006, the Commission completed an auction of nationwide commercial Air-Ground Radiotelephone Service licenses in the 800 MHz band (Auction No. 65).  On June 2, 2006, the auction closed with two winning bidders winning two Air-Ground Radiotelephone Services licenses.  Neither of the winning bidders claimed small business status.</w:t>
      </w:r>
    </w:p>
    <w:p w:rsidR="00564804" w:rsidRPr="004B0309">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rPr>
      </w:pPr>
      <w:r>
        <w:rPr>
          <w:rFonts w:ascii="Times New Roman" w:eastAsia="Times New Roman" w:hAnsi="Times New Roman" w:cs="Times New Roman"/>
          <w:i/>
          <w:snapToGrid w:val="0"/>
          <w:kern w:val="28"/>
        </w:rPr>
        <w:t>AWS Services (1710–1755 MHz and 2110–2155 MHz bands (AWS-1); 1915–1920 MHz, 1995–2000 MHz, 2020–2025 MHz and 2175–2180 MHz bands (AWS-2); 2155–2175 MHz band (AWS-3))</w:t>
      </w:r>
      <w:r>
        <w:rPr>
          <w:rFonts w:ascii="Times New Roman" w:eastAsia="Times New Roman" w:hAnsi="Times New Roman" w:cs="Times New Roman"/>
          <w:snapToGrid w:val="0"/>
          <w:kern w:val="28"/>
        </w:rPr>
        <w:t>.  For the AWS-1 bands,</w:t>
      </w:r>
      <w:r>
        <w:rPr>
          <w:rFonts w:ascii="Times New Roman" w:eastAsia="Times New Roman" w:hAnsi="Times New Roman" w:cs="Times New Roman"/>
          <w:snapToGrid w:val="0"/>
          <w:kern w:val="28"/>
          <w:sz w:val="20"/>
          <w:vertAlign w:val="superscript"/>
        </w:rPr>
        <w:footnoteReference w:id="131"/>
      </w:r>
      <w:r>
        <w:rPr>
          <w:rFonts w:ascii="Times New Roman" w:eastAsia="Times New Roman" w:hAnsi="Times New Roman" w:cs="Times New Roman"/>
          <w:snapToGrid w:val="0"/>
          <w:kern w:val="28"/>
        </w:rPr>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w:t>
      </w:r>
      <w:r w:rsidRPr="004B0309">
        <w:rPr>
          <w:rFonts w:ascii="Times New Roman" w:eastAsia="Times New Roman" w:hAnsi="Times New Roman" w:cs="Times New Roman"/>
          <w:snapToGrid w:val="0"/>
          <w:kern w:val="28"/>
        </w:rPr>
        <w:t>developing markets, technologies, and services.</w:t>
      </w:r>
      <w:r>
        <w:rPr>
          <w:rFonts w:ascii="Times New Roman" w:eastAsia="Times New Roman" w:hAnsi="Times New Roman" w:cs="Times New Roman"/>
          <w:snapToGrid w:val="0"/>
          <w:kern w:val="28"/>
          <w:sz w:val="20"/>
          <w:vertAlign w:val="superscript"/>
        </w:rPr>
        <w:footnoteReference w:id="132"/>
      </w:r>
    </w:p>
    <w:p w:rsidR="00564804">
      <w:pPr>
        <w:pStyle w:val="ParaNum"/>
        <w:rPr>
          <w:snapToGrid w:val="0"/>
        </w:rPr>
      </w:pPr>
      <w:r w:rsidRPr="004B0309">
        <w:rPr>
          <w:rFonts w:ascii="Times New Roman" w:hAnsi="Times New Roman" w:cs="Times New Roman"/>
          <w:bCs/>
          <w:i/>
          <w:iCs/>
          <w:color w:val="000000"/>
        </w:rPr>
        <w:t>Fixed Microwave Services</w:t>
      </w:r>
      <w:r w:rsidRPr="004B0309">
        <w:rPr>
          <w:rFonts w:ascii="Times New Roman" w:hAnsi="Times New Roman" w:cs="Times New Roman"/>
          <w:i/>
          <w:snapToGrid w:val="0"/>
        </w:rPr>
        <w:t>.</w:t>
      </w:r>
      <w:r w:rsidRPr="004B0309">
        <w:rPr>
          <w:rFonts w:ascii="Times New Roman" w:hAnsi="Times New Roman" w:cs="Times New Roman"/>
          <w:snapToGrid w:val="0"/>
        </w:rPr>
        <w:t xml:space="preserve">  Microwave services include common carrier,</w:t>
      </w:r>
      <w:r>
        <w:rPr>
          <w:rFonts w:ascii="Times New Roman" w:hAnsi="Times New Roman" w:cs="Times New Roman"/>
          <w:snapToGrid w:val="0"/>
          <w:vertAlign w:val="superscript"/>
        </w:rPr>
        <w:footnoteReference w:id="133"/>
      </w:r>
      <w:r w:rsidRPr="004B0309">
        <w:rPr>
          <w:rFonts w:ascii="Times New Roman" w:hAnsi="Times New Roman" w:cs="Times New Roman"/>
          <w:snapToGrid w:val="0"/>
        </w:rPr>
        <w:t xml:space="preserve"> private-operational fixed,</w:t>
      </w:r>
      <w:r>
        <w:rPr>
          <w:rFonts w:ascii="Times New Roman" w:hAnsi="Times New Roman" w:cs="Times New Roman"/>
          <w:snapToGrid w:val="0"/>
          <w:vertAlign w:val="superscript"/>
        </w:rPr>
        <w:footnoteReference w:id="134"/>
      </w:r>
      <w:r w:rsidRPr="004B0309">
        <w:rPr>
          <w:rFonts w:ascii="Times New Roman" w:hAnsi="Times New Roman" w:cs="Times New Roman"/>
          <w:snapToGrid w:val="0"/>
        </w:rPr>
        <w:t xml:space="preserve"> and broadcast auxiliary radio services.</w:t>
      </w:r>
      <w:r>
        <w:rPr>
          <w:rFonts w:ascii="Times New Roman" w:hAnsi="Times New Roman" w:cs="Times New Roman"/>
          <w:snapToGrid w:val="0"/>
          <w:vertAlign w:val="superscript"/>
        </w:rPr>
        <w:footnoteReference w:id="135"/>
      </w:r>
      <w:r w:rsidRPr="004B0309">
        <w:rPr>
          <w:rFonts w:ascii="Times New Roman" w:hAnsi="Times New Roman" w:cs="Times New Roman"/>
          <w:snapToGrid w:val="0"/>
        </w:rPr>
        <w:t xml:space="preserve">  They also include the Upper Microwave Flexible Use Service,</w:t>
      </w:r>
      <w:r>
        <w:rPr>
          <w:rFonts w:ascii="Times New Roman" w:hAnsi="Times New Roman" w:cs="Times New Roman"/>
          <w:snapToGrid w:val="0"/>
          <w:vertAlign w:val="superscript"/>
        </w:rPr>
        <w:footnoteReference w:id="136"/>
      </w:r>
      <w:r w:rsidRPr="004B0309">
        <w:rPr>
          <w:rFonts w:ascii="Times New Roman" w:hAnsi="Times New Roman" w:cs="Times New Roman"/>
          <w:snapToGrid w:val="0"/>
        </w:rPr>
        <w:t>,Millimeter Wave Service,</w:t>
      </w:r>
      <w:r>
        <w:rPr>
          <w:rFonts w:ascii="Times New Roman" w:hAnsi="Times New Roman" w:cs="Times New Roman"/>
          <w:snapToGrid w:val="0"/>
          <w:vertAlign w:val="superscript"/>
        </w:rPr>
        <w:footnoteReference w:id="137"/>
      </w:r>
      <w:r w:rsidRPr="004B0309">
        <w:rPr>
          <w:rFonts w:ascii="Times New Roman" w:hAnsi="Times New Roman" w:cs="Times New Roman"/>
          <w:snapToGrid w:val="0"/>
        </w:rPr>
        <w:t xml:space="preserve">  </w:t>
      </w:r>
      <w:bookmarkStart w:id="54" w:name="_Hlk510607394"/>
      <w:r w:rsidRPr="004B0309">
        <w:rPr>
          <w:rFonts w:ascii="Times New Roman" w:hAnsi="Times New Roman" w:cs="Times New Roman"/>
          <w:snapToGrid w:val="0"/>
        </w:rPr>
        <w:t>Local Multipoint Distribution Service (LMDS),</w:t>
      </w:r>
      <w:r>
        <w:rPr>
          <w:rFonts w:ascii="Times New Roman" w:hAnsi="Times New Roman" w:cs="Times New Roman"/>
          <w:snapToGrid w:val="0"/>
          <w:vertAlign w:val="superscript"/>
        </w:rPr>
        <w:footnoteReference w:id="138"/>
      </w:r>
      <w:r w:rsidRPr="004B0309">
        <w:rPr>
          <w:rFonts w:ascii="Times New Roman" w:hAnsi="Times New Roman" w:cs="Times New Roman"/>
          <w:snapToGrid w:val="0"/>
        </w:rPr>
        <w:t xml:space="preserve"> </w:t>
      </w:r>
      <w:r w:rsidRPr="004B0309">
        <w:rPr>
          <w:rFonts w:ascii="Times New Roman" w:hAnsi="Times New Roman" w:cs="Times New Roman"/>
          <w:snapToGrid w:val="0"/>
        </w:rPr>
        <w:t>the Digital Electronic Message Service</w:t>
      </w:r>
      <w:r>
        <w:rPr>
          <w:rFonts w:ascii="Times New Roman" w:hAnsi="Times New Roman" w:cs="Times New Roman"/>
          <w:snapToGrid w:val="0"/>
        </w:rPr>
        <w:t xml:space="preserve"> (DEMS),</w:t>
      </w:r>
      <w:r>
        <w:rPr>
          <w:rFonts w:ascii="Times New Roman" w:hAnsi="Times New Roman" w:cs="Times New Roman"/>
          <w:snapToGrid w:val="0"/>
          <w:vertAlign w:val="superscript"/>
        </w:rPr>
        <w:footnoteReference w:id="139"/>
      </w:r>
      <w:r>
        <w:rPr>
          <w:rFonts w:ascii="Times New Roman" w:hAnsi="Times New Roman" w:cs="Times New Roman"/>
          <w:snapToGrid w:val="0"/>
        </w:rPr>
        <w:t xml:space="preserve"> and the 24 GHz Service,</w:t>
      </w:r>
      <w:r>
        <w:rPr>
          <w:rFonts w:ascii="Times New Roman" w:hAnsi="Times New Roman" w:cs="Times New Roman"/>
          <w:snapToGrid w:val="0"/>
          <w:vertAlign w:val="superscript"/>
        </w:rPr>
        <w:footnoteReference w:id="140"/>
      </w:r>
      <w:r>
        <w:rPr>
          <w:rFonts w:ascii="Times New Roman" w:hAnsi="Times New Roman" w:cs="Times New Roman"/>
          <w:snapToGrid w:val="0"/>
        </w:rPr>
        <w:t xml:space="preserve"> </w:t>
      </w:r>
      <w:bookmarkEnd w:id="54"/>
      <w:r>
        <w:rPr>
          <w:rFonts w:ascii="Times New Roman" w:hAnsi="Times New Roman" w:cs="Times New Roman"/>
          <w:snapToGrid w:val="0"/>
        </w:rPr>
        <w:t>where licensees can choose between common carrier and non-common carrier status.</w:t>
      </w:r>
      <w:r>
        <w:rPr>
          <w:rFonts w:ascii="Times New Roman" w:hAnsi="Times New Roman" w:cs="Times New Roman"/>
          <w:snapToGrid w:val="0"/>
          <w:vertAlign w:val="superscript"/>
        </w:rPr>
        <w:footnoteReference w:id="141"/>
      </w:r>
      <w:r>
        <w:rPr>
          <w:rFonts w:ascii="Times New Roman" w:hAnsi="Times New Roman" w:cs="Times New Roman"/>
          <w:snapToGrid w:val="0"/>
        </w:rPr>
        <w:t xml:space="preserve">  At present, there are approximately 66,680</w:t>
      </w:r>
      <w:r>
        <w:rPr>
          <w:rFonts w:ascii="Times New Roman" w:hAnsi="Times New Roman" w:cs="Times New Roman"/>
          <w:b/>
          <w:snapToGrid w:val="0"/>
        </w:rPr>
        <w:t xml:space="preserve"> </w:t>
      </w:r>
      <w:r>
        <w:rPr>
          <w:rFonts w:ascii="Times New Roman" w:hAnsi="Times New Roman" w:cs="Times New Roman"/>
          <w:snapToGrid w:val="0"/>
        </w:rPr>
        <w:t>common carrier fixed licensees, 69,360 private and public safety operational-fixed licensees, 20,150 broadcast auxiliary radio licensees, 411 LMDS licenses, 33 24 GHz DEMS licenses, 777 39 GHz licenses, and five 24 GHz licenses, and 467 Millimeter Wave licenses in the microwave services.</w:t>
      </w:r>
      <w:r>
        <w:rPr>
          <w:rFonts w:ascii="Times New Roman" w:hAnsi="Times New Roman" w:cs="Times New Roman"/>
          <w:snapToGrid w:val="0"/>
          <w:vertAlign w:val="superscript"/>
        </w:rPr>
        <w:footnoteReference w:id="142"/>
      </w:r>
      <w:r>
        <w:rPr>
          <w:rFonts w:ascii="Times New Roman" w:hAnsi="Times New Roman" w:cs="Times New Roman"/>
          <w:snapToGrid w:val="0"/>
        </w:rPr>
        <w:t xml:space="preserve"> The Commission has not yet defined a small business with respect to microwave services.  The closest applicable SBA category is Wireless Telecommunications Carriers (except Satellite) and the appropriate size standard for this category under SBA rules is that such a business is small if it has 1,500 or fewer employees.</w:t>
      </w:r>
      <w:r>
        <w:rPr>
          <w:rFonts w:ascii="Times New Roman" w:hAnsi="Times New Roman" w:cs="Times New Roman"/>
          <w:snapToGrid w:val="0"/>
          <w:vertAlign w:val="superscript"/>
        </w:rPr>
        <w:footnoteReference w:id="143"/>
      </w:r>
      <w:r>
        <w:rPr>
          <w:rFonts w:ascii="Times New Roman" w:hAnsi="Times New Roman" w:cs="Times New Roman"/>
          <w:snapToGrid w:val="0"/>
        </w:rPr>
        <w:t xml:space="preserve">  For this industry, U.S. Census data for 2012 shows that there were 967 firms that operated for the entire year.</w:t>
      </w:r>
      <w:r>
        <w:rPr>
          <w:rFonts w:ascii="Times New Roman" w:hAnsi="Times New Roman" w:cs="Times New Roman"/>
          <w:snapToGrid w:val="0"/>
          <w:vertAlign w:val="superscript"/>
        </w:rPr>
        <w:footnoteReference w:id="144"/>
      </w:r>
      <w:r>
        <w:rPr>
          <w:rFonts w:ascii="Times New Roman" w:hAnsi="Times New Roman" w:cs="Times New Roman"/>
          <w:snapToGrid w:val="0"/>
        </w:rPr>
        <w:t xml:space="preserve">  Of this total, 955 firms had employment of 999 or fewer employees and 12 had employment of 1000 employees or more.</w:t>
      </w:r>
      <w:r>
        <w:rPr>
          <w:rFonts w:ascii="Times New Roman" w:hAnsi="Times New Roman" w:cs="Times New Roman"/>
          <w:snapToGrid w:val="0"/>
          <w:vertAlign w:val="superscript"/>
        </w:rPr>
        <w:footnoteReference w:id="145"/>
      </w:r>
      <w:r>
        <w:rPr>
          <w:rFonts w:ascii="Times New Roman" w:hAnsi="Times New Roman" w:cs="Times New Roman"/>
          <w:snapToGrid w:val="0"/>
        </w:rPr>
        <w:t xml:space="preserve"> Thus under this SBA category and the associated size standard, the Commission estimates that a majority of fixed microwave service licensees can be considered small.</w:t>
      </w:r>
      <w:r>
        <w:rPr>
          <w:snapToGrid w:val="0"/>
        </w:rPr>
        <w:t xml:space="preserve">  </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szCs w:val="20"/>
        </w:rPr>
      </w:pPr>
      <w:r>
        <w:rPr>
          <w:rFonts w:ascii="Times New Roman" w:eastAsia="Times New Roman" w:hAnsi="Times New Roman" w:cs="Times New Roman"/>
          <w:i/>
          <w:snapToGrid w:val="0"/>
          <w:kern w:val="28"/>
          <w:szCs w:val="20"/>
        </w:rPr>
        <w:t>Broadband Radio Service and Educational Broadband Service.</w:t>
      </w:r>
      <w:r>
        <w:rPr>
          <w:rFonts w:ascii="Times New Roman" w:eastAsia="Times New Roman" w:hAnsi="Times New Roman" w:cs="Times New Roman"/>
          <w:snapToGrid w:val="0"/>
          <w:kern w:val="28"/>
          <w:szCs w:val="20"/>
        </w:rPr>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rFonts w:ascii="Times New Roman" w:eastAsia="Times New Roman" w:hAnsi="Times New Roman" w:cs="Times New Roman"/>
          <w:snapToGrid w:val="0"/>
          <w:kern w:val="28"/>
          <w:sz w:val="20"/>
          <w:vertAlign w:val="superscript"/>
        </w:rPr>
        <w:footnoteReference w:id="146"/>
      </w:r>
      <w:r>
        <w:rPr>
          <w:rFonts w:ascii="Times New Roman" w:eastAsia="Times New Roman" w:hAnsi="Times New Roman" w:cs="Times New Roman"/>
          <w:snapToGrid w:val="0"/>
          <w:kern w:val="28"/>
          <w:szCs w:val="20"/>
        </w:rPr>
        <w:t xml:space="preserve">  In connection with the 1996 BRS auction, the Commission established a small business size standard as an entity that had annual average gross revenues of no more than $40 million in the previous three calendar years.</w:t>
      </w:r>
      <w:r>
        <w:rPr>
          <w:rFonts w:ascii="Times New Roman" w:eastAsia="Times New Roman" w:hAnsi="Times New Roman" w:cs="Times New Roman"/>
          <w:snapToGrid w:val="0"/>
          <w:kern w:val="28"/>
          <w:sz w:val="20"/>
          <w:vertAlign w:val="superscript"/>
        </w:rPr>
        <w:footnoteReference w:id="147"/>
      </w:r>
      <w:r>
        <w:rPr>
          <w:rFonts w:ascii="Times New Roman" w:eastAsia="Times New Roman" w:hAnsi="Times New Roman" w:cs="Times New Roman"/>
          <w:snapToGrid w:val="0"/>
          <w:kern w:val="28"/>
          <w:szCs w:val="20"/>
        </w:rP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w:t>
      </w:r>
      <w:r>
        <w:rPr>
          <w:rFonts w:ascii="Times New Roman" w:eastAsia="Times New Roman" w:hAnsi="Times New Roman" w:cs="Times New Roman"/>
          <w:snapToGrid w:val="0"/>
          <w:kern w:val="28"/>
          <w:szCs w:val="20"/>
        </w:rPr>
        <w:t>authorizations, there are approximately 392 incumbent BRS licensees that are considered small entities.</w:t>
      </w:r>
      <w:r>
        <w:rPr>
          <w:rFonts w:ascii="Times New Roman" w:eastAsia="Times New Roman" w:hAnsi="Times New Roman" w:cs="Times New Roman"/>
          <w:snapToGrid w:val="0"/>
          <w:kern w:val="28"/>
          <w:sz w:val="20"/>
          <w:vertAlign w:val="superscript"/>
        </w:rPr>
        <w:footnoteReference w:id="148"/>
      </w:r>
      <w:r>
        <w:rPr>
          <w:rFonts w:ascii="Times New Roman" w:eastAsia="Times New Roman" w:hAnsi="Times New Roman" w:cs="Times New Roman"/>
          <w:snapToGrid w:val="0"/>
          <w:kern w:val="28"/>
          <w:szCs w:val="20"/>
        </w:rP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w:t>
      </w:r>
    </w:p>
    <w:p w:rsidR="00564804" w:rsidRPr="004B0309">
      <w:pPr>
        <w:widowControl w:val="0"/>
        <w:numPr>
          <w:ilvl w:val="0"/>
          <w:numId w:val="2"/>
        </w:numPr>
        <w:tabs>
          <w:tab w:val="clear" w:pos="1080"/>
          <w:tab w:val="num" w:pos="1440"/>
        </w:tabs>
        <w:spacing w:after="120" w:line="240" w:lineRule="auto"/>
        <w:rPr>
          <w:rFonts w:ascii="Times New Roman" w:eastAsia="Times New Roman" w:hAnsi="Times New Roman" w:cs="Times New Roman"/>
          <w:bCs/>
          <w:snapToGrid w:val="0"/>
          <w:kern w:val="28"/>
          <w:szCs w:val="20"/>
        </w:rPr>
      </w:pPr>
      <w:r>
        <w:rPr>
          <w:rFonts w:ascii="Times New Roman" w:eastAsia="Times New Roman" w:hAnsi="Times New Roman" w:cs="Times New Roman"/>
          <w:snapToGrid w:val="0"/>
          <w:kern w:val="28"/>
        </w:rPr>
        <w:t>In 2009, the Commission conducted Auction 86, the sale of 78 licenses in the BRS areas.</w:t>
      </w:r>
      <w:r>
        <w:rPr>
          <w:rFonts w:ascii="Times New Roman" w:eastAsia="Times New Roman" w:hAnsi="Times New Roman" w:cs="Times New Roman"/>
          <w:snapToGrid w:val="0"/>
          <w:kern w:val="28"/>
          <w:vertAlign w:val="superscript"/>
        </w:rPr>
        <w:footnoteReference w:id="149"/>
      </w:r>
      <w:r>
        <w:rPr>
          <w:rFonts w:ascii="Times New Roman" w:eastAsia="Times New Roman" w:hAnsi="Times New Roman" w:cs="Times New Roman"/>
          <w:snapToGrid w:val="0"/>
          <w:kern w:val="28"/>
        </w:rPr>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Pr>
          <w:rFonts w:ascii="Times New Roman" w:eastAsia="Times New Roman" w:hAnsi="Times New Roman" w:cs="Times New Roman"/>
          <w:snapToGrid w:val="0"/>
          <w:kern w:val="28"/>
          <w:vertAlign w:val="superscript"/>
        </w:rPr>
        <w:footnoteReference w:id="150"/>
      </w:r>
      <w:r>
        <w:rPr>
          <w:rFonts w:ascii="Times New Roman" w:eastAsia="Times New Roman" w:hAnsi="Times New Roman" w:cs="Times New Roman"/>
          <w:snapToGrid w:val="0"/>
          <w:kern w:val="28"/>
        </w:rPr>
        <w:t xml:space="preserve">  Auction 86 concluded in 2009 with the sale of 61 licenses.</w:t>
      </w:r>
      <w:r>
        <w:rPr>
          <w:rFonts w:ascii="Times New Roman" w:eastAsia="Times New Roman" w:hAnsi="Times New Roman" w:cs="Times New Roman"/>
          <w:snapToGrid w:val="0"/>
          <w:kern w:val="28"/>
          <w:vertAlign w:val="superscript"/>
        </w:rPr>
        <w:footnoteReference w:id="151"/>
      </w:r>
      <w:r>
        <w:rPr>
          <w:rFonts w:ascii="Times New Roman" w:eastAsia="Times New Roman" w:hAnsi="Times New Roman" w:cs="Times New Roman"/>
          <w:snapToGrid w:val="0"/>
          <w:kern w:val="28"/>
        </w:rPr>
        <w:t xml:space="preserve">  Of the ten winning bidders, two bidders that claimed small business status won 4 licenses; one bidder that claimed very small business status won three licenses; and two bidders that claimed entrepreneur status won six licenses.</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rPr>
      </w:pPr>
      <w:r>
        <w:rPr>
          <w:rFonts w:ascii="Times New Roman" w:eastAsia="Times New Roman" w:hAnsi="Times New Roman" w:cs="Times New Roman"/>
          <w:i/>
          <w:snapToGrid w:val="0"/>
          <w:kern w:val="28"/>
          <w:szCs w:val="20"/>
        </w:rPr>
        <w:t>Satellite</w:t>
      </w:r>
      <w:r>
        <w:rPr>
          <w:rFonts w:ascii="Times New Roman" w:eastAsia="Times New Roman" w:hAnsi="Times New Roman" w:cs="Times New Roman"/>
          <w:snapToGrid w:val="0"/>
          <w:kern w:val="28"/>
          <w:szCs w:val="20"/>
        </w:rPr>
        <w:t xml:space="preserve"> </w:t>
      </w:r>
      <w:r>
        <w:rPr>
          <w:rFonts w:ascii="Times New Roman" w:eastAsia="Times New Roman" w:hAnsi="Times New Roman" w:cs="Times New Roman"/>
          <w:i/>
          <w:snapToGrid w:val="0"/>
          <w:kern w:val="28"/>
        </w:rPr>
        <w:t xml:space="preserve">Telecommunications Providers.  </w:t>
      </w:r>
      <w:r>
        <w:rPr>
          <w:rFonts w:ascii="Times New Roman" w:eastAsia="Times New Roman" w:hAnsi="Times New Roman" w:cs="Times New Roman"/>
          <w:snapToGrid w:val="0"/>
          <w:kern w:val="28"/>
        </w:rPr>
        <w:t>Two economic census categories address the satellite industry.  Both categories have a small business size standard of $32.5 million or less in average annual receipts, under SBA rules.</w:t>
      </w:r>
      <w:r>
        <w:rPr>
          <w:rFonts w:ascii="Times New Roman" w:eastAsia="Times New Roman" w:hAnsi="Times New Roman" w:cs="Times New Roman"/>
          <w:snapToGrid w:val="0"/>
          <w:kern w:val="28"/>
          <w:sz w:val="20"/>
          <w:vertAlign w:val="superscript"/>
        </w:rPr>
        <w:footnoteReference w:id="152"/>
      </w:r>
      <w:r>
        <w:rPr>
          <w:rFonts w:ascii="Times New Roman" w:eastAsia="Times New Roman" w:hAnsi="Times New Roman" w:cs="Times New Roman"/>
          <w:snapToGrid w:val="0"/>
          <w:kern w:val="28"/>
        </w:rPr>
        <w:t xml:space="preserve">  </w:t>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rPr>
      </w:pPr>
      <w:bookmarkStart w:id="55" w:name="_DV_C618"/>
      <w:r>
        <w:rPr>
          <w:rFonts w:ascii="Times New Roman" w:eastAsia="Times New Roman" w:hAnsi="Times New Roman" w:cs="Times New Roman"/>
          <w:bCs/>
          <w:i/>
          <w:snapToGrid w:val="0"/>
          <w:kern w:val="28"/>
          <w:szCs w:val="20"/>
        </w:rPr>
        <w:t>Satellite Telecommunications.</w:t>
      </w:r>
      <w:r>
        <w:rPr>
          <w:rFonts w:ascii="Times New Roman" w:eastAsia="Times New Roman" w:hAnsi="Times New Roman" w:cs="Times New Roman"/>
          <w:snapToGrid w:val="0"/>
          <w:kern w:val="28"/>
          <w:sz w:val="19"/>
          <w:shd w:val="clear" w:color="auto" w:fill="FFFFFF"/>
        </w:rPr>
        <w:t xml:space="preserve">  </w:t>
      </w:r>
      <w:r>
        <w:rPr>
          <w:rFonts w:ascii="Times New Roman" w:eastAsia="Times New Roman" w:hAnsi="Times New Roman" w:cs="Times New Roman"/>
          <w:snapToGrid w:val="0"/>
          <w:kern w:val="28"/>
          <w:szCs w:val="20"/>
        </w:rPr>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Fonts w:ascii="Times New Roman" w:eastAsia="Times New Roman" w:hAnsi="Times New Roman" w:cs="Times New Roman"/>
          <w:snapToGrid w:val="0"/>
          <w:kern w:val="28"/>
          <w:sz w:val="20"/>
          <w:szCs w:val="20"/>
          <w:vertAlign w:val="superscript"/>
        </w:rPr>
        <w:footnoteReference w:id="153"/>
      </w:r>
      <w:r>
        <w:rPr>
          <w:rFonts w:ascii="Times New Roman" w:eastAsia="Times New Roman" w:hAnsi="Times New Roman" w:cs="Times New Roman"/>
          <w:snapToGrid w:val="0"/>
          <w:kern w:val="28"/>
          <w:szCs w:val="20"/>
        </w:rPr>
        <w:t xml:space="preserve">  The category has a small business size standard of $32.5 million or less in average annual receipts, under SBA rules.</w:t>
      </w:r>
      <w:r>
        <w:rPr>
          <w:rFonts w:ascii="Times New Roman" w:eastAsia="Times New Roman" w:hAnsi="Times New Roman" w:cs="Times New Roman"/>
          <w:snapToGrid w:val="0"/>
          <w:kern w:val="28"/>
          <w:sz w:val="20"/>
          <w:szCs w:val="20"/>
          <w:vertAlign w:val="superscript"/>
        </w:rPr>
        <w:footnoteReference w:id="154"/>
      </w:r>
      <w:r>
        <w:rPr>
          <w:rFonts w:ascii="Times New Roman" w:eastAsia="Times New Roman" w:hAnsi="Times New Roman" w:cs="Times New Roman"/>
          <w:snapToGrid w:val="0"/>
          <w:kern w:val="28"/>
          <w:szCs w:val="20"/>
        </w:rPr>
        <w:t xml:space="preserve">  For this category, Census Bureau data for 2012 show that there were a total of 333 firms that operated for the entire year.</w:t>
      </w:r>
      <w:bookmarkEnd w:id="55"/>
      <w:r>
        <w:rPr>
          <w:rFonts w:ascii="Times New Roman" w:eastAsia="Times New Roman" w:hAnsi="Times New Roman" w:cs="Times New Roman"/>
          <w:snapToGrid w:val="0"/>
          <w:kern w:val="28"/>
          <w:sz w:val="20"/>
          <w:szCs w:val="20"/>
          <w:vertAlign w:val="superscript"/>
        </w:rPr>
        <w:footnoteReference w:id="155"/>
      </w:r>
      <w:r>
        <w:rPr>
          <w:rFonts w:ascii="Times New Roman" w:eastAsia="Times New Roman" w:hAnsi="Times New Roman" w:cs="Times New Roman"/>
          <w:snapToGrid w:val="0"/>
          <w:kern w:val="28"/>
          <w:szCs w:val="20"/>
        </w:rPr>
        <w:t xml:space="preserve">  Of this total, 299 firms </w:t>
      </w:r>
      <w:r>
        <w:rPr>
          <w:rFonts w:ascii="Times New Roman" w:eastAsia="Times New Roman" w:hAnsi="Times New Roman" w:cs="Times New Roman"/>
          <w:snapToGrid w:val="0"/>
          <w:kern w:val="28"/>
          <w:szCs w:val="20"/>
        </w:rPr>
        <w:t>had annual receipts of less than $25 million.</w:t>
      </w:r>
      <w:r>
        <w:rPr>
          <w:rFonts w:ascii="Times New Roman" w:eastAsia="Times New Roman" w:hAnsi="Times New Roman" w:cs="Times New Roman"/>
          <w:snapToGrid w:val="0"/>
          <w:kern w:val="28"/>
          <w:sz w:val="20"/>
          <w:szCs w:val="20"/>
          <w:vertAlign w:val="superscript"/>
        </w:rPr>
        <w:footnoteReference w:id="156"/>
      </w:r>
      <w:r>
        <w:rPr>
          <w:rFonts w:ascii="Times New Roman" w:eastAsia="Times New Roman" w:hAnsi="Times New Roman" w:cs="Times New Roman"/>
          <w:snapToGrid w:val="0"/>
          <w:kern w:val="28"/>
          <w:szCs w:val="20"/>
        </w:rPr>
        <w:t xml:space="preserve">  Consequently, we estimate that the majority of satellite telecommunications providers are small entities.</w:t>
      </w:r>
      <w:bookmarkStart w:id="57" w:name="_DV_C621"/>
    </w:p>
    <w:bookmarkEnd w:id="57"/>
    <w:p w:rsidR="00564804" w:rsidRPr="004B0309">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rPr>
      </w:pPr>
      <w:r>
        <w:rPr>
          <w:rFonts w:ascii="Times New Roman" w:eastAsia="Times New Roman" w:hAnsi="Times New Roman" w:cs="Times New Roman"/>
          <w:i/>
          <w:snapToGrid w:val="0"/>
          <w:kern w:val="28"/>
          <w:szCs w:val="20"/>
        </w:rPr>
        <w:t>All Other Telecommunications.</w:t>
      </w:r>
      <w:r>
        <w:rPr>
          <w:rFonts w:ascii="Times New Roman" w:eastAsia="Times New Roman" w:hAnsi="Times New Roman" w:cs="Times New Roman"/>
          <w:snapToGrid w:val="0"/>
          <w:kern w:val="28"/>
          <w:szCs w:val="20"/>
        </w:rPr>
        <w:t xml:space="preserve">  “All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 supplied telecommunications connections are also included in this industry.”</w:t>
      </w:r>
      <w:r>
        <w:rPr>
          <w:rFonts w:ascii="Times New Roman" w:eastAsia="Times New Roman" w:hAnsi="Times New Roman" w:cs="Times New Roman"/>
          <w:snapToGrid w:val="0"/>
          <w:kern w:val="28"/>
          <w:sz w:val="20"/>
          <w:szCs w:val="20"/>
          <w:vertAlign w:val="superscript"/>
        </w:rPr>
        <w:footnoteReference w:id="157"/>
      </w:r>
      <w:r>
        <w:rPr>
          <w:rFonts w:ascii="Times New Roman" w:eastAsia="Times New Roman" w:hAnsi="Times New Roman" w:cs="Times New Roman"/>
          <w:snapToGrid w:val="0"/>
          <w:kern w:val="28"/>
          <w:szCs w:val="20"/>
        </w:rPr>
        <w:t xml:space="preserve">  The SBA has developed a small business size standard for “All Other Telecommunications,” which consists of all such firms with gross annual receipts of $32.5 million or less.</w:t>
      </w:r>
      <w:r>
        <w:rPr>
          <w:rFonts w:ascii="Times New Roman" w:eastAsia="Times New Roman" w:hAnsi="Times New Roman" w:cs="Times New Roman"/>
          <w:snapToGrid w:val="0"/>
          <w:kern w:val="28"/>
          <w:sz w:val="20"/>
          <w:szCs w:val="20"/>
          <w:vertAlign w:val="superscript"/>
        </w:rPr>
        <w:footnoteReference w:id="158"/>
      </w:r>
      <w:r>
        <w:rPr>
          <w:rFonts w:ascii="Times New Roman" w:eastAsia="Times New Roman" w:hAnsi="Times New Roman" w:cs="Times New Roman"/>
          <w:snapToGrid w:val="0"/>
          <w:kern w:val="28"/>
          <w:szCs w:val="20"/>
        </w:rPr>
        <w:t xml:space="preserve">  For this category, Census Bureau data for 2012 show that there were 1,442 firms that operated for the entire year.  Of those firms, a total of 1,400 had annual receipts less than $25 million.</w:t>
      </w:r>
      <w:r>
        <w:rPr>
          <w:rFonts w:ascii="Times New Roman" w:eastAsia="Times New Roman" w:hAnsi="Times New Roman" w:cs="Times New Roman"/>
          <w:snapToGrid w:val="0"/>
          <w:kern w:val="28"/>
          <w:sz w:val="20"/>
          <w:szCs w:val="20"/>
          <w:vertAlign w:val="superscript"/>
        </w:rPr>
        <w:footnoteReference w:id="159"/>
      </w:r>
      <w:r>
        <w:rPr>
          <w:rFonts w:ascii="Times New Roman" w:eastAsia="Times New Roman" w:hAnsi="Times New Roman" w:cs="Times New Roman"/>
          <w:snapToGrid w:val="0"/>
          <w:kern w:val="28"/>
          <w:szCs w:val="20"/>
        </w:rPr>
        <w:t xml:space="preserve">  Consequently, we conclude that the majority of All Other Telecommunications firms can be considered small.</w:t>
      </w:r>
      <w:r>
        <w:rPr>
          <w:rFonts w:ascii="Times New Roman" w:eastAsia="Times New Roman" w:hAnsi="Times New Roman" w:cs="Times New Roman"/>
          <w:b/>
          <w:snapToGrid w:val="0"/>
          <w:kern w:val="28"/>
          <w:szCs w:val="20"/>
        </w:rPr>
        <w:t xml:space="preserve"> </w:t>
      </w:r>
    </w:p>
    <w:p w:rsidR="00564804">
      <w:pPr>
        <w:widowControl w:val="0"/>
        <w:numPr>
          <w:ilvl w:val="1"/>
          <w:numId w:val="3"/>
        </w:numPr>
        <w:spacing w:after="120" w:line="240" w:lineRule="auto"/>
        <w:outlineLvl w:val="1"/>
        <w:rPr>
          <w:rFonts w:ascii="Times New Roman" w:eastAsia="Times New Roman" w:hAnsi="Times New Roman" w:cs="Times New Roman"/>
          <w:b/>
          <w:snapToGrid w:val="0"/>
          <w:kern w:val="28"/>
          <w:szCs w:val="20"/>
        </w:rPr>
      </w:pPr>
      <w:bookmarkStart w:id="58" w:name="_Toc290902741"/>
      <w:bookmarkStart w:id="59" w:name="_Toc290985343"/>
      <w:bookmarkStart w:id="60" w:name="_Toc395525834"/>
      <w:bookmarkStart w:id="61" w:name="_Toc395533584"/>
      <w:bookmarkStart w:id="62" w:name="_Toc395688832"/>
      <w:bookmarkStart w:id="63" w:name="_Toc396124455"/>
      <w:bookmarkStart w:id="64" w:name="_Toc396136533"/>
      <w:bookmarkStart w:id="65" w:name="_Toc396213565"/>
      <w:bookmarkStart w:id="66" w:name="_Toc396298483"/>
      <w:bookmarkStart w:id="67" w:name="_Toc402525586"/>
      <w:bookmarkStart w:id="68" w:name="_Toc404083781"/>
      <w:bookmarkStart w:id="69" w:name="_Toc404594703"/>
      <w:bookmarkStart w:id="70" w:name="_Toc407963515"/>
      <w:bookmarkStart w:id="71" w:name="_Toc408297260"/>
      <w:bookmarkStart w:id="72" w:name="_Toc411603984"/>
      <w:bookmarkStart w:id="73" w:name="_Toc414027017"/>
      <w:bookmarkStart w:id="74" w:name="_Toc479770709"/>
      <w:r>
        <w:rPr>
          <w:rFonts w:ascii="Times New Roman" w:eastAsia="Times New Roman" w:hAnsi="Times New Roman" w:cs="Times New Roman"/>
          <w:b/>
          <w:snapToGrid w:val="0"/>
          <w:kern w:val="28"/>
          <w:szCs w:val="20"/>
        </w:rPr>
        <w:t>Description of Projected Reporting, Recordkeeping, and Other Compliance Requirements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szCs w:val="20"/>
        </w:rPr>
      </w:pPr>
      <w:bookmarkStart w:id="75" w:name="_Toc290902742"/>
      <w:bookmarkStart w:id="76" w:name="_Toc290985344"/>
      <w:bookmarkStart w:id="77" w:name="_Toc395525835"/>
      <w:bookmarkStart w:id="78" w:name="_Toc395533585"/>
      <w:bookmarkStart w:id="79" w:name="_Toc395688833"/>
      <w:bookmarkStart w:id="80" w:name="_Toc396124456"/>
      <w:bookmarkStart w:id="81" w:name="_Toc396136534"/>
      <w:bookmarkStart w:id="82" w:name="_Toc396213566"/>
      <w:r>
        <w:rPr>
          <w:rFonts w:ascii="Times New Roman" w:eastAsia="Times New Roman" w:hAnsi="Times New Roman" w:cs="Times New Roman"/>
          <w:snapToGrid w:val="0"/>
          <w:kern w:val="28"/>
          <w:szCs w:val="20"/>
        </w:rPr>
        <w:t>The Public Notice does not propose to adopt any reporting or recordkeeping requirements, but instead seeks comment on whether to grant a blanket extension of time to come into compliance with certain statutory requirements.  Specifically, it</w:t>
      </w:r>
      <w:r>
        <w:rPr>
          <w:rFonts w:ascii="Times New Roman" w:hAnsi="Times New Roman" w:cs="Times New Roman"/>
        </w:rPr>
        <w:t xml:space="preserve"> seeks comment on whether, pursuant to section 1004(b) of the TVPA, good cause exists for granting a blanket extension of section 642’s effective date by six months, until December 20, 2020.  </w:t>
      </w:r>
    </w:p>
    <w:p w:rsidR="00564804">
      <w:pPr>
        <w:widowControl w:val="0"/>
        <w:numPr>
          <w:ilvl w:val="1"/>
          <w:numId w:val="3"/>
        </w:numPr>
        <w:spacing w:after="120" w:line="240" w:lineRule="auto"/>
        <w:outlineLvl w:val="1"/>
        <w:rPr>
          <w:rFonts w:ascii="Times New Roman" w:eastAsia="Times New Roman" w:hAnsi="Times New Roman" w:cs="Times New Roman"/>
          <w:b/>
          <w:snapToGrid w:val="0"/>
          <w:kern w:val="28"/>
          <w:szCs w:val="20"/>
        </w:rPr>
      </w:pPr>
      <w:bookmarkStart w:id="83" w:name="_Toc396298484"/>
      <w:bookmarkStart w:id="84" w:name="_Toc402525587"/>
      <w:bookmarkStart w:id="85" w:name="_Toc404083782"/>
      <w:bookmarkStart w:id="86" w:name="_Toc404594704"/>
      <w:bookmarkStart w:id="87" w:name="_Toc407963516"/>
      <w:bookmarkStart w:id="88" w:name="_Toc408297261"/>
      <w:bookmarkStart w:id="89" w:name="_Toc411603985"/>
      <w:bookmarkStart w:id="90" w:name="_Toc414027018"/>
      <w:bookmarkStart w:id="91" w:name="_Toc479770710"/>
      <w:r>
        <w:rPr>
          <w:rFonts w:ascii="Times New Roman" w:eastAsia="Times New Roman" w:hAnsi="Times New Roman" w:cs="Times New Roman"/>
          <w:b/>
          <w:snapToGrid w:val="0"/>
          <w:kern w:val="28"/>
          <w:szCs w:val="20"/>
        </w:rPr>
        <w:t>Steps Taken to Minimize Significant Economic Impact on Small Entities and Significant Alternatives Considered</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szCs w:val="20"/>
        </w:rPr>
      </w:pPr>
      <w:r>
        <w:rPr>
          <w:rFonts w:ascii="Times New Roman" w:eastAsia="Times New Roman" w:hAnsi="Times New Roman" w:cs="Times New Roman"/>
          <w:snapToGrid w:val="0"/>
          <w:kern w:val="28"/>
          <w:szCs w:val="20"/>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rFonts w:ascii="Times New Roman" w:eastAsia="Times New Roman" w:hAnsi="Times New Roman" w:cs="Times New Roman"/>
          <w:snapToGrid w:val="0"/>
          <w:kern w:val="28"/>
          <w:szCs w:val="20"/>
          <w:vertAlign w:val="superscript"/>
        </w:rPr>
        <w:footnoteReference w:id="160"/>
      </w:r>
    </w:p>
    <w:p w:rsidR="00564804">
      <w:pPr>
        <w:widowControl w:val="0"/>
        <w:numPr>
          <w:ilvl w:val="0"/>
          <w:numId w:val="2"/>
        </w:numPr>
        <w:tabs>
          <w:tab w:val="clear" w:pos="1080"/>
          <w:tab w:val="num" w:pos="1440"/>
        </w:tabs>
        <w:spacing w:after="120" w:line="240" w:lineRule="auto"/>
        <w:rPr>
          <w:rFonts w:ascii="Times New Roman" w:eastAsia="Times New Roman" w:hAnsi="Times New Roman" w:cs="Times New Roman"/>
          <w:snapToGrid w:val="0"/>
          <w:kern w:val="28"/>
        </w:rPr>
      </w:pPr>
      <w:bookmarkStart w:id="92" w:name="_Hlk500836306"/>
      <w:r>
        <w:rPr>
          <w:rFonts w:ascii="Times New Roman" w:hAnsi="Times New Roman" w:cs="Times New Roman"/>
        </w:rPr>
        <w:t xml:space="preserve">The Public Notice seeks comment on whether, pursuant to section 1004(b) of the TVPA, good cause exists for granting a blanket extension of section 642’s effective date by six months, until December 20, 2020.  Section 642 requires MVPDs to “give consumers a breakdown of all charges related to the MVPD’s video service” before entering into a contract with a consumer for service, and also gives consumers 24 hours in which to cancel such service without penalty.  In addition, section 642 requires </w:t>
      </w:r>
      <w:r>
        <w:rPr>
          <w:rFonts w:ascii="Times New Roman" w:hAnsi="Times New Roman" w:cs="Times New Roman"/>
        </w:rPr>
        <w:t>greater transparency in electronic bills and prohibits MVPDs and providers of fixed broadband Internet access service from charging consumers for equipment they do not provide.  Section 642 of the Act, as added by the TVPA, becomes effective June 20, 2020, six months after the date of enactment of the TVPA; however, the Commission for “good cause” may extend the effective date by six months.</w:t>
      </w:r>
      <w:r>
        <w:rPr>
          <w:rFonts w:cs="Times New Roman"/>
        </w:rPr>
        <w:t xml:space="preserve"> </w:t>
      </w:r>
      <w:r>
        <w:rPr>
          <w:rFonts w:ascii="Times New Roman" w:hAnsi="Times New Roman" w:cs="Times New Roman"/>
        </w:rPr>
        <w:t xml:space="preserve"> The Commission will consider the record in response to the Public Notice in determining whether there is good cause for a blanket extension, and the Public Notice indicates that parties advocating for a blanket extension, including small entities, should explain in detail the bases for their assertion that the effective date should be so extended.  The Public Notice notes that, for example, parties seeking an extension could describe the steps they need to undertake to update their billing systems in order to provide the required information to consumers, the time needed to implement such updates, and any associated employee training needed to fulfill the new requirements</w:t>
      </w:r>
      <w:r>
        <w:rPr>
          <w:rFonts w:ascii="Times New Roman" w:eastAsia="Times New Roman" w:hAnsi="Times New Roman" w:cs="Times New Roman"/>
          <w:snapToGrid w:val="0"/>
          <w:kern w:val="28"/>
          <w:szCs w:val="20"/>
        </w:rPr>
        <w:t xml:space="preserve">.  </w:t>
      </w:r>
      <w:bookmarkEnd w:id="92"/>
      <w:r>
        <w:rPr>
          <w:rFonts w:ascii="Times New Roman" w:hAnsi="Times New Roman" w:cs="Times New Roman"/>
        </w:rPr>
        <w:t xml:space="preserve">Extending the effective date of section 642 could reduce the economic impact of that provision by affording affected small entities additional time to come into compliance with the requirements set forth therein.  </w:t>
      </w:r>
      <w:r>
        <w:rPr>
          <w:rFonts w:ascii="Times New Roman" w:eastAsia="Times New Roman" w:hAnsi="Times New Roman" w:cs="Times New Roman"/>
          <w:snapToGrid w:val="0"/>
          <w:kern w:val="28"/>
        </w:rPr>
        <w:t>We invite comment on the economic impact of our proposals on small entities, and on how the Commission could minimize any potential burdens on such entities.</w:t>
      </w:r>
    </w:p>
    <w:p w:rsidR="00564804">
      <w:pPr>
        <w:widowControl w:val="0"/>
        <w:numPr>
          <w:ilvl w:val="1"/>
          <w:numId w:val="3"/>
        </w:numPr>
        <w:spacing w:after="120" w:line="240" w:lineRule="auto"/>
        <w:outlineLvl w:val="1"/>
        <w:rPr>
          <w:rFonts w:ascii="Times New Roman" w:eastAsia="Times New Roman" w:hAnsi="Times New Roman" w:cs="Times New Roman"/>
          <w:b/>
          <w:snapToGrid w:val="0"/>
          <w:kern w:val="28"/>
          <w:szCs w:val="20"/>
        </w:rPr>
      </w:pPr>
      <w:bookmarkStart w:id="93" w:name="_Toc290902743"/>
      <w:bookmarkStart w:id="94" w:name="_Toc290985345"/>
      <w:bookmarkStart w:id="95" w:name="_Toc395525836"/>
      <w:bookmarkStart w:id="96" w:name="_Toc395533586"/>
      <w:bookmarkStart w:id="97" w:name="_Toc395688834"/>
      <w:bookmarkStart w:id="98" w:name="_Toc396124457"/>
      <w:bookmarkStart w:id="99" w:name="_Toc396136535"/>
      <w:bookmarkStart w:id="100" w:name="_Toc396213567"/>
      <w:bookmarkStart w:id="101" w:name="_Toc396298485"/>
      <w:bookmarkStart w:id="102" w:name="_Toc402525588"/>
      <w:bookmarkStart w:id="103" w:name="_Toc404083783"/>
      <w:bookmarkStart w:id="104" w:name="_Toc404594705"/>
      <w:bookmarkStart w:id="105" w:name="_Toc407963517"/>
      <w:bookmarkStart w:id="106" w:name="_Toc408297262"/>
      <w:bookmarkStart w:id="107" w:name="_Toc411603986"/>
      <w:bookmarkStart w:id="108" w:name="_Toc414027019"/>
      <w:bookmarkStart w:id="109" w:name="_Toc479770711"/>
      <w:r>
        <w:rPr>
          <w:rFonts w:ascii="Times New Roman" w:eastAsia="Times New Roman" w:hAnsi="Times New Roman" w:cs="Times New Roman"/>
          <w:b/>
          <w:snapToGrid w:val="0"/>
          <w:kern w:val="28"/>
          <w:szCs w:val="20"/>
        </w:rPr>
        <w:t>Federal Rules that May Duplicate, Overlap, or Conflict With the Proposed Rule</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564804">
      <w:pPr>
        <w:widowControl w:val="0"/>
        <w:numPr>
          <w:ilvl w:val="0"/>
          <w:numId w:val="2"/>
        </w:numPr>
        <w:tabs>
          <w:tab w:val="clear" w:pos="1080"/>
          <w:tab w:val="num" w:pos="1440"/>
        </w:tabs>
        <w:spacing w:after="120" w:line="240" w:lineRule="auto"/>
        <w:rPr>
          <w:rFonts w:ascii="Times New Roman" w:eastAsia="Calibri" w:hAnsi="Times New Roman" w:cs="Times New Roman"/>
        </w:rPr>
      </w:pPr>
      <w:r>
        <w:rPr>
          <w:rFonts w:ascii="Times New Roman" w:eastAsia="Times New Roman" w:hAnsi="Times New Roman" w:cs="Times New Roman"/>
          <w:snapToGrid w:val="0"/>
          <w:kern w:val="28"/>
          <w:szCs w:val="20"/>
        </w:rPr>
        <w:t>None.</w:t>
      </w:r>
    </w:p>
    <w:p w:rsidR="00564804">
      <w:pPr>
        <w:keepNext/>
        <w:keepLines/>
        <w:spacing w:line="240" w:lineRule="auto"/>
        <w:jc w:val="center"/>
        <w:rPr>
          <w:rFonts w:ascii="Times New Roman" w:hAnsi="Times New Roman" w:cs="Times New Roman"/>
          <w:b/>
        </w:rPr>
      </w:pP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4804">
    <w:pPr>
      <w:pStyle w:val="Footer"/>
      <w:framePr w:wrap="around" w:vAnchor="text" w:hAnchor="margin" w:xAlign="center" w:y="1"/>
    </w:pPr>
    <w:r>
      <w:fldChar w:fldCharType="begin"/>
    </w:r>
    <w:r>
      <w:instrText xml:space="preserve">PAGE  </w:instrText>
    </w:r>
    <w:r>
      <w:fldChar w:fldCharType="separate"/>
    </w:r>
    <w:r>
      <w:fldChar w:fldCharType="end"/>
    </w:r>
  </w:p>
  <w:p w:rsidR="00564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4804">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4804">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4811">
      <w:r>
        <w:separator/>
      </w:r>
    </w:p>
  </w:footnote>
  <w:footnote w:type="continuationSeparator" w:id="1">
    <w:p w:rsidR="008C4811">
      <w:pPr>
        <w:rPr>
          <w:sz w:val="20"/>
        </w:rPr>
      </w:pPr>
      <w:r>
        <w:rPr>
          <w:sz w:val="20"/>
        </w:rPr>
        <w:t xml:space="preserve">(Continued from previous page)  </w:t>
      </w:r>
      <w:r>
        <w:rPr>
          <w:sz w:val="20"/>
        </w:rPr>
        <w:separator/>
      </w:r>
    </w:p>
  </w:footnote>
  <w:footnote w:type="continuationNotice" w:id="2">
    <w:p w:rsidR="008C4811">
      <w:pPr>
        <w:jc w:val="right"/>
        <w:rPr>
          <w:sz w:val="20"/>
        </w:rPr>
      </w:pPr>
      <w:r>
        <w:rPr>
          <w:sz w:val="20"/>
        </w:rPr>
        <w:t>(continued….)</w:t>
      </w:r>
    </w:p>
  </w:footnote>
  <w:footnote w:id="3">
    <w:p w:rsidR="00564804">
      <w:pPr>
        <w:pStyle w:val="FootnoteText"/>
        <w:widowControl w:val="0"/>
      </w:pPr>
      <w:r>
        <w:rPr>
          <w:rStyle w:val="FootnoteReference"/>
          <w:sz w:val="20"/>
        </w:rPr>
        <w:footnoteRef/>
      </w:r>
      <w:r>
        <w:t xml:space="preserve"> The Television Viewer Protection Act of 2019, Pub. L. No. 116-94, 133 Stat. 2534 (2019).  The TVPA was enacted as Title X of the “Further Consolidated Appropriations Act, 2020” (H.R. 1865, 116th Cong.).    </w:t>
      </w:r>
    </w:p>
  </w:footnote>
  <w:footnote w:id="4">
    <w:p w:rsidR="00564804">
      <w:pPr>
        <w:pStyle w:val="FootnoteText"/>
      </w:pPr>
      <w:r>
        <w:rPr>
          <w:rStyle w:val="FootnoteReference"/>
          <w:sz w:val="20"/>
        </w:rPr>
        <w:footnoteRef/>
      </w:r>
      <w:r>
        <w:t xml:space="preserve"> </w:t>
      </w:r>
      <w:r>
        <w:rPr>
          <w:i/>
        </w:rPr>
        <w:t xml:space="preserve">See </w:t>
      </w:r>
      <w:r>
        <w:rPr>
          <w:iCs/>
        </w:rPr>
        <w:t xml:space="preserve">TVPA, </w:t>
      </w:r>
      <w:r>
        <w:t>§ 1004(a) (to be codified at 47 U.S.C. § 562).  Although the TVPA amended the Act in other respects, this Public Notice concerns only those amendments made by section 1004(a) of the TVPA.</w:t>
      </w:r>
    </w:p>
  </w:footnote>
  <w:footnote w:id="5">
    <w:p w:rsidR="00564804">
      <w:pPr>
        <w:pStyle w:val="FootnoteText"/>
      </w:pPr>
      <w:r>
        <w:rPr>
          <w:rStyle w:val="FootnoteReference"/>
          <w:sz w:val="20"/>
        </w:rPr>
        <w:footnoteRef/>
      </w:r>
      <w:r>
        <w:t xml:space="preserve"> </w:t>
      </w:r>
      <w:r>
        <w:rPr>
          <w:i/>
          <w:iCs/>
        </w:rPr>
        <w:t xml:space="preserve">See </w:t>
      </w:r>
      <w:r>
        <w:t>H.R. Rep. No. 116-329, 116</w:t>
      </w:r>
      <w:r>
        <w:rPr>
          <w:vertAlign w:val="superscript"/>
        </w:rPr>
        <w:t>th</w:t>
      </w:r>
      <w:r>
        <w:t xml:space="preserve"> Cong., 1</w:t>
      </w:r>
      <w:r>
        <w:rPr>
          <w:vertAlign w:val="superscript"/>
        </w:rPr>
        <w:t>st</w:t>
      </w:r>
      <w:r>
        <w:t xml:space="preserve"> Sess. 2019 at 4 (providing the relevant legislative history of the TVPA) (House Report).  Section 642(a) of the Act, as added by section 1004(a) of the TVPA, indicates that information about fees and other charges can be provided by phone, in person, online, or by other reasonable means, and that a copy of this information must be sent to consumers by email, online link, or other reasonably comparable means not later than 24 hours after entering into a contract.  TVPA, § 1004(a).</w:t>
      </w:r>
    </w:p>
  </w:footnote>
  <w:footnote w:id="6">
    <w:p w:rsidR="00564804">
      <w:pPr>
        <w:pStyle w:val="FootnoteText"/>
      </w:pPr>
      <w:r>
        <w:rPr>
          <w:rStyle w:val="FootnoteReference"/>
          <w:sz w:val="20"/>
        </w:rPr>
        <w:footnoteRef/>
      </w:r>
      <w:r>
        <w:t xml:space="preserve"> </w:t>
      </w:r>
      <w:r>
        <w:rPr>
          <w:i/>
          <w:iCs/>
        </w:rPr>
        <w:t xml:space="preserve">See </w:t>
      </w:r>
      <w:r>
        <w:t>House Report at 4.</w:t>
      </w:r>
    </w:p>
  </w:footnote>
  <w:footnote w:id="7">
    <w:p w:rsidR="00564804">
      <w:pPr>
        <w:pStyle w:val="FootnoteText"/>
        <w:rPr>
          <w:i/>
          <w:iCs/>
        </w:rPr>
      </w:pPr>
      <w:r>
        <w:rPr>
          <w:rStyle w:val="FootnoteReference"/>
          <w:sz w:val="20"/>
        </w:rPr>
        <w:footnoteRef/>
      </w:r>
      <w:r>
        <w:t xml:space="preserve"> </w:t>
      </w:r>
      <w:r>
        <w:rPr>
          <w:i/>
          <w:iCs/>
        </w:rPr>
        <w:t>Id</w:t>
      </w:r>
      <w:r>
        <w:t>.</w:t>
      </w:r>
    </w:p>
  </w:footnote>
  <w:footnote w:id="8">
    <w:p w:rsidR="00564804">
      <w:pPr>
        <w:pStyle w:val="FootnoteText"/>
      </w:pPr>
      <w:r>
        <w:rPr>
          <w:rStyle w:val="FootnoteReference"/>
          <w:sz w:val="20"/>
        </w:rPr>
        <w:footnoteRef/>
      </w:r>
      <w:r>
        <w:t xml:space="preserve"> </w:t>
      </w:r>
      <w:r>
        <w:rPr>
          <w:i/>
        </w:rPr>
        <w:t xml:space="preserve">See </w:t>
      </w:r>
      <w:r>
        <w:rPr>
          <w:iCs/>
        </w:rPr>
        <w:t xml:space="preserve">TVPA, </w:t>
      </w:r>
      <w:r>
        <w:t xml:space="preserve">§ 1004(b) (“Section 642 of the [Act] . . . shall apply beginning on the date that is 6 months after the date of the enactment of this Act.  The [Commission] may grant an additional 6-month extension if [it] finds that good cause exists for such . . . extension.”).   </w:t>
      </w:r>
    </w:p>
  </w:footnote>
  <w:footnote w:id="9">
    <w:p w:rsidR="00564804">
      <w:pPr>
        <w:pStyle w:val="FootnoteText"/>
        <w:widowControl w:val="0"/>
      </w:pPr>
      <w:r>
        <w:rPr>
          <w:rStyle w:val="FootnoteReference"/>
          <w:color w:val="000000"/>
          <w:sz w:val="20"/>
        </w:rPr>
        <w:footnoteRef/>
      </w:r>
      <w:r>
        <w:rPr>
          <w:color w:val="000000"/>
        </w:rP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 </w:t>
      </w:r>
    </w:p>
  </w:footnote>
  <w:footnote w:id="10">
    <w:p w:rsidR="00564804">
      <w:pPr>
        <w:pStyle w:val="FootnoteText"/>
        <w:widowControl w:val="0"/>
        <w:rPr>
          <w:i/>
          <w:iCs/>
        </w:rPr>
      </w:pPr>
      <w:r>
        <w:rPr>
          <w:rStyle w:val="FootnoteReference"/>
          <w:sz w:val="20"/>
        </w:rPr>
        <w:footnoteRef/>
      </w:r>
      <w:r>
        <w:t xml:space="preserve"> 47 CFR §§ 1.1200 </w:t>
      </w:r>
      <w:r>
        <w:rPr>
          <w:i/>
          <w:iCs/>
        </w:rPr>
        <w:t>et seq.</w:t>
      </w:r>
    </w:p>
    <w:p w:rsidR="00564804">
      <w:pPr>
        <w:pStyle w:val="FootnoteText"/>
        <w:widowControl w:val="0"/>
        <w:rPr>
          <w:i/>
          <w:iCs/>
        </w:rPr>
      </w:pPr>
    </w:p>
  </w:footnote>
  <w:footnote w:id="11">
    <w:p w:rsidR="00564804">
      <w:pPr>
        <w:pStyle w:val="FootnoteText"/>
        <w:widowControl w:val="0"/>
      </w:pPr>
      <w:r>
        <w:rPr>
          <w:rStyle w:val="FootnoteReference"/>
          <w:sz w:val="20"/>
        </w:rPr>
        <w:footnoteRef/>
      </w:r>
      <w:r>
        <w:t xml:space="preserve"> </w:t>
      </w:r>
      <w:r>
        <w:rPr>
          <w:i/>
        </w:rPr>
        <w:t>See</w:t>
      </w:r>
      <w:r>
        <w:t xml:space="preserve"> 5 U.S.C. § 603.  The RFA, </w:t>
      </w:r>
      <w:r>
        <w:rPr>
          <w:i/>
        </w:rPr>
        <w:t xml:space="preserve">see </w:t>
      </w:r>
      <w:r>
        <w:t>5 U.S.C. §§ 601-612, has been amended by the Small Business Regulatory Enforcement Fairness Act of 1996 (SBREFA), Pub. L. No. 104-121, Title II, 110 Stat. 857 (1996).  The SBREFA was enacted as Title II of the Contract With America Advancement Act of 1996 (CWAAA).</w:t>
      </w:r>
    </w:p>
  </w:footnote>
  <w:footnote w:id="12">
    <w:p w:rsidR="00564804">
      <w:pPr>
        <w:pStyle w:val="FootnoteText"/>
        <w:widowControl w:val="0"/>
      </w:pPr>
      <w:r>
        <w:rPr>
          <w:rStyle w:val="FootnoteReference"/>
          <w:sz w:val="20"/>
        </w:rPr>
        <w:footnoteRef/>
      </w:r>
      <w:r>
        <w:t xml:space="preserve"> </w:t>
      </w:r>
      <w:r>
        <w:rPr>
          <w:i/>
        </w:rPr>
        <w:t>See</w:t>
      </w:r>
      <w:r>
        <w:t xml:space="preserve"> 5 U.S.C. § 603(a).</w:t>
      </w:r>
    </w:p>
  </w:footnote>
  <w:footnote w:id="13">
    <w:p w:rsidR="00564804">
      <w:pPr>
        <w:pStyle w:val="FootnoteText"/>
        <w:widowControl w:val="0"/>
      </w:pPr>
      <w:r>
        <w:rPr>
          <w:rStyle w:val="FootnoteReference"/>
          <w:sz w:val="20"/>
        </w:rPr>
        <w:footnoteRef/>
      </w:r>
      <w:r>
        <w:t xml:space="preserve"> </w:t>
      </w:r>
      <w:r>
        <w:rPr>
          <w:i/>
        </w:rPr>
        <w:t>See id</w:t>
      </w:r>
      <w:r>
        <w:t>.</w:t>
      </w:r>
    </w:p>
  </w:footnote>
  <w:footnote w:id="14">
    <w:p w:rsidR="00564804">
      <w:pPr>
        <w:pStyle w:val="FootnoteText"/>
        <w:widowControl w:val="0"/>
      </w:pPr>
      <w:r>
        <w:rPr>
          <w:rStyle w:val="FootnoteReference"/>
          <w:sz w:val="20"/>
        </w:rPr>
        <w:footnoteRef/>
      </w:r>
      <w:r>
        <w:t xml:space="preserve"> The Television Viewer Protection Act of 2019, Pub. L. No. 116-94, 133 Stat. 2534 (2019).  The TVPA was enacted as Title X of the “Further Consolidated Appropriations Act, 2020” (H.R. 1865, 116th Cong.).    </w:t>
      </w:r>
    </w:p>
  </w:footnote>
  <w:footnote w:id="15">
    <w:p w:rsidR="00564804">
      <w:pPr>
        <w:pStyle w:val="FootnoteText"/>
      </w:pPr>
      <w:r>
        <w:rPr>
          <w:rStyle w:val="FootnoteReference"/>
          <w:sz w:val="20"/>
        </w:rPr>
        <w:footnoteRef/>
      </w:r>
      <w:r>
        <w:t xml:space="preserve"> </w:t>
      </w:r>
      <w:r>
        <w:rPr>
          <w:i/>
        </w:rPr>
        <w:t xml:space="preserve">See </w:t>
      </w:r>
      <w:r>
        <w:rPr>
          <w:iCs/>
        </w:rPr>
        <w:t xml:space="preserve">TVPA, </w:t>
      </w:r>
      <w:r>
        <w:t>§ 1004(a) (to be codified at 47 U.S.C. § 562).  Although the TVPA amended the Act in other respects, this Public Notice concerns only those amendments made by section 1004(a) of the TVPA.</w:t>
      </w:r>
    </w:p>
  </w:footnote>
  <w:footnote w:id="16">
    <w:p w:rsidR="00564804">
      <w:pPr>
        <w:pStyle w:val="FootnoteText"/>
      </w:pPr>
      <w:r>
        <w:rPr>
          <w:rStyle w:val="FootnoteReference"/>
          <w:sz w:val="20"/>
        </w:rPr>
        <w:footnoteRef/>
      </w:r>
      <w:r>
        <w:t xml:space="preserve"> </w:t>
      </w:r>
      <w:r>
        <w:rPr>
          <w:i/>
          <w:iCs/>
        </w:rPr>
        <w:t xml:space="preserve">See </w:t>
      </w:r>
      <w:r>
        <w:t>H.R. Rep. No. 116-329, 116</w:t>
      </w:r>
      <w:r>
        <w:rPr>
          <w:vertAlign w:val="superscript"/>
        </w:rPr>
        <w:t>th</w:t>
      </w:r>
      <w:r>
        <w:t xml:space="preserve"> Cong., 1</w:t>
      </w:r>
      <w:r>
        <w:rPr>
          <w:vertAlign w:val="superscript"/>
        </w:rPr>
        <w:t>st</w:t>
      </w:r>
      <w:r>
        <w:t xml:space="preserve"> Sess. 2019 at 4 (providing the relevant legislative history of the TVPA) (House Report).  Section 642(a) of the Act, as added by section 1004(a) of the TVPA, indicates that information about fees and other charges can be provided by phone, in person, online, or by other reasonable means, and that a copy of this information must be sent to consumers by email, online link, or other reasonably comparable means not later than 24 hours after entering into a contract.  TVPA, § 1004(a).</w:t>
      </w:r>
    </w:p>
  </w:footnote>
  <w:footnote w:id="17">
    <w:p w:rsidR="00564804">
      <w:pPr>
        <w:pStyle w:val="FootnoteText"/>
      </w:pPr>
      <w:r>
        <w:rPr>
          <w:rStyle w:val="FootnoteReference"/>
          <w:sz w:val="20"/>
        </w:rPr>
        <w:footnoteRef/>
      </w:r>
      <w:r>
        <w:t xml:space="preserve"> </w:t>
      </w:r>
      <w:r>
        <w:rPr>
          <w:i/>
          <w:iCs/>
        </w:rPr>
        <w:t xml:space="preserve">See </w:t>
      </w:r>
      <w:r>
        <w:t>House Report at 4.</w:t>
      </w:r>
    </w:p>
  </w:footnote>
  <w:footnote w:id="18">
    <w:p w:rsidR="00564804">
      <w:pPr>
        <w:pStyle w:val="FootnoteText"/>
        <w:rPr>
          <w:i/>
          <w:iCs/>
        </w:rPr>
      </w:pPr>
      <w:r>
        <w:rPr>
          <w:rStyle w:val="FootnoteReference"/>
          <w:sz w:val="20"/>
        </w:rPr>
        <w:footnoteRef/>
      </w:r>
      <w:r>
        <w:t xml:space="preserve"> </w:t>
      </w:r>
      <w:r>
        <w:rPr>
          <w:i/>
          <w:iCs/>
        </w:rPr>
        <w:t>Id</w:t>
      </w:r>
      <w:r>
        <w:t>.</w:t>
      </w:r>
    </w:p>
  </w:footnote>
  <w:footnote w:id="19">
    <w:p w:rsidR="00564804">
      <w:pPr>
        <w:pStyle w:val="FootnoteText"/>
      </w:pPr>
      <w:r>
        <w:rPr>
          <w:rStyle w:val="FootnoteReference"/>
          <w:sz w:val="20"/>
        </w:rPr>
        <w:footnoteRef/>
      </w:r>
      <w:r>
        <w:t xml:space="preserve"> </w:t>
      </w:r>
      <w:r>
        <w:rPr>
          <w:i/>
        </w:rPr>
        <w:t xml:space="preserve">See </w:t>
      </w:r>
      <w:r>
        <w:rPr>
          <w:iCs/>
        </w:rPr>
        <w:t xml:space="preserve">TVPA, </w:t>
      </w:r>
      <w:r>
        <w:t xml:space="preserve">§ 1004(b) (“Section 642 of the [Act] . . . shall apply beginning on the date that is 6 months after the date of the enactment of this Act.  The [Commission] may grant an additional 6-month extension if [it] finds that good cause exists for such . . . extension.”).   </w:t>
      </w:r>
    </w:p>
  </w:footnote>
  <w:footnote w:id="20">
    <w:p w:rsidR="00564804">
      <w:pPr>
        <w:pStyle w:val="FootnoteText"/>
        <w:widowControl w:val="0"/>
      </w:pPr>
      <w:r>
        <w:rPr>
          <w:rStyle w:val="FootnoteReference"/>
          <w:sz w:val="20"/>
        </w:rPr>
        <w:footnoteRef/>
      </w:r>
      <w:r>
        <w:t xml:space="preserve"> Pub. L. No. 116-94, § 1004, 133 Stat. 2534, 3198 (2019).</w:t>
      </w:r>
    </w:p>
  </w:footnote>
  <w:footnote w:id="21">
    <w:p w:rsidR="00564804">
      <w:pPr>
        <w:pStyle w:val="FootnoteText"/>
        <w:widowControl w:val="0"/>
      </w:pPr>
      <w:r>
        <w:rPr>
          <w:rStyle w:val="FootnoteReference"/>
          <w:sz w:val="20"/>
        </w:rPr>
        <w:footnoteRef/>
      </w:r>
      <w:r>
        <w:t xml:space="preserve"> 5 U.S.C. § 603(b)(3).</w:t>
      </w:r>
    </w:p>
  </w:footnote>
  <w:footnote w:id="22">
    <w:p w:rsidR="00564804">
      <w:pPr>
        <w:pStyle w:val="FootnoteText"/>
        <w:widowControl w:val="0"/>
      </w:pPr>
      <w:r>
        <w:rPr>
          <w:rStyle w:val="FootnoteReference"/>
          <w:sz w:val="20"/>
        </w:rPr>
        <w:footnoteRef/>
      </w:r>
      <w:r>
        <w:t xml:space="preserve"> </w:t>
      </w:r>
      <w:r>
        <w:rPr>
          <w:i/>
        </w:rPr>
        <w:t>Id.</w:t>
      </w:r>
      <w:r>
        <w:t xml:space="preserve"> § 601(6).</w:t>
      </w:r>
    </w:p>
  </w:footnote>
  <w:footnote w:id="23">
    <w:p w:rsidR="00564804">
      <w:pPr>
        <w:pStyle w:val="FootnoteText"/>
        <w:widowControl w:val="0"/>
      </w:pPr>
      <w:r>
        <w:rPr>
          <w:rStyle w:val="FootnoteReference"/>
          <w:sz w:val="20"/>
        </w:rPr>
        <w:footnoteRef/>
      </w:r>
      <w:r>
        <w:t xml:space="preserve"> </w:t>
      </w:r>
      <w:r>
        <w:rPr>
          <w:i/>
        </w:rPr>
        <w:t>Id.</w:t>
      </w:r>
      <w:r>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Pr>
          <w:i/>
          <w:iCs/>
        </w:rPr>
        <w:t>Id.</w:t>
      </w:r>
      <w:r>
        <w:t xml:space="preserve"> § 601(3).</w:t>
      </w:r>
    </w:p>
  </w:footnote>
  <w:footnote w:id="24">
    <w:p w:rsidR="00564804">
      <w:pPr>
        <w:pStyle w:val="FootnoteText"/>
        <w:widowControl w:val="0"/>
      </w:pPr>
      <w:r>
        <w:rPr>
          <w:rStyle w:val="FootnoteReference"/>
          <w:sz w:val="20"/>
        </w:rPr>
        <w:footnoteRef/>
      </w:r>
      <w:r>
        <w:t xml:space="preserve"> 15 U.S.C. § 632.</w:t>
      </w:r>
    </w:p>
  </w:footnote>
  <w:footnote w:id="25">
    <w:p w:rsidR="00564804">
      <w:pPr>
        <w:pStyle w:val="FootnoteText"/>
        <w:widowControl w:val="0"/>
      </w:pPr>
      <w:r>
        <w:rPr>
          <w:rStyle w:val="FootnoteReference"/>
          <w:sz w:val="20"/>
        </w:rPr>
        <w:footnoteRef/>
      </w:r>
      <w:r>
        <w:t xml:space="preserve">  47 CFR § 76.901(d).  The Commission determined that this size standard equates approximately to a size standard of $100 million or less in annual revenues.  </w:t>
      </w:r>
      <w:r>
        <w:rPr>
          <w:i/>
        </w:rPr>
        <w:t>Implementation of Sections of the Cable Television Consumer Protection and Competition Act of 1992:  Rate Regulation</w:t>
      </w:r>
      <w:r>
        <w:t xml:space="preserve">, MM Docket No. 92-266 </w:t>
      </w:r>
      <w:r>
        <w:rPr>
          <w:i/>
        </w:rPr>
        <w:t>et al</w:t>
      </w:r>
      <w:r>
        <w:t>.,</w:t>
      </w:r>
      <w:r>
        <w:rPr>
          <w:i/>
        </w:rPr>
        <w:t xml:space="preserve"> </w:t>
      </w:r>
      <w:r>
        <w:t>Sixth Report and Order and Eleventh Order on Reconsideration, 10 FCC Rcd 7393, 7408, para. 28 (1995).</w:t>
      </w:r>
    </w:p>
  </w:footnote>
  <w:footnote w:id="26">
    <w:p w:rsidR="00564804">
      <w:pPr>
        <w:pStyle w:val="FootnoteText"/>
        <w:widowControl w:val="0"/>
      </w:pPr>
      <w:r>
        <w:rPr>
          <w:rStyle w:val="FootnoteReference"/>
          <w:sz w:val="20"/>
        </w:rPr>
        <w:footnoteRef/>
      </w:r>
      <w:r>
        <w:t xml:space="preserve">  47 CFR § 76.901(c).  </w:t>
      </w:r>
    </w:p>
  </w:footnote>
  <w:footnote w:id="27">
    <w:p w:rsidR="00564804">
      <w:pPr>
        <w:pStyle w:val="FootnoteText"/>
        <w:widowControl w:val="0"/>
      </w:pPr>
      <w:r>
        <w:rPr>
          <w:rStyle w:val="FootnoteReference"/>
          <w:sz w:val="20"/>
        </w:rPr>
        <w:footnoteRef/>
      </w:r>
      <w:r>
        <w:t xml:space="preserve"> S&amp;P Market Intelligence-MediaCensus data. </w:t>
      </w:r>
    </w:p>
  </w:footnote>
  <w:footnote w:id="28">
    <w:p w:rsidR="00564804">
      <w:pPr>
        <w:pStyle w:val="FootnoteText"/>
        <w:widowControl w:val="0"/>
      </w:pPr>
      <w:r>
        <w:rPr>
          <w:rStyle w:val="FootnoteReference"/>
          <w:sz w:val="20"/>
        </w:rPr>
        <w:footnoteRef/>
      </w:r>
      <w:r>
        <w:t xml:space="preserve">  </w:t>
      </w:r>
      <w:r>
        <w:rPr>
          <w:i/>
        </w:rPr>
        <w:t>Id.</w:t>
      </w:r>
    </w:p>
  </w:footnote>
  <w:footnote w:id="29">
    <w:p w:rsidR="00564804">
      <w:pPr>
        <w:pStyle w:val="FootnoteText"/>
        <w:widowControl w:val="0"/>
      </w:pPr>
      <w:r>
        <w:rPr>
          <w:rStyle w:val="FootnoteReference"/>
          <w:sz w:val="20"/>
        </w:rPr>
        <w:footnoteRef/>
      </w:r>
      <w:r>
        <w:t xml:space="preserve"> 47 U.S.C. § 543(m)(2); </w:t>
      </w:r>
      <w:r>
        <w:rPr>
          <w:i/>
        </w:rPr>
        <w:t>see also</w:t>
      </w:r>
      <w:r>
        <w:t xml:space="preserve"> 47 CFR § 76.901(e).</w:t>
      </w:r>
    </w:p>
  </w:footnote>
  <w:footnote w:id="30">
    <w:p w:rsidR="00564804">
      <w:pPr>
        <w:pStyle w:val="FootnoteText"/>
        <w:widowControl w:val="0"/>
      </w:pPr>
      <w:r>
        <w:rPr>
          <w:rStyle w:val="FootnoteReference"/>
          <w:sz w:val="20"/>
        </w:rPr>
        <w:footnoteRef/>
      </w:r>
      <w:r>
        <w:t xml:space="preserve"> </w:t>
      </w:r>
      <w:r>
        <w:rPr>
          <w:i/>
        </w:rPr>
        <w:t>See</w:t>
      </w:r>
      <w:r>
        <w:t xml:space="preserve"> SNL Kagan, </w:t>
      </w:r>
      <w:r>
        <w:rPr>
          <w:i/>
        </w:rPr>
        <w:t>Multichannel Industry Benchmarks</w:t>
      </w:r>
      <w:r>
        <w:t xml:space="preserve">, </w:t>
      </w:r>
      <w:hyperlink r:id="rId1" w:anchor="industry/multichannelIndustryBenchmarks" w:history="1">
        <w:r>
          <w:rPr>
            <w:snapToGrid w:val="0"/>
            <w:color w:val="0000FF"/>
            <w:kern w:val="28"/>
            <w:u w:val="single"/>
          </w:rPr>
          <w:t>https://platform.mi.spglobal.com/web/client?auth=inherit#industry/multichannelIndustryBenchmarks</w:t>
        </w:r>
      </w:hyperlink>
      <w:r>
        <w:t xml:space="preserve"> </w:t>
      </w:r>
      <w:r>
        <w:rPr>
          <w:rStyle w:val="Hyperlink"/>
          <w:color w:val="auto"/>
          <w:u w:val="none"/>
        </w:rPr>
        <w:t>(last visited Jan. 14, 2020)</w:t>
      </w:r>
      <w:hyperlink w:history="1"/>
      <w:r>
        <w:t>.</w:t>
      </w:r>
    </w:p>
  </w:footnote>
  <w:footnote w:id="31">
    <w:p w:rsidR="00564804">
      <w:pPr>
        <w:pStyle w:val="FootnoteText"/>
        <w:widowControl w:val="0"/>
      </w:pPr>
      <w:r>
        <w:rPr>
          <w:rStyle w:val="FootnoteReference"/>
          <w:sz w:val="20"/>
        </w:rPr>
        <w:footnoteRef/>
      </w:r>
      <w:r>
        <w:t xml:space="preserve"> </w:t>
      </w:r>
      <w:r>
        <w:rPr>
          <w:i/>
        </w:rPr>
        <w:t xml:space="preserve">See </w:t>
      </w:r>
      <w:r>
        <w:t>47 CFR § 76.901(e).</w:t>
      </w:r>
    </w:p>
  </w:footnote>
  <w:footnote w:id="32">
    <w:p w:rsidR="00564804">
      <w:pPr>
        <w:pStyle w:val="FootnoteText"/>
        <w:widowControl w:val="0"/>
      </w:pPr>
      <w:r>
        <w:rPr>
          <w:rStyle w:val="FootnoteReference"/>
          <w:sz w:val="20"/>
        </w:rPr>
        <w:footnoteRef/>
      </w:r>
      <w:r>
        <w:t xml:space="preserve"> </w:t>
      </w:r>
      <w:r>
        <w:rPr>
          <w:i/>
        </w:rPr>
        <w:t>See</w:t>
      </w:r>
      <w:r>
        <w:t xml:space="preserve"> SNL Kagan, </w:t>
      </w:r>
      <w:r>
        <w:rPr>
          <w:i/>
        </w:rPr>
        <w:t>Top Cable MSOs</w:t>
      </w:r>
      <w:r>
        <w:t xml:space="preserve">, </w:t>
      </w:r>
      <w:hyperlink r:id="rId1" w:anchor="industry/topCableMSOs" w:history="1">
        <w:r>
          <w:rPr>
            <w:snapToGrid w:val="0"/>
            <w:color w:val="0000FF"/>
            <w:kern w:val="28"/>
            <w:u w:val="single"/>
          </w:rPr>
          <w:t>https://platform.mi.spglobal.com/web/client?auth=inherit#industry/topCableMSOs</w:t>
        </w:r>
      </w:hyperlink>
      <w:r>
        <w:rPr>
          <w:rFonts w:eastAsia="Calibri"/>
        </w:rPr>
        <w:t xml:space="preserve"> (last visited Jan. 14, 2020)</w:t>
      </w:r>
      <w:r>
        <w:t>.</w:t>
      </w:r>
    </w:p>
  </w:footnote>
  <w:footnote w:id="33">
    <w:p w:rsidR="00564804">
      <w:pPr>
        <w:pStyle w:val="FootnoteText"/>
        <w:widowControl w:val="0"/>
      </w:pPr>
      <w:r>
        <w:rPr>
          <w:rStyle w:val="FootnoteReference"/>
          <w:sz w:val="20"/>
        </w:rPr>
        <w:footnoteRef/>
      </w:r>
      <w:r>
        <w:t xml:space="preserve"> August 24, 2017, report from Media Bureau staff based on data contained in COALS, </w:t>
      </w:r>
      <w:hyperlink r:id="rId2" w:history="1">
        <w:r>
          <w:rPr>
            <w:rStyle w:val="Hyperlink"/>
          </w:rPr>
          <w:t>www.fcc.gov/coals</w:t>
        </w:r>
      </w:hyperlink>
      <w:r>
        <w:t>.</w:t>
      </w:r>
    </w:p>
  </w:footnote>
  <w:footnote w:id="34">
    <w:p w:rsidR="00564804">
      <w:pPr>
        <w:pStyle w:val="FootnoteText"/>
        <w:widowControl w:val="0"/>
        <w:spacing w:line="120" w:lineRule="atLeast"/>
        <w:rPr>
          <w:color w:val="000000"/>
        </w:rPr>
      </w:pPr>
      <w:r>
        <w:rPr>
          <w:rStyle w:val="FootnoteReference"/>
          <w:color w:val="000000"/>
          <w:sz w:val="20"/>
        </w:rPr>
        <w:footnoteRef/>
      </w:r>
      <w:r>
        <w:rPr>
          <w:color w:val="000000"/>
        </w:rPr>
        <w:t xml:space="preserve"> </w:t>
      </w:r>
      <w:r>
        <w:rPr>
          <w:i/>
          <w:color w:val="000000"/>
        </w:rPr>
        <w:t>See</w:t>
      </w:r>
      <w:r>
        <w:rPr>
          <w:color w:val="000000"/>
        </w:rPr>
        <w:t xml:space="preserve"> 47 U.S.C. § 573.</w:t>
      </w:r>
    </w:p>
  </w:footnote>
  <w:footnote w:id="35">
    <w:p w:rsidR="00564804">
      <w:pPr>
        <w:pStyle w:val="FootnoteText"/>
        <w:widowControl w:val="0"/>
      </w:pPr>
      <w:r>
        <w:rPr>
          <w:rStyle w:val="FootnoteReference"/>
          <w:sz w:val="20"/>
        </w:rPr>
        <w:footnoteRef/>
      </w:r>
      <w:r>
        <w:t xml:space="preserve"> 47 U.S.C. § 571(a)(3)-(4).  </w:t>
      </w:r>
      <w:r>
        <w:rPr>
          <w:i/>
        </w:rPr>
        <w:t>See 13th Annual Report</w:t>
      </w:r>
      <w:r>
        <w:t>, 24 FCC Rcd at 606, para. 135.</w:t>
      </w:r>
    </w:p>
  </w:footnote>
  <w:footnote w:id="36">
    <w:p w:rsidR="00564804">
      <w:pPr>
        <w:pStyle w:val="FootnoteText"/>
        <w:widowControl w:val="0"/>
      </w:pPr>
      <w:r>
        <w:rPr>
          <w:rStyle w:val="FootnoteReference"/>
          <w:sz w:val="20"/>
        </w:rPr>
        <w:footnoteRef/>
      </w:r>
      <w:r>
        <w:t xml:space="preserve"> </w:t>
      </w:r>
      <w:r>
        <w:rPr>
          <w:i/>
          <w:iCs/>
        </w:rPr>
        <w:t xml:space="preserve">See </w:t>
      </w:r>
      <w:r>
        <w:t>47 U.S.C. § 573.</w:t>
      </w:r>
    </w:p>
  </w:footnote>
  <w:footnote w:id="37">
    <w:p w:rsidR="00564804">
      <w:pPr>
        <w:pStyle w:val="FootnoteText"/>
        <w:widowControl w:val="0"/>
      </w:pPr>
      <w:r>
        <w:rPr>
          <w:rStyle w:val="FootnoteReference"/>
          <w:sz w:val="20"/>
        </w:rPr>
        <w:footnoteRef/>
      </w:r>
      <w:r>
        <w:t xml:space="preserve"> U.S. Census Bureau, 2012 NAICS Definitions, 517110 Wired Telecommunications Carriers, http://www.census.gov/naics/2012/def/ND517110.HTM#N517110.</w:t>
      </w:r>
    </w:p>
  </w:footnote>
  <w:footnote w:id="38">
    <w:p w:rsidR="00564804">
      <w:pPr>
        <w:pStyle w:val="FootnoteText"/>
        <w:widowControl w:val="0"/>
      </w:pPr>
      <w:r>
        <w:rPr>
          <w:rStyle w:val="FootnoteReference"/>
          <w:sz w:val="20"/>
        </w:rPr>
        <w:footnoteRef/>
      </w:r>
      <w:r>
        <w:t xml:space="preserve"> 13 CFR § 201.121, NAICS code 517110 (2012).</w:t>
      </w:r>
    </w:p>
  </w:footnote>
  <w:footnote w:id="39">
    <w:p w:rsidR="00564804">
      <w:pPr>
        <w:pStyle w:val="FootnoteText"/>
        <w:widowControl w:val="0"/>
      </w:pPr>
      <w:r>
        <w:rPr>
          <w:rStyle w:val="FootnoteReference"/>
          <w:sz w:val="20"/>
        </w:rPr>
        <w:footnoteRef/>
      </w:r>
      <w:r>
        <w:t xml:space="preserve"> </w:t>
      </w:r>
      <w:r>
        <w:rPr>
          <w:i/>
        </w:rPr>
        <w:t>See</w:t>
      </w:r>
      <w:r>
        <w:t xml:space="preserve"> U.S. Census Bureau, Table EC1251SSSZ5, </w:t>
      </w:r>
      <w:hyperlink r:id="rId3" w:anchor="none" w:history="1">
        <w:r>
          <w:rPr>
            <w:rStyle w:val="Hyperlink"/>
          </w:rPr>
          <w:t>https://factfinder.census.gov/faces/nav/jsf/pages/searchresults.xhtml?refresh=t#none</w:t>
        </w:r>
      </w:hyperlink>
      <w:r>
        <w:t xml:space="preserve">. </w:t>
      </w:r>
    </w:p>
  </w:footnote>
  <w:footnote w:id="40">
    <w:p w:rsidR="00564804">
      <w:pPr>
        <w:pStyle w:val="FootnoteText"/>
        <w:widowControl w:val="0"/>
      </w:pPr>
      <w:r>
        <w:rPr>
          <w:rStyle w:val="FootnoteReference"/>
          <w:sz w:val="20"/>
        </w:rPr>
        <w:footnoteRef/>
      </w:r>
      <w:r>
        <w:t xml:space="preserve"> A list of OVS certifications may be found at </w:t>
      </w:r>
      <w:hyperlink r:id="rId4" w:history="1">
        <w:r>
          <w:rPr>
            <w:rStyle w:val="Hyperlink"/>
          </w:rPr>
          <w:t>http://www.fcc.gov/mb/ovs/csovscer.html</w:t>
        </w:r>
      </w:hyperlink>
      <w:r>
        <w:t xml:space="preserve">. </w:t>
      </w:r>
    </w:p>
  </w:footnote>
  <w:footnote w:id="41">
    <w:p w:rsidR="00564804">
      <w:pPr>
        <w:pStyle w:val="FootnoteText"/>
        <w:widowControl w:val="0"/>
      </w:pPr>
      <w:r>
        <w:rPr>
          <w:rStyle w:val="FootnoteReference"/>
          <w:sz w:val="20"/>
        </w:rPr>
        <w:footnoteRef/>
      </w:r>
      <w:r>
        <w:t xml:space="preserve"> </w:t>
      </w:r>
      <w:r>
        <w:rPr>
          <w:i/>
          <w:iCs/>
        </w:rPr>
        <w:t>See 13th Annual Report</w:t>
      </w:r>
      <w:r>
        <w:t>, 24 FCC Rcd at 606-07 para. 135.  BSPs are newer firms that are building state-of-the-art, facilities-based networks to provide video, voice, and data services over a single network. </w:t>
      </w:r>
    </w:p>
  </w:footnote>
  <w:footnote w:id="42">
    <w:p w:rsidR="00564804">
      <w:pPr>
        <w:pStyle w:val="FootnoteText"/>
        <w:widowControl w:val="0"/>
        <w:spacing w:line="120" w:lineRule="atLeast"/>
        <w:rPr>
          <w:color w:val="000000"/>
        </w:rPr>
      </w:pPr>
      <w:r>
        <w:rPr>
          <w:rStyle w:val="FootnoteReference"/>
          <w:color w:val="000000"/>
          <w:sz w:val="20"/>
        </w:rPr>
        <w:footnoteRef/>
      </w:r>
      <w:r>
        <w:rPr>
          <w:color w:val="000000"/>
        </w:rPr>
        <w:t xml:space="preserve"> </w:t>
      </w:r>
      <w:r>
        <w:rPr>
          <w:i/>
          <w:color w:val="000000"/>
        </w:rPr>
        <w:t>See</w:t>
      </w:r>
      <w:r>
        <w:rPr>
          <w:color w:val="000000"/>
        </w:rPr>
        <w:t xml:space="preserve"> </w:t>
      </w:r>
      <w:hyperlink r:id="rId5" w:history="1">
        <w:r>
          <w:rPr>
            <w:rStyle w:val="Hyperlink"/>
          </w:rPr>
          <w:t>http://www.fcc.gov/encyclopedia/current-filings-certification-open-video-systems</w:t>
        </w:r>
      </w:hyperlink>
      <w:r>
        <w:rPr>
          <w:color w:val="000000"/>
        </w:rPr>
        <w:t xml:space="preserve"> (current as of July 2012).</w:t>
      </w:r>
    </w:p>
  </w:footnote>
  <w:footnote w:id="43">
    <w:p w:rsidR="00564804">
      <w:pPr>
        <w:pStyle w:val="FootnoteText"/>
        <w:widowControl w:val="0"/>
      </w:pPr>
      <w:r>
        <w:rPr>
          <w:rStyle w:val="FootnoteReference"/>
          <w:sz w:val="20"/>
        </w:rPr>
        <w:footnoteRef/>
      </w:r>
      <w:r>
        <w:t xml:space="preserve"> </w:t>
      </w:r>
      <w:r>
        <w:rPr>
          <w:i/>
        </w:rPr>
        <w:t>See</w:t>
      </w:r>
      <w:r>
        <w:t xml:space="preserve"> 13 CFR § 121.201, NAICS code 517110 (2012).</w:t>
      </w:r>
    </w:p>
  </w:footnote>
  <w:footnote w:id="44">
    <w:p w:rsidR="00564804">
      <w:pPr>
        <w:pStyle w:val="FootnoteText"/>
        <w:widowControl w:val="0"/>
      </w:pPr>
      <w:r>
        <w:rPr>
          <w:rStyle w:val="FootnoteReference"/>
          <w:sz w:val="20"/>
        </w:rPr>
        <w:footnoteRef/>
      </w:r>
      <w:r>
        <w:t xml:space="preserve"> Although SMATV systems often use DBS video programming as part of their service package to subscribers, they are not included in Section 340’s definition of “satellite carrier.”  </w:t>
      </w:r>
      <w:r>
        <w:rPr>
          <w:i/>
        </w:rPr>
        <w:t>See</w:t>
      </w:r>
      <w:r>
        <w:t xml:space="preserve"> 47 U.S.C. §§ 340(i)(1) and 338(k)(3); 17 U.S.C. §119(d)(6).</w:t>
      </w:r>
    </w:p>
  </w:footnote>
  <w:footnote w:id="45">
    <w:p w:rsidR="00564804">
      <w:pPr>
        <w:pStyle w:val="FootnoteText"/>
        <w:widowControl w:val="0"/>
      </w:pPr>
      <w:r>
        <w:rPr>
          <w:rStyle w:val="FootnoteReference"/>
          <w:sz w:val="20"/>
        </w:rPr>
        <w:footnoteRef/>
      </w:r>
      <w:r>
        <w:t xml:space="preserve"> 13 CFR § 121.201, NAICS code 517110 (2012).</w:t>
      </w:r>
    </w:p>
  </w:footnote>
  <w:footnote w:id="46">
    <w:p w:rsidR="00564804">
      <w:pPr>
        <w:pStyle w:val="FootnoteText"/>
        <w:widowControl w:val="0"/>
      </w:pPr>
      <w:r>
        <w:rPr>
          <w:rStyle w:val="FootnoteReference"/>
          <w:sz w:val="20"/>
        </w:rPr>
        <w:footnoteRef/>
      </w:r>
      <w:r>
        <w:t xml:space="preserve"> U.S. Census Bureau, Table EC1251SSSZ5, </w:t>
      </w:r>
      <w:hyperlink r:id="rId3" w:anchor="none" w:history="1">
        <w:r>
          <w:rPr>
            <w:rStyle w:val="Hyperlink"/>
          </w:rPr>
          <w:t>https://factfinder.census.gov/faces/nav/jsf/pages/searchresults.xhtml?refresh=t#none</w:t>
        </w:r>
      </w:hyperlink>
      <w:r>
        <w:t xml:space="preserve">.  </w:t>
      </w:r>
    </w:p>
  </w:footnote>
  <w:footnote w:id="47">
    <w:p w:rsidR="00564804">
      <w:pPr>
        <w:pStyle w:val="FootnoteText"/>
        <w:widowControl w:val="0"/>
      </w:pPr>
      <w:r>
        <w:rPr>
          <w:rStyle w:val="FootnoteReference"/>
          <w:sz w:val="20"/>
        </w:rPr>
        <w:footnoteRef/>
      </w:r>
      <w:r>
        <w:t xml:space="preserve"> </w:t>
      </w:r>
      <w:r>
        <w:rPr>
          <w:i/>
        </w:rPr>
        <w:t xml:space="preserve">See </w:t>
      </w:r>
      <w:r>
        <w:t xml:space="preserve">U.S. Census Bureau, </w:t>
      </w:r>
      <w:r>
        <w:rPr>
          <w:i/>
        </w:rPr>
        <w:t>2017 North American Industry Classifications System (NAICS) Definitions</w:t>
      </w:r>
      <w:r>
        <w:t xml:space="preserve">, </w:t>
      </w:r>
      <w:hyperlink r:id="rId6" w:history="1">
        <w:r>
          <w:rPr>
            <w:rStyle w:val="Hyperlink"/>
          </w:rPr>
          <w:t>http://www.census.gov/cgi-bin/sssd/naics/naicsrch</w:t>
        </w:r>
      </w:hyperlink>
      <w:r>
        <w:rPr>
          <w:rStyle w:val="Hyperlink"/>
        </w:rPr>
        <w:t xml:space="preserve"> (</w:t>
      </w:r>
      <w:r>
        <w:rPr>
          <w:rStyle w:val="Hyperlink"/>
          <w:i/>
        </w:rPr>
        <w:t>2012 NAICS Definitions</w:t>
      </w:r>
      <w:r>
        <w:rPr>
          <w:rStyle w:val="Hyperlink"/>
        </w:rPr>
        <w:t xml:space="preserve">) (NAICS Code </w:t>
      </w:r>
      <w:r>
        <w:t xml:space="preserve">517110). </w:t>
      </w:r>
    </w:p>
  </w:footnote>
  <w:footnote w:id="48">
    <w:p w:rsidR="00564804">
      <w:pPr>
        <w:pStyle w:val="FootnoteText"/>
        <w:widowControl w:val="0"/>
      </w:pPr>
      <w:r>
        <w:rPr>
          <w:rStyle w:val="FootnoteReference"/>
          <w:sz w:val="20"/>
        </w:rPr>
        <w:footnoteRef/>
      </w:r>
      <w:r>
        <w:t xml:space="preserve"> 13 CFR § 121.201 (2012) (NAICS Code 517110).</w:t>
      </w:r>
    </w:p>
  </w:footnote>
  <w:footnote w:id="49">
    <w:p w:rsidR="00564804">
      <w:pPr>
        <w:pStyle w:val="FootnoteText"/>
        <w:widowControl w:val="0"/>
        <w:rPr>
          <w:color w:val="0000FF"/>
          <w:u w:val="single"/>
        </w:rPr>
      </w:pPr>
      <w:r>
        <w:rPr>
          <w:rStyle w:val="FootnoteReference"/>
          <w:sz w:val="20"/>
        </w:rPr>
        <w:footnoteRef/>
      </w:r>
      <w:r>
        <w:t xml:space="preserve">  </w:t>
      </w:r>
      <w:r>
        <w:rPr>
          <w:i/>
        </w:rPr>
        <w:t xml:space="preserve">See </w:t>
      </w:r>
      <w:r>
        <w:t>U.S. Census Bureau, Table No. EC1251SSSZ5,</w:t>
      </w:r>
      <w:r>
        <w:rPr>
          <w:i/>
        </w:rPr>
        <w:t xml:space="preserve"> Information: Subject Series - Estab &amp; Firm Size: Employment Size of Firms for the U.S.: 2012; 2012 Economic Census of the United States</w:t>
      </w:r>
      <w:r>
        <w:t xml:space="preserve"> (Jan. 8, 2016), </w:t>
      </w:r>
      <w:hyperlink w:history="1"/>
      <w:hyperlink r:id="rId7" w:history="1">
        <w:r>
          <w:rPr>
            <w:rStyle w:val="Hyperlink"/>
          </w:rPr>
          <w:t>https://factfinder.census.gov/faces/tableservices/jsf/pages/productview.xhtml?pid=ECN_2012_US_51SSSZ5&amp;prodType=table</w:t>
        </w:r>
      </w:hyperlink>
      <w:r>
        <w:t xml:space="preserve">. </w:t>
      </w:r>
    </w:p>
  </w:footnote>
  <w:footnote w:id="50">
    <w:p w:rsidR="00564804">
      <w:pPr>
        <w:pStyle w:val="FootnoteText"/>
        <w:widowControl w:val="0"/>
      </w:pPr>
      <w:r>
        <w:rPr>
          <w:rStyle w:val="FootnoteReference"/>
          <w:sz w:val="20"/>
        </w:rPr>
        <w:footnoteRef/>
      </w:r>
      <w:r>
        <w:t xml:space="preserve"> </w:t>
      </w:r>
      <w:r>
        <w:rPr>
          <w:i/>
        </w:rPr>
        <w:t>See</w:t>
      </w:r>
      <w:r>
        <w:t xml:space="preserve"> </w:t>
      </w:r>
      <w:r>
        <w:rPr>
          <w:i/>
        </w:rPr>
        <w:t>Communications Marketplace Report et al.</w:t>
      </w:r>
      <w:r>
        <w:t>,</w:t>
      </w:r>
      <w:r>
        <w:rPr>
          <w:i/>
        </w:rPr>
        <w:t xml:space="preserve"> </w:t>
      </w:r>
      <w:r>
        <w:t xml:space="preserve">GN Docket No. 18-231 et al., Report, FCC 18-131, 2018 WL 6839365, at *20, paras. 50-51 (Dec. 26, 2018).  </w:t>
      </w:r>
    </w:p>
  </w:footnote>
  <w:footnote w:id="51">
    <w:p w:rsidR="00564804">
      <w:pPr>
        <w:pStyle w:val="FootnoteText"/>
      </w:pPr>
      <w:r>
        <w:rPr>
          <w:rStyle w:val="FootnoteReference"/>
        </w:rPr>
        <w:footnoteRef/>
      </w:r>
      <w:r>
        <w:t xml:space="preserve"> </w:t>
      </w:r>
      <w:r>
        <w:rPr>
          <w:i/>
        </w:rPr>
        <w:t>See</w:t>
      </w:r>
      <w:r>
        <w:t xml:space="preserve"> 13 CFR § 120.201.  The Wired Telecommunications Carrier category formerly used the NAICS code of 517110.  As of 2017 the U.S. Census Bureau definition shows the NAICS code as 517311 for Wired Telecommunications Carriers.  </w:t>
      </w:r>
      <w:r>
        <w:rPr>
          <w:i/>
        </w:rPr>
        <w:t>See</w:t>
      </w:r>
      <w:r>
        <w:t xml:space="preserve"> </w:t>
      </w:r>
      <w:hyperlink r:id="rId8" w:history="1">
        <w:r>
          <w:rPr>
            <w:rStyle w:val="Hyperlink"/>
          </w:rPr>
          <w:t>https://www.census.gov/cgi-bin/sssd/naics/naicsrch?code=517311&amp;search=2017</w:t>
        </w:r>
      </w:hyperlink>
      <w:r>
        <w:t xml:space="preserve">. </w:t>
      </w:r>
    </w:p>
  </w:footnote>
  <w:footnote w:id="52">
    <w:p w:rsidR="00564804">
      <w:pPr>
        <w:pStyle w:val="FootnoteText"/>
      </w:pPr>
      <w:r>
        <w:rPr>
          <w:rStyle w:val="FootnoteReference"/>
        </w:rPr>
        <w:footnoteRef/>
      </w:r>
      <w:r>
        <w:t xml:space="preserve"> </w:t>
      </w:r>
      <w:r>
        <w:rPr>
          <w:i/>
        </w:rPr>
        <w:t>Id</w:t>
      </w:r>
      <w:r>
        <w:t>.</w:t>
      </w:r>
    </w:p>
  </w:footnote>
  <w:footnote w:id="53">
    <w:p w:rsidR="00564804">
      <w:pPr>
        <w:pStyle w:val="FootnoteText"/>
      </w:pPr>
      <w:r>
        <w:rPr>
          <w:rStyle w:val="FootnoteReference"/>
        </w:rPr>
        <w:footnoteRef/>
      </w:r>
      <w:r>
        <w:t xml:space="preserve"> </w:t>
      </w:r>
      <w:bookmarkStart w:id="52" w:name="_Hlk500769671"/>
      <w:r>
        <w:rPr>
          <w:i/>
        </w:rPr>
        <w:t xml:space="preserve">See </w:t>
      </w:r>
      <w:r>
        <w:t xml:space="preserve">U.S. Census Bureau, </w:t>
      </w:r>
      <w:r>
        <w:rPr>
          <w:i/>
        </w:rPr>
        <w:t>2012 Economic Census of the United States</w:t>
      </w:r>
      <w:r>
        <w:t xml:space="preserve">, Tbl. EC1251SSSZ5, Information: Subject Series - Estab &amp; Firm Size: Employment Size of Firms: 2012 (517110 Wired Telecommunications Carriers). </w:t>
      </w:r>
      <w:hyperlink r:id="rId9" w:history="1">
        <w:r>
          <w:rPr>
            <w:rStyle w:val="Hyperlink"/>
          </w:rPr>
          <w:t>https://factfinder.census.gov/bkmk/table/1.0/en/ECN/2012_US/51SSSZ5//naics~517110</w:t>
        </w:r>
      </w:hyperlink>
      <w:r>
        <w:t>.</w:t>
      </w:r>
      <w:bookmarkEnd w:id="52"/>
    </w:p>
  </w:footnote>
  <w:footnote w:id="54">
    <w:p w:rsidR="00564804">
      <w:pPr>
        <w:pStyle w:val="FootnoteText"/>
      </w:pPr>
      <w:r>
        <w:rPr>
          <w:rStyle w:val="FootnoteReference"/>
        </w:rPr>
        <w:footnoteRef/>
      </w:r>
      <w:r>
        <w:t xml:space="preserve"> </w:t>
      </w:r>
      <w:r>
        <w:rPr>
          <w:i/>
        </w:rPr>
        <w:t>Id</w:t>
      </w:r>
      <w:r>
        <w:t xml:space="preserve">. </w:t>
      </w:r>
    </w:p>
  </w:footnote>
  <w:footnote w:id="55">
    <w:p w:rsidR="00564804">
      <w:pPr>
        <w:pStyle w:val="FootnoteText"/>
      </w:pPr>
      <w:r>
        <w:rPr>
          <w:rStyle w:val="FootnoteReference"/>
        </w:rPr>
        <w:footnoteRef/>
      </w:r>
      <w:r>
        <w:t xml:space="preserve"> </w:t>
      </w:r>
      <w:r>
        <w:rPr>
          <w:i/>
        </w:rPr>
        <w:t xml:space="preserve">See </w:t>
      </w:r>
      <w:r>
        <w:t>13 CFR § 120.201, NAICS Code 517311.</w:t>
      </w:r>
    </w:p>
  </w:footnote>
  <w:footnote w:id="56">
    <w:p w:rsidR="00564804">
      <w:pPr>
        <w:autoSpaceDE w:val="0"/>
        <w:autoSpaceDN w:val="0"/>
        <w:adjustRightInd w:val="0"/>
        <w:spacing w:after="120"/>
        <w:rPr>
          <w:rFonts w:ascii="Times New Roman" w:hAnsi="Times New Roman" w:cs="Times New Roman"/>
          <w:sz w:val="20"/>
          <w:szCs w:val="20"/>
        </w:rPr>
      </w:pPr>
      <w:r>
        <w:rPr>
          <w:rStyle w:val="FootnoteReference"/>
        </w:rPr>
        <w:footnoteRef/>
      </w:r>
      <w:r>
        <w:rPr>
          <w:sz w:val="20"/>
        </w:rPr>
        <w:t xml:space="preserve"> </w:t>
      </w:r>
      <w:r>
        <w:rPr>
          <w:rFonts w:ascii="Times New Roman" w:hAnsi="Times New Roman" w:cs="Times New Roman"/>
          <w:i/>
          <w:sz w:val="20"/>
          <w:szCs w:val="20"/>
        </w:rPr>
        <w:t>See</w:t>
      </w:r>
      <w:r>
        <w:rPr>
          <w:rFonts w:ascii="Times New Roman" w:hAnsi="Times New Roman" w:cs="Times New Roman"/>
          <w:sz w:val="20"/>
          <w:szCs w:val="20"/>
        </w:rPr>
        <w:t xml:space="preserve"> U.S. Census Bureau, </w:t>
      </w:r>
      <w:r>
        <w:rPr>
          <w:rFonts w:ascii="Times New Roman" w:hAnsi="Times New Roman" w:cs="Times New Roman"/>
          <w:i/>
          <w:sz w:val="20"/>
          <w:szCs w:val="20"/>
        </w:rPr>
        <w:t>2012 Economic Census of the United States</w:t>
      </w:r>
      <w:r>
        <w:rPr>
          <w:rFonts w:ascii="Times New Roman" w:hAnsi="Times New Roman" w:cs="Times New Roman"/>
          <w:sz w:val="20"/>
          <w:szCs w:val="20"/>
        </w:rPr>
        <w:t xml:space="preserve">, Tbl. EC1251SSSZ5, Information: Subject Series - Estab &amp; Firm Size: Employment Size of Firms: 2012 (517110 Wired Telecommunications Carriers). </w:t>
      </w:r>
      <w:hyperlink r:id="rId9" w:history="1">
        <w:r>
          <w:rPr>
            <w:rStyle w:val="Hyperlink"/>
            <w:rFonts w:ascii="Times New Roman" w:hAnsi="Times New Roman" w:cs="Times New Roman"/>
            <w:sz w:val="20"/>
            <w:szCs w:val="20"/>
          </w:rPr>
          <w:t>https://factfinder.census.gov/bkmk/table/1.0/en/ECN/2012_US/51SSSZ5//naics~517110</w:t>
        </w:r>
      </w:hyperlink>
      <w:r>
        <w:rPr>
          <w:rFonts w:ascii="Times New Roman" w:hAnsi="Times New Roman" w:cs="Times New Roman"/>
          <w:sz w:val="20"/>
          <w:szCs w:val="20"/>
        </w:rPr>
        <w:t xml:space="preserve">. </w:t>
      </w:r>
    </w:p>
  </w:footnote>
  <w:footnote w:id="57">
    <w:p w:rsidR="00564804">
      <w:pPr>
        <w:pStyle w:val="FootnoteText"/>
      </w:pPr>
      <w:r>
        <w:rPr>
          <w:rStyle w:val="FootnoteReference"/>
          <w:sz w:val="20"/>
        </w:rPr>
        <w:footnoteRef/>
      </w:r>
      <w:r>
        <w:t xml:space="preserve"> </w:t>
      </w:r>
      <w:r>
        <w:rPr>
          <w:i/>
          <w:iCs/>
        </w:rPr>
        <w:t xml:space="preserve">See </w:t>
      </w:r>
      <w:r>
        <w:t>13 CFR § 120.201, NAICS Code 517311.</w:t>
      </w:r>
    </w:p>
  </w:footnote>
  <w:footnote w:id="58">
    <w:p w:rsidR="00564804">
      <w:pPr>
        <w:autoSpaceDE w:val="0"/>
        <w:autoSpaceDN w:val="0"/>
        <w:adjustRightInd w:val="0"/>
        <w:spacing w:after="120"/>
        <w:rPr>
          <w:rFonts w:ascii="Times New Roman" w:hAnsi="Times New Roman" w:cs="Times New Roman"/>
          <w:sz w:val="20"/>
          <w:szCs w:val="20"/>
        </w:rPr>
      </w:pPr>
      <w:r>
        <w:rPr>
          <w:rStyle w:val="FootnoteReference"/>
          <w:rFonts w:cs="Times New Roman"/>
          <w:sz w:val="20"/>
          <w:szCs w:val="20"/>
        </w:rPr>
        <w:footnoteRef/>
      </w:r>
      <w:r>
        <w:rPr>
          <w:rFonts w:ascii="Times New Roman" w:hAnsi="Times New Roman" w:cs="Times New Roman"/>
          <w:sz w:val="20"/>
          <w:szCs w:val="20"/>
        </w:rPr>
        <w:t xml:space="preserve"> U.S. Census Bureau, </w:t>
      </w:r>
      <w:r>
        <w:rPr>
          <w:rFonts w:ascii="Times New Roman" w:hAnsi="Times New Roman" w:cs="Times New Roman"/>
          <w:i/>
          <w:sz w:val="20"/>
          <w:szCs w:val="20"/>
        </w:rPr>
        <w:t>2012 Economic Census of the United States</w:t>
      </w:r>
      <w:r>
        <w:rPr>
          <w:rFonts w:ascii="Times New Roman" w:hAnsi="Times New Roman" w:cs="Times New Roman"/>
          <w:sz w:val="20"/>
          <w:szCs w:val="20"/>
        </w:rPr>
        <w:t>, Tbl. EC1251SSSZ5, Information: Subject Series - Estab &amp; Firm Size: Employment Size of Firms: 2012</w:t>
      </w:r>
      <w:r>
        <w:rPr>
          <w:rFonts w:ascii="Times New Roman" w:hAnsi="Times New Roman" w:cs="Times New Roman"/>
          <w:i/>
          <w:sz w:val="20"/>
          <w:szCs w:val="20"/>
        </w:rPr>
        <w:t xml:space="preserve"> </w:t>
      </w:r>
      <w:r>
        <w:rPr>
          <w:rFonts w:ascii="Times New Roman" w:hAnsi="Times New Roman" w:cs="Times New Roman"/>
          <w:sz w:val="20"/>
          <w:szCs w:val="20"/>
        </w:rPr>
        <w:t xml:space="preserve">(517110 Wired Telecommunications Carriers). </w:t>
      </w:r>
      <w:hyperlink r:id="rId9" w:history="1">
        <w:r>
          <w:rPr>
            <w:rStyle w:val="Hyperlink"/>
            <w:rFonts w:ascii="Times New Roman" w:hAnsi="Times New Roman" w:cs="Times New Roman"/>
            <w:sz w:val="20"/>
            <w:szCs w:val="20"/>
          </w:rPr>
          <w:t>https://factfinder.census.gov/bkmk/table/1.0/en/ECN/2012_US/51SSSZ5//naics~517110</w:t>
        </w:r>
      </w:hyperlink>
      <w:r>
        <w:rPr>
          <w:rFonts w:ascii="Times New Roman" w:hAnsi="Times New Roman" w:cs="Times New Roman"/>
          <w:sz w:val="20"/>
          <w:szCs w:val="20"/>
        </w:rPr>
        <w:t xml:space="preserve">. </w:t>
      </w:r>
    </w:p>
  </w:footnote>
  <w:footnote w:id="59">
    <w:p w:rsidR="00564804">
      <w:pPr>
        <w:autoSpaceDE w:val="0"/>
        <w:autoSpaceDN w:val="0"/>
        <w:adjustRightInd w:val="0"/>
        <w:spacing w:after="120"/>
        <w:rPr>
          <w:rFonts w:ascii="Times New Roman" w:hAnsi="Times New Roman" w:cs="Times New Roman"/>
          <w:sz w:val="20"/>
          <w:szCs w:val="20"/>
        </w:rPr>
      </w:pPr>
      <w:r>
        <w:rPr>
          <w:rStyle w:val="FootnoteReference"/>
          <w:rFonts w:cs="Times New Roman"/>
          <w:sz w:val="20"/>
          <w:szCs w:val="20"/>
        </w:rPr>
        <w:footnoteRef/>
      </w:r>
      <w:r>
        <w:rPr>
          <w:rFonts w:ascii="Times New Roman" w:hAnsi="Times New Roman" w:cs="Times New Roman"/>
          <w:sz w:val="20"/>
          <w:szCs w:val="20"/>
        </w:rPr>
        <w:t xml:space="preserve"> </w:t>
      </w:r>
      <w:r>
        <w:rPr>
          <w:rFonts w:ascii="Times New Roman" w:hAnsi="Times New Roman" w:cs="Times New Roman"/>
          <w:i/>
          <w:iCs/>
          <w:sz w:val="20"/>
          <w:szCs w:val="20"/>
        </w:rPr>
        <w:t>See Trends in Telephone Service</w:t>
      </w:r>
      <w:r>
        <w:rPr>
          <w:rFonts w:ascii="Times New Roman" w:hAnsi="Times New Roman" w:cs="Times New Roman"/>
          <w:sz w:val="20"/>
          <w:szCs w:val="20"/>
        </w:rPr>
        <w:t>, Federal Communications Commission, Wireline Competition Bureau, Industry Analysis and Technology Division at Tbl. 5.3 (Sept. 2010) (</w:t>
      </w:r>
      <w:r>
        <w:rPr>
          <w:rFonts w:ascii="Times New Roman" w:hAnsi="Times New Roman" w:cs="Times New Roman"/>
          <w:i/>
          <w:iCs/>
          <w:sz w:val="20"/>
          <w:szCs w:val="20"/>
        </w:rPr>
        <w:t>Trends in Telephone Service</w:t>
      </w:r>
      <w:r>
        <w:rPr>
          <w:rFonts w:ascii="Times New Roman" w:hAnsi="Times New Roman" w:cs="Times New Roman"/>
          <w:sz w:val="20"/>
          <w:szCs w:val="20"/>
        </w:rPr>
        <w:t>).</w:t>
      </w:r>
    </w:p>
  </w:footnote>
  <w:footnote w:id="60">
    <w:p w:rsidR="00564804">
      <w:pPr>
        <w:pStyle w:val="FootnoteText"/>
      </w:pPr>
      <w:r>
        <w:rPr>
          <w:rStyle w:val="FootnoteReference"/>
          <w:sz w:val="20"/>
        </w:rPr>
        <w:footnoteRef/>
      </w:r>
      <w:r>
        <w:t xml:space="preserve"> </w:t>
      </w:r>
      <w:r>
        <w:rPr>
          <w:i/>
        </w:rPr>
        <w:t>Id.</w:t>
      </w:r>
    </w:p>
  </w:footnote>
  <w:footnote w:id="61">
    <w:p w:rsidR="00564804">
      <w:pPr>
        <w:pStyle w:val="FootnoteText"/>
      </w:pPr>
      <w:r>
        <w:rPr>
          <w:rStyle w:val="FootnoteReference"/>
        </w:rPr>
        <w:footnoteRef/>
      </w:r>
      <w:r>
        <w:rPr>
          <w:color w:val="000000"/>
        </w:rPr>
        <w:t xml:space="preserve"> U.S. Census Bureau, </w:t>
      </w:r>
      <w:r>
        <w:rPr>
          <w:i/>
          <w:color w:val="000000"/>
        </w:rPr>
        <w:t>2012 Economic Census of the United States</w:t>
      </w:r>
      <w:r>
        <w:rPr>
          <w:color w:val="000000"/>
        </w:rPr>
        <w:t xml:space="preserve">, Tbl. EC1251SSSZ5, Information: Subject Series - Estab &amp; Firm Size: Employment Size of Firms: 2012 (517110 Wired Telecommunications Carriers). </w:t>
      </w:r>
      <w:hyperlink r:id="rId9" w:history="1">
        <w:r>
          <w:rPr>
            <w:rStyle w:val="Hyperlink"/>
          </w:rPr>
          <w:t>https://factfinder.census.gov/bkmk/table/1.0/en/ECN/2012_US/51SSSZ5//naics~517110</w:t>
        </w:r>
      </w:hyperlink>
      <w:r>
        <w:rPr>
          <w:color w:val="000000"/>
        </w:rPr>
        <w:t xml:space="preserve">. </w:t>
      </w:r>
    </w:p>
  </w:footnote>
  <w:footnote w:id="62">
    <w:p w:rsidR="00564804">
      <w:pPr>
        <w:pStyle w:val="FootnoteText"/>
      </w:pPr>
      <w:r>
        <w:rPr>
          <w:rStyle w:val="FootnoteReference"/>
        </w:rPr>
        <w:footnoteRef/>
      </w:r>
      <w:r>
        <w:t xml:space="preserve"> </w:t>
      </w:r>
      <w:r>
        <w:rPr>
          <w:i/>
          <w:iCs/>
        </w:rPr>
        <w:t xml:space="preserve">See Trends in Telephone Service </w:t>
      </w:r>
      <w:r>
        <w:t>at Tbl. 5.3.</w:t>
      </w:r>
    </w:p>
  </w:footnote>
  <w:footnote w:id="63">
    <w:p w:rsidR="00564804">
      <w:pPr>
        <w:pStyle w:val="FootnoteText"/>
      </w:pPr>
      <w:r>
        <w:rPr>
          <w:rStyle w:val="FootnoteReference"/>
        </w:rPr>
        <w:footnoteRef/>
      </w:r>
      <w:r>
        <w:t xml:space="preserve"> </w:t>
      </w:r>
      <w:r>
        <w:rPr>
          <w:i/>
        </w:rPr>
        <w:t>Id.</w:t>
      </w:r>
    </w:p>
  </w:footnote>
  <w:footnote w:id="64">
    <w:p w:rsidR="00564804">
      <w:pPr>
        <w:pStyle w:val="FootnoteText"/>
      </w:pPr>
      <w:r>
        <w:rPr>
          <w:rStyle w:val="FootnoteReference"/>
        </w:rPr>
        <w:footnoteRef/>
      </w:r>
      <w:r>
        <w:t xml:space="preserve"> </w:t>
      </w:r>
      <w:r>
        <w:rPr>
          <w:i/>
        </w:rPr>
        <w:t>Id.</w:t>
      </w:r>
    </w:p>
  </w:footnote>
  <w:footnote w:id="65">
    <w:p w:rsidR="00564804">
      <w:pPr>
        <w:pStyle w:val="FootnoteText"/>
      </w:pPr>
      <w:r>
        <w:rPr>
          <w:rStyle w:val="FootnoteReference"/>
        </w:rPr>
        <w:footnoteRef/>
      </w:r>
      <w:r>
        <w:t xml:space="preserve"> </w:t>
      </w:r>
      <w:r>
        <w:rPr>
          <w:i/>
        </w:rPr>
        <w:t>Id.</w:t>
      </w:r>
    </w:p>
  </w:footnote>
  <w:footnote w:id="66">
    <w:p w:rsidR="00564804">
      <w:pPr>
        <w:pStyle w:val="FootnoteText"/>
      </w:pPr>
      <w:r>
        <w:rPr>
          <w:rStyle w:val="FootnoteReference"/>
        </w:rPr>
        <w:footnoteRef/>
      </w:r>
      <w:r>
        <w:t xml:space="preserve"> 5 U.S.C. § 601(3).</w:t>
      </w:r>
    </w:p>
  </w:footnote>
  <w:footnote w:id="67">
    <w:p w:rsidR="00564804">
      <w:pPr>
        <w:pStyle w:val="FootnoteText"/>
      </w:pPr>
      <w:r>
        <w:rPr>
          <w:rStyle w:val="FootnoteReference"/>
        </w:rPr>
        <w:footnoteRef/>
      </w:r>
      <w:r>
        <w:t xml:space="preserve"> Letter from Jere W. Glover, Chief Counsel for Advocacy, SBA, to William E. Kennard, Chairman, FCC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68">
    <w:p w:rsidR="00564804">
      <w:pPr>
        <w:pStyle w:val="FootnoteText"/>
      </w:pPr>
      <w:r>
        <w:rPr>
          <w:rStyle w:val="FootnoteReference"/>
        </w:rPr>
        <w:footnoteRef/>
      </w:r>
      <w:r>
        <w:t xml:space="preserve"> 13 CFR § 121.201, NAICS Code 517311.</w:t>
      </w:r>
    </w:p>
  </w:footnote>
  <w:footnote w:id="69">
    <w:p w:rsidR="00564804">
      <w:pPr>
        <w:pStyle w:val="FootnoteText"/>
      </w:pPr>
      <w:r>
        <w:rPr>
          <w:rStyle w:val="FootnoteReference"/>
        </w:rPr>
        <w:footnoteRef/>
      </w:r>
      <w:r>
        <w:t xml:space="preserve"> </w:t>
      </w:r>
      <w:r>
        <w:rPr>
          <w:i/>
          <w:iCs/>
        </w:rPr>
        <w:t xml:space="preserve">See Trends in Telephone Service </w:t>
      </w:r>
      <w:r>
        <w:t>at Tbl. 5.3.</w:t>
      </w:r>
    </w:p>
  </w:footnote>
  <w:footnote w:id="70">
    <w:p w:rsidR="00564804">
      <w:pPr>
        <w:pStyle w:val="FootnoteText"/>
      </w:pPr>
      <w:r>
        <w:rPr>
          <w:rStyle w:val="FootnoteReference"/>
        </w:rPr>
        <w:footnoteRef/>
      </w:r>
      <w:r>
        <w:t xml:space="preserve"> </w:t>
      </w:r>
      <w:r>
        <w:rPr>
          <w:i/>
        </w:rPr>
        <w:t>Id.</w:t>
      </w:r>
    </w:p>
  </w:footnote>
  <w:footnote w:id="71">
    <w:p w:rsidR="00564804">
      <w:pPr>
        <w:spacing w:after="120"/>
        <w:rPr>
          <w:rFonts w:ascii="Times New Roman" w:hAnsi="Times New Roman" w:cs="Times New Roman"/>
          <w:sz w:val="20"/>
          <w:szCs w:val="20"/>
        </w:rPr>
      </w:pPr>
      <w:r>
        <w:rPr>
          <w:rStyle w:val="FootnoteReference"/>
          <w:rFonts w:cs="Times New Roman"/>
          <w:sz w:val="20"/>
          <w:szCs w:val="20"/>
        </w:rPr>
        <w:footnoteRef/>
      </w:r>
      <w:r>
        <w:rPr>
          <w:rFonts w:ascii="Times New Roman" w:hAnsi="Times New Roman" w:cs="Times New Roman"/>
          <w:sz w:val="20"/>
          <w:szCs w:val="20"/>
        </w:rPr>
        <w:t xml:space="preserve"> 13 CFR § 121.201, NAICS Code 517311.</w:t>
      </w:r>
    </w:p>
  </w:footnote>
  <w:footnote w:id="72">
    <w:p w:rsidR="00564804">
      <w:pPr>
        <w:pStyle w:val="FootnoteText"/>
      </w:pPr>
      <w:r>
        <w:rPr>
          <w:rStyle w:val="FootnoteReference"/>
          <w:sz w:val="20"/>
        </w:rPr>
        <w:footnoteRef/>
      </w:r>
      <w:r>
        <w:t xml:space="preserve"> </w:t>
      </w:r>
      <w:r>
        <w:rPr>
          <w:i/>
        </w:rPr>
        <w:t>Trends in Telephone Service</w:t>
      </w:r>
      <w:r>
        <w:t xml:space="preserve"> at Tbl. 5.3.</w:t>
      </w:r>
    </w:p>
  </w:footnote>
  <w:footnote w:id="73">
    <w:p w:rsidR="00564804">
      <w:pPr>
        <w:pStyle w:val="FootnoteText"/>
      </w:pPr>
      <w:r>
        <w:rPr>
          <w:rStyle w:val="FootnoteReference"/>
        </w:rPr>
        <w:footnoteRef/>
      </w:r>
      <w:r>
        <w:t xml:space="preserve"> </w:t>
      </w:r>
      <w:bookmarkStart w:id="53" w:name="_Hlk500769756"/>
      <w:r>
        <w:rPr>
          <w:i/>
        </w:rPr>
        <w:t xml:space="preserve">See </w:t>
      </w:r>
      <w:r>
        <w:t xml:space="preserve">U.S. Census Bureau, </w:t>
      </w:r>
      <w:r>
        <w:rPr>
          <w:i/>
        </w:rPr>
        <w:t>2012 Economic Census of the United States</w:t>
      </w:r>
      <w:r>
        <w:t xml:space="preserve">, Tbl. EC1251SSSZ5, Information: Subject Series - Estab &amp; Firm Size: Employment Size of Firms: 2012 (517110 Wired Telecommunications Carriers). </w:t>
      </w:r>
      <w:hyperlink r:id="rId9" w:history="1">
        <w:r>
          <w:rPr>
            <w:rStyle w:val="Hyperlink"/>
          </w:rPr>
          <w:t>https://factfinder.census.gov/bkmk/table/1.0/en/ECN/2012_US/51SSSZ5//naics~517110</w:t>
        </w:r>
      </w:hyperlink>
      <w:bookmarkEnd w:id="53"/>
      <w:r>
        <w:t xml:space="preserve">. </w:t>
      </w:r>
    </w:p>
  </w:footnote>
  <w:footnote w:id="74">
    <w:p w:rsidR="00564804">
      <w:pPr>
        <w:pStyle w:val="FootnoteText"/>
      </w:pPr>
      <w:r>
        <w:rPr>
          <w:rStyle w:val="FootnoteReference"/>
        </w:rPr>
        <w:footnoteRef/>
      </w:r>
      <w:r>
        <w:t xml:space="preserve"> </w:t>
      </w:r>
      <w:r>
        <w:rPr>
          <w:i/>
        </w:rPr>
        <w:t>Trends in Telephone Service</w:t>
      </w:r>
      <w:r>
        <w:t xml:space="preserve"> at Tbl. 5.3.</w:t>
      </w:r>
    </w:p>
  </w:footnote>
  <w:footnote w:id="75">
    <w:p w:rsidR="00564804">
      <w:pPr>
        <w:pStyle w:val="FootnoteText"/>
      </w:pPr>
      <w:r>
        <w:rPr>
          <w:rStyle w:val="FootnoteReference"/>
        </w:rPr>
        <w:footnoteRef/>
      </w:r>
      <w:r>
        <w:t xml:space="preserve"> </w:t>
      </w:r>
      <w:r>
        <w:rPr>
          <w:color w:val="000000"/>
        </w:rPr>
        <w:t xml:space="preserve">NAICS Code 517210.  </w:t>
      </w:r>
      <w:r>
        <w:rPr>
          <w:i/>
          <w:iCs/>
          <w:color w:val="000000"/>
        </w:rPr>
        <w:t xml:space="preserve">See </w:t>
      </w:r>
      <w:hyperlink r:id="rId10" w:history="1">
        <w:r>
          <w:rPr>
            <w:rStyle w:val="Hyperlink"/>
            <w:iCs/>
          </w:rPr>
          <w:t>https://www.census.gov/econ/isp/sampler.php?naicscode=517210&amp;naicslevel=6#</w:t>
        </w:r>
      </w:hyperlink>
      <w:r>
        <w:rPr>
          <w:iCs/>
          <w:color w:val="000000"/>
        </w:rPr>
        <w:t xml:space="preserve">. </w:t>
      </w:r>
    </w:p>
  </w:footnote>
  <w:footnote w:id="76">
    <w:p w:rsidR="00564804">
      <w:pPr>
        <w:autoSpaceDE w:val="0"/>
        <w:autoSpaceDN w:val="0"/>
        <w:adjustRightInd w:val="0"/>
        <w:spacing w:after="120"/>
        <w:rPr>
          <w:rFonts w:ascii="Times New Roman" w:hAnsi="Times New Roman" w:cs="Times New Roman"/>
          <w:sz w:val="20"/>
          <w:szCs w:val="20"/>
        </w:rPr>
      </w:pPr>
      <w:r>
        <w:rPr>
          <w:rStyle w:val="FootnoteReference"/>
          <w:rFonts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2012 U.S. Economic Census, NAICS Code 517210, </w:t>
      </w:r>
      <w:hyperlink r:id="rId11" w:history="1">
        <w:r>
          <w:rPr>
            <w:rStyle w:val="Hyperlink"/>
            <w:rFonts w:ascii="Times New Roman" w:hAnsi="Times New Roman" w:cs="Times New Roman"/>
            <w:sz w:val="20"/>
            <w:szCs w:val="20"/>
          </w:rPr>
          <w:t>http://factfinder.census.gov/faces/tableservices/jsf/pages/productview.xhtml?pid=ECN_2012_US_51SSSZ5&amp;prodType=table</w:t>
        </w:r>
      </w:hyperlink>
      <w:r>
        <w:rPr>
          <w:rFonts w:ascii="Times New Roman" w:hAnsi="Times New Roman" w:cs="Times New Roman"/>
          <w:sz w:val="20"/>
          <w:szCs w:val="20"/>
        </w:rPr>
        <w:t>.</w:t>
      </w:r>
    </w:p>
  </w:footnote>
  <w:footnote w:id="77">
    <w:p w:rsidR="00564804">
      <w:pPr>
        <w:pStyle w:val="FootnoteText"/>
      </w:pPr>
      <w:r>
        <w:rPr>
          <w:rStyle w:val="FootnoteReference"/>
          <w:sz w:val="20"/>
        </w:rPr>
        <w:footnoteRef/>
      </w:r>
      <w:r>
        <w:t xml:space="preserve"> </w:t>
      </w:r>
      <w:r>
        <w:rPr>
          <w:i/>
          <w:iCs/>
        </w:rPr>
        <w:t xml:space="preserve">See Trends in Telephone Service </w:t>
      </w:r>
      <w:r>
        <w:t>at Tbl. 5.3.</w:t>
      </w:r>
    </w:p>
  </w:footnote>
  <w:footnote w:id="78">
    <w:p w:rsidR="00564804">
      <w:pPr>
        <w:pStyle w:val="FootnoteText"/>
      </w:pPr>
      <w:r>
        <w:rPr>
          <w:rStyle w:val="FootnoteReference"/>
          <w:sz w:val="20"/>
        </w:rPr>
        <w:footnoteRef/>
      </w:r>
      <w:r>
        <w:t xml:space="preserve"> </w:t>
      </w:r>
      <w:r>
        <w:rPr>
          <w:i/>
        </w:rPr>
        <w:t>Id.</w:t>
      </w:r>
    </w:p>
  </w:footnote>
  <w:footnote w:id="79">
    <w:p w:rsidR="00564804">
      <w:pPr>
        <w:pStyle w:val="FootnoteText"/>
        <w:rPr>
          <w:b/>
        </w:rPr>
      </w:pPr>
      <w:r>
        <w:rPr>
          <w:rStyle w:val="FootnoteReference"/>
        </w:rPr>
        <w:footnoteRef/>
      </w:r>
      <w:r>
        <w:t xml:space="preserve"> </w:t>
      </w:r>
      <w:r>
        <w:rPr>
          <w:bCs/>
          <w:i/>
          <w:iCs/>
        </w:rPr>
        <w:t xml:space="preserve">See </w:t>
      </w:r>
      <w:hyperlink r:id="rId12" w:history="1">
        <w:r>
          <w:rPr>
            <w:rStyle w:val="Hyperlink"/>
          </w:rPr>
          <w:t>http://wireless.fcc.gov/uls</w:t>
        </w:r>
      </w:hyperlink>
      <w:r>
        <w:rPr>
          <w:bCs/>
        </w:rPr>
        <w:t>.</w:t>
      </w:r>
      <w:r>
        <w:t xml:space="preserve">  For the purposes of this IRFA, consistent with Commission practice for wireless services, the Commission estimates the number of licensees based on the number of unique FCC Registration Numbers.  </w:t>
      </w:r>
    </w:p>
  </w:footnote>
  <w:footnote w:id="80">
    <w:p w:rsidR="00564804">
      <w:pPr>
        <w:pStyle w:val="FootnoteText"/>
      </w:pPr>
      <w:r>
        <w:rPr>
          <w:rStyle w:val="FootnoteReference"/>
        </w:rPr>
        <w:footnoteRef/>
      </w:r>
      <w:r>
        <w:t xml:space="preserve"> </w:t>
      </w:r>
      <w:r>
        <w:rPr>
          <w:i/>
        </w:rPr>
        <w:t xml:space="preserve">See Trends in Telephone Service </w:t>
      </w:r>
      <w:r>
        <w:t>at Tbl. 5.3</w:t>
      </w:r>
      <w:r>
        <w:rPr>
          <w:i/>
        </w:rPr>
        <w:t>.</w:t>
      </w:r>
    </w:p>
  </w:footnote>
  <w:footnote w:id="81">
    <w:p w:rsidR="00564804">
      <w:pPr>
        <w:pStyle w:val="FootnoteText"/>
      </w:pPr>
      <w:r>
        <w:rPr>
          <w:rStyle w:val="FootnoteReference"/>
        </w:rPr>
        <w:footnoteRef/>
      </w:r>
      <w:r>
        <w:t xml:space="preserve"> </w:t>
      </w:r>
      <w:r>
        <w:rPr>
          <w:i/>
        </w:rPr>
        <w:t>See id</w:t>
      </w:r>
      <w:r>
        <w:t>.</w:t>
      </w:r>
    </w:p>
  </w:footnote>
  <w:footnote w:id="82">
    <w:p w:rsidR="00564804">
      <w:pPr>
        <w:pStyle w:val="FootnoteText"/>
      </w:pPr>
      <w:r>
        <w:rPr>
          <w:rStyle w:val="FootnoteReference"/>
        </w:rPr>
        <w:footnoteRef/>
      </w:r>
      <w:r>
        <w:t xml:space="preserve"> </w:t>
      </w:r>
      <w:r>
        <w:rPr>
          <w:rStyle w:val="Footnote"/>
          <w:i/>
        </w:rPr>
        <w:t>Amendment of the Commission’s Rules to Establish Part 27</w:t>
      </w:r>
      <w:r>
        <w:rPr>
          <w:rStyle w:val="Footnote"/>
        </w:rPr>
        <w:t>,</w:t>
      </w:r>
      <w:r>
        <w:rPr>
          <w:rStyle w:val="Footnote"/>
          <w:i/>
        </w:rPr>
        <w:t xml:space="preserve"> the Wireless Communications Service (WCS)</w:t>
      </w:r>
      <w:r>
        <w:rPr>
          <w:rStyle w:val="Footnote"/>
        </w:rPr>
        <w:t>, Report and Order, 12 FCC Rcd 10785, 10879, para. 194 (1997).</w:t>
      </w:r>
    </w:p>
  </w:footnote>
  <w:footnote w:id="83">
    <w:p w:rsidR="00564804">
      <w:pPr>
        <w:pStyle w:val="FootnoteText"/>
      </w:pPr>
      <w:r>
        <w:rPr>
          <w:rStyle w:val="FootnoteReference"/>
        </w:rPr>
        <w:footnoteRef/>
      </w:r>
      <w:r>
        <w:t xml:space="preserve"> </w:t>
      </w:r>
      <w:r>
        <w:rPr>
          <w:rStyle w:val="Footnote"/>
          <w:i/>
        </w:rPr>
        <w:t>See</w:t>
      </w:r>
      <w:r>
        <w:rPr>
          <w:rStyle w:val="Footnote"/>
        </w:rPr>
        <w:t xml:space="preserve"> </w:t>
      </w:r>
      <w:r>
        <w:t>Letter</w:t>
      </w:r>
      <w:r>
        <w:rPr>
          <w:rStyle w:val="Footnote"/>
        </w:rPr>
        <w:t xml:space="preserve"> from Aida Alvarez, Administrator, SBA, to Amy Zoslov, Chief, Auctions and Industry Analysis Division, Wireless Telecommunications Bureau, FCC (filed Dec. 2, 1998)</w:t>
      </w:r>
      <w:r>
        <w:rPr>
          <w:rStyle w:val="Footnote"/>
          <w:i/>
        </w:rPr>
        <w:t xml:space="preserve"> </w:t>
      </w:r>
      <w:r>
        <w:rPr>
          <w:rStyle w:val="Footnote"/>
        </w:rPr>
        <w:t>(</w:t>
      </w:r>
      <w:r>
        <w:rPr>
          <w:rStyle w:val="Footnote"/>
          <w:i/>
        </w:rPr>
        <w:t>Alvarez Letter 1998</w:t>
      </w:r>
      <w:r>
        <w:rPr>
          <w:rStyle w:val="Footnote"/>
        </w:rPr>
        <w:t>).</w:t>
      </w:r>
    </w:p>
  </w:footnote>
  <w:footnote w:id="84">
    <w:p w:rsidR="00564804">
      <w:pPr>
        <w:pStyle w:val="FootnoteText"/>
      </w:pPr>
      <w:r>
        <w:rPr>
          <w:rStyle w:val="Footnote"/>
          <w:vertAlign w:val="superscript"/>
        </w:rPr>
        <w:footnoteRef/>
      </w:r>
      <w:r>
        <w:rPr>
          <w:rStyle w:val="Footnote"/>
          <w:vertAlign w:val="superscript"/>
        </w:rPr>
        <w:t xml:space="preserve"> </w:t>
      </w:r>
      <w:r>
        <w:rPr>
          <w:rStyle w:val="Footnote"/>
        </w:rPr>
        <w:t xml:space="preserve">13 </w:t>
      </w:r>
      <w:r>
        <w:t>CFR</w:t>
      </w:r>
      <w:r>
        <w:rPr>
          <w:rStyle w:val="Footnote"/>
        </w:rPr>
        <w:t xml:space="preserve"> § 121.201, NAICS code 517210.</w:t>
      </w:r>
    </w:p>
  </w:footnote>
  <w:footnote w:id="85">
    <w:p w:rsidR="00564804">
      <w:pPr>
        <w:pStyle w:val="FootnoteText"/>
      </w:pPr>
      <w:r>
        <w:rPr>
          <w:rStyle w:val="Footnote"/>
          <w:vertAlign w:val="superscript"/>
        </w:rPr>
        <w:footnoteRef/>
      </w:r>
      <w:r>
        <w:rPr>
          <w:rStyle w:val="Footnote"/>
          <w:vertAlign w:val="superscript"/>
        </w:rPr>
        <w:t xml:space="preserve"> </w:t>
      </w:r>
      <w:r>
        <w:rPr>
          <w:rStyle w:val="Footnote"/>
          <w:i/>
        </w:rPr>
        <w:t>Id</w:t>
      </w:r>
      <w:r>
        <w:rPr>
          <w:rStyle w:val="Footnote"/>
        </w:rPr>
        <w:t>.</w:t>
      </w:r>
    </w:p>
  </w:footnote>
  <w:footnote w:id="86">
    <w:p w:rsidR="00564804">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EC1251SSSZ5, Information: Subject Series: Estab and Firm Size: Employment Size of Firms for the U.S.: 2012 NAICS Code 517210 (rel. Jan. 8, 2016).  </w:t>
      </w:r>
      <w:hyperlink r:id="rId13" w:history="1">
        <w:r>
          <w:rPr>
            <w:rStyle w:val="Hyperlink"/>
          </w:rPr>
          <w:t>https://factfinder.census.gov/bkmk/table/1.0/en/ECN/2012_US/51SSSZ5//naics~517210</w:t>
        </w:r>
      </w:hyperlink>
      <w:r>
        <w:rPr>
          <w:rStyle w:val="Hyperlink"/>
        </w:rPr>
        <w:t>.</w:t>
      </w:r>
    </w:p>
  </w:footnote>
  <w:footnote w:id="87">
    <w:p w:rsidR="00564804">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“1000 employees or more.”</w:t>
      </w:r>
    </w:p>
  </w:footnote>
  <w:footnote w:id="88">
    <w:p w:rsidR="00564804">
      <w:pPr>
        <w:pStyle w:val="FootnoteText"/>
      </w:pPr>
      <w:r>
        <w:rPr>
          <w:rStyle w:val="Footnote"/>
          <w:vertAlign w:val="superscript"/>
        </w:rPr>
        <w:footnoteRef/>
      </w:r>
      <w:r>
        <w:rPr>
          <w:rStyle w:val="Footnote"/>
          <w:vertAlign w:val="superscript"/>
        </w:rPr>
        <w:t xml:space="preserve"> </w:t>
      </w:r>
      <w:r>
        <w:rPr>
          <w:i/>
        </w:rPr>
        <w:t xml:space="preserve">See </w:t>
      </w:r>
      <w:r>
        <w:t>Federal Communications Commission, Wireline Competition Bureau, Industry Analysis and Technology Division, Trends in Telephone Service at Table 5.3 (Sept. 2010) (</w:t>
      </w:r>
      <w:r>
        <w:rPr>
          <w:i/>
        </w:rPr>
        <w:t>Trends in Telephone Service</w:t>
      </w:r>
      <w:r>
        <w:t xml:space="preserve">), </w:t>
      </w:r>
      <w:hyperlink r:id="rId14" w:history="1">
        <w:r>
          <w:rPr>
            <w:rStyle w:val="Hyperlink"/>
          </w:rPr>
          <w:t>https://apps.fcc.gov/edocs_public/attachmatch/DOC-301823A1.pdf</w:t>
        </w:r>
      </w:hyperlink>
      <w:r>
        <w:rPr>
          <w:rStyle w:val="Footnote"/>
        </w:rPr>
        <w:t>.</w:t>
      </w:r>
    </w:p>
  </w:footnote>
  <w:footnote w:id="89">
    <w:p w:rsidR="00564804">
      <w:pPr>
        <w:pStyle w:val="FootnoteText"/>
      </w:pPr>
      <w:r>
        <w:rPr>
          <w:rStyle w:val="Footnote"/>
          <w:vertAlign w:val="superscript"/>
        </w:rPr>
        <w:footnoteRef/>
      </w:r>
      <w:r>
        <w:rPr>
          <w:rStyle w:val="Footnote"/>
        </w:rPr>
        <w:t xml:space="preserve"> </w:t>
      </w:r>
      <w:r>
        <w:rPr>
          <w:rStyle w:val="Footnote"/>
          <w:i/>
        </w:rPr>
        <w:t>Id</w:t>
      </w:r>
      <w:r>
        <w:rPr>
          <w:rStyle w:val="Footnote"/>
        </w:rPr>
        <w:t>.</w:t>
      </w:r>
    </w:p>
  </w:footnote>
  <w:footnote w:id="90">
    <w:p w:rsidR="00564804">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Amendment of Parts 20 and 24 of the Commission’s Rules - Broadband PCS Competitive Bidding and the Commercial Mobile Radio Service Spectrum Cap; Amendment of the Commission’s Cellular/PCS Cross-Ownership Rule</w:t>
      </w:r>
      <w:r>
        <w:rPr>
          <w:rStyle w:val="Footnote"/>
        </w:rPr>
        <w:t>, Report and Order, 11 FCC Rcd 7824, 7850-52, paras. 57-60 (1996) (</w:t>
      </w:r>
      <w:r>
        <w:rPr>
          <w:rStyle w:val="Footnote"/>
          <w:i/>
        </w:rPr>
        <w:t>PCS Report and Order</w:t>
      </w:r>
      <w:r>
        <w:rPr>
          <w:rStyle w:val="Footnote"/>
        </w:rPr>
        <w:t xml:space="preserve">); </w:t>
      </w:r>
      <w:r>
        <w:rPr>
          <w:rStyle w:val="Footnote"/>
          <w:i/>
        </w:rPr>
        <w:t>see also</w:t>
      </w:r>
      <w:r>
        <w:rPr>
          <w:rStyle w:val="Footnote"/>
        </w:rPr>
        <w:t xml:space="preserve"> 47 CFR § 24.720(b).</w:t>
      </w:r>
    </w:p>
  </w:footnote>
  <w:footnote w:id="91">
    <w:p w:rsidR="00564804">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PCS Report and Order</w:t>
      </w:r>
      <w:r>
        <w:rPr>
          <w:rStyle w:val="Footnote"/>
        </w:rPr>
        <w:t xml:space="preserve">, 11 </w:t>
      </w:r>
      <w:r>
        <w:t>FCC</w:t>
      </w:r>
      <w:r>
        <w:rPr>
          <w:rStyle w:val="Footnote"/>
        </w:rPr>
        <w:t xml:space="preserve"> Rcd at 7852, para. 60.</w:t>
      </w:r>
    </w:p>
  </w:footnote>
  <w:footnote w:id="92">
    <w:p w:rsidR="00564804">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Alvarez Letter 1998</w:t>
      </w:r>
      <w:r>
        <w:rPr>
          <w:rStyle w:val="Footnote"/>
        </w:rPr>
        <w:t>.</w:t>
      </w:r>
    </w:p>
  </w:footnote>
  <w:footnote w:id="93">
    <w:p w:rsidR="00564804">
      <w:pPr>
        <w:pStyle w:val="FootnoteText"/>
      </w:pPr>
      <w:r>
        <w:rPr>
          <w:rStyle w:val="Footnote"/>
          <w:vertAlign w:val="superscript"/>
        </w:rPr>
        <w:footnoteRef/>
      </w:r>
      <w:r>
        <w:t xml:space="preserve"> </w:t>
      </w:r>
      <w:r>
        <w:rPr>
          <w:i/>
          <w:iCs/>
        </w:rPr>
        <w:t>See</w:t>
      </w:r>
      <w:r>
        <w:t xml:space="preserve"> </w:t>
      </w:r>
      <w:r>
        <w:rPr>
          <w:i/>
          <w:iCs/>
        </w:rPr>
        <w:t>Broadband PCS</w:t>
      </w:r>
      <w:r>
        <w:rPr>
          <w:iCs/>
        </w:rPr>
        <w:t>,</w:t>
      </w:r>
      <w:r>
        <w:rPr>
          <w:i/>
          <w:iCs/>
        </w:rPr>
        <w:t xml:space="preserve"> D</w:t>
      </w:r>
      <w:r>
        <w:rPr>
          <w:iCs/>
        </w:rPr>
        <w:t>,</w:t>
      </w:r>
      <w:r>
        <w:rPr>
          <w:i/>
          <w:iCs/>
        </w:rPr>
        <w:t xml:space="preserve"> E and F Block Auction Closes</w:t>
      </w:r>
      <w:r>
        <w:t>, Public Notice, Doc. No. 89838 (Jan. 14, 1997).</w:t>
      </w:r>
    </w:p>
  </w:footnote>
  <w:footnote w:id="94">
    <w:p w:rsidR="00564804">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C</w:t>
      </w:r>
      <w:r>
        <w:rPr>
          <w:rStyle w:val="Footnote"/>
        </w:rPr>
        <w:t>,</w:t>
      </w:r>
      <w:r>
        <w:rPr>
          <w:rStyle w:val="Footnote"/>
          <w:i/>
        </w:rPr>
        <w:t xml:space="preserve"> D</w:t>
      </w:r>
      <w:r>
        <w:rPr>
          <w:rStyle w:val="Footnote"/>
        </w:rPr>
        <w:t>,</w:t>
      </w:r>
      <w:r>
        <w:rPr>
          <w:rStyle w:val="Footnote"/>
          <w:i/>
        </w:rPr>
        <w:t xml:space="preserve"> E</w:t>
      </w:r>
      <w:r>
        <w:rPr>
          <w:rStyle w:val="Footnote"/>
        </w:rPr>
        <w:t>,</w:t>
      </w:r>
      <w:r>
        <w:rPr>
          <w:rStyle w:val="Footnote"/>
          <w:i/>
        </w:rPr>
        <w:t xml:space="preserve"> and F Block Broadband PCS Auction Closes</w:t>
      </w:r>
      <w:r>
        <w:rPr>
          <w:rStyle w:val="Footnote"/>
        </w:rPr>
        <w:t xml:space="preserve">, Public Notice, 14 FCC Rcd 6688 (WTB 1999).  </w:t>
      </w:r>
      <w:r>
        <w:t xml:space="preserve">Before Auction No. 22, the Commission established a very small standard for the C Block to match the standard used for F Block.  </w:t>
      </w:r>
      <w:r>
        <w:rPr>
          <w:i/>
        </w:rPr>
        <w:t>Amendment of the Commission’s Rules Regarding Installment Payment Financing for Personal Communications Services (PCS) Licensees</w:t>
      </w:r>
      <w:r>
        <w:t>, Fourth Report and Order, 13 FCC Rcd 15743, 15768, para. 46 (1998).</w:t>
      </w:r>
    </w:p>
  </w:footnote>
  <w:footnote w:id="95">
    <w:p w:rsidR="00564804">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C and F Block Broadband PCS Auction Closes; Winning Bidders Announced</w:t>
      </w:r>
      <w:r>
        <w:rPr>
          <w:rStyle w:val="Footnote"/>
        </w:rPr>
        <w:t xml:space="preserve">, Public Notice, 16 FCC Rcd </w:t>
      </w:r>
      <w:r>
        <w:t>2339</w:t>
      </w:r>
      <w:r>
        <w:rPr>
          <w:rStyle w:val="Footnote"/>
        </w:rPr>
        <w:t xml:space="preserve"> (2001).</w:t>
      </w:r>
    </w:p>
  </w:footnote>
  <w:footnote w:id="96">
    <w:p w:rsidR="00564804">
      <w:pPr>
        <w:pStyle w:val="FootnoteText"/>
      </w:pPr>
      <w:r>
        <w:rPr>
          <w:rStyle w:val="FootnoteReference"/>
        </w:rPr>
        <w:footnoteRef/>
      </w:r>
      <w:r>
        <w:t xml:space="preserve"> </w:t>
      </w:r>
      <w:r>
        <w:rPr>
          <w:i/>
        </w:rPr>
        <w:t>See</w:t>
      </w:r>
      <w:r>
        <w:t xml:space="preserve"> </w:t>
      </w:r>
      <w:r>
        <w:rPr>
          <w:i/>
        </w:rPr>
        <w:t>Broadband PCS Spectrum Auction Closes; Winning Bidders Announced for Auction No</w:t>
      </w:r>
      <w:r>
        <w:t>.</w:t>
      </w:r>
      <w:r>
        <w:rPr>
          <w:i/>
        </w:rPr>
        <w:t xml:space="preserve"> 58</w:t>
      </w:r>
      <w:r>
        <w:t>, Public Notice, 20 FCC Rcd 3703 (2005).</w:t>
      </w:r>
    </w:p>
  </w:footnote>
  <w:footnote w:id="97">
    <w:p w:rsidR="00564804">
      <w:pPr>
        <w:pStyle w:val="FootnoteText"/>
      </w:pPr>
      <w:r>
        <w:rPr>
          <w:rStyle w:val="FootnoteReference"/>
        </w:rPr>
        <w:footnoteRef/>
      </w:r>
      <w:r>
        <w:t xml:space="preserve"> </w:t>
      </w:r>
      <w:r>
        <w:rPr>
          <w:i/>
        </w:rPr>
        <w:t>See</w:t>
      </w:r>
      <w:r>
        <w:t xml:space="preserve"> </w:t>
      </w:r>
      <w:r>
        <w:rPr>
          <w:i/>
        </w:rPr>
        <w:t>Auction of Broadband PCS Spectrum Licenses Closes; Winning Bidders Announced for Auction No</w:t>
      </w:r>
      <w:r>
        <w:t>.</w:t>
      </w:r>
      <w:r>
        <w:rPr>
          <w:i/>
        </w:rPr>
        <w:t xml:space="preserve"> 71</w:t>
      </w:r>
      <w:r>
        <w:t>, Public Notice, 22 FCC Rcd 9247 (2007).</w:t>
      </w:r>
    </w:p>
  </w:footnote>
  <w:footnote w:id="98">
    <w:p w:rsidR="00564804">
      <w:pPr>
        <w:pStyle w:val="FootnoteText"/>
      </w:pPr>
      <w:r>
        <w:rPr>
          <w:rStyle w:val="FootnoteReference"/>
        </w:rPr>
        <w:footnoteRef/>
      </w:r>
      <w:r>
        <w:t xml:space="preserve"> </w:t>
      </w:r>
      <w:r>
        <w:rPr>
          <w:i/>
        </w:rPr>
        <w:t>Id</w:t>
      </w:r>
      <w:r>
        <w:t>.</w:t>
      </w:r>
    </w:p>
  </w:footnote>
  <w:footnote w:id="99">
    <w:p w:rsidR="00564804">
      <w:pPr>
        <w:pStyle w:val="FootnoteText"/>
      </w:pPr>
      <w:r>
        <w:rPr>
          <w:rStyle w:val="FootnoteReference"/>
        </w:rPr>
        <w:footnoteRef/>
      </w:r>
      <w:r>
        <w:t xml:space="preserve"> </w:t>
      </w:r>
      <w:r>
        <w:rPr>
          <w:i/>
        </w:rPr>
        <w:t>See</w:t>
      </w:r>
      <w:r>
        <w:t xml:space="preserve"> </w:t>
      </w:r>
      <w:r>
        <w:rPr>
          <w:bCs/>
          <w:i/>
        </w:rPr>
        <w:t>Auction</w:t>
      </w:r>
      <w:r>
        <w:rPr>
          <w:b/>
          <w:bCs/>
          <w:i/>
        </w:rPr>
        <w:t xml:space="preserve"> </w:t>
      </w:r>
      <w:r>
        <w:rPr>
          <w:bCs/>
          <w:i/>
        </w:rPr>
        <w:t>of AWS-1 and Broadband PCS Licenses Closes; Winning Bidders Announced for Auction 78</w:t>
      </w:r>
      <w:r>
        <w:rPr>
          <w:bCs/>
        </w:rPr>
        <w:t xml:space="preserve">, </w:t>
      </w:r>
      <w:r>
        <w:t>Public Notice, 23 FCC Rcd 12749 (WTB 2008).</w:t>
      </w:r>
    </w:p>
  </w:footnote>
  <w:footnote w:id="100">
    <w:p w:rsidR="00564804">
      <w:pPr>
        <w:pStyle w:val="FootnoteText"/>
      </w:pPr>
      <w:r>
        <w:rPr>
          <w:rStyle w:val="FootnoteReference"/>
        </w:rPr>
        <w:footnoteRef/>
      </w:r>
      <w:r>
        <w:t xml:space="preserve"> </w:t>
      </w:r>
      <w:r>
        <w:rPr>
          <w:i/>
        </w:rPr>
        <w:t>Id</w:t>
      </w:r>
      <w:r>
        <w:t>.</w:t>
      </w:r>
    </w:p>
  </w:footnote>
  <w:footnote w:id="101">
    <w:p w:rsidR="00564804">
      <w:pPr>
        <w:pStyle w:val="FootnoteText"/>
      </w:pPr>
      <w:r>
        <w:rPr>
          <w:rStyle w:val="Footnote"/>
          <w:vertAlign w:val="superscript"/>
        </w:rPr>
        <w:footnoteRef/>
      </w:r>
      <w:r>
        <w:rPr>
          <w:rStyle w:val="Footnote"/>
        </w:rPr>
        <w:t xml:space="preserve"> 47 </w:t>
      </w:r>
      <w:r>
        <w:t>CFR</w:t>
      </w:r>
      <w:r>
        <w:rPr>
          <w:rStyle w:val="Footnote"/>
        </w:rPr>
        <w:t xml:space="preserve"> § 90.814(b)(1).</w:t>
      </w:r>
    </w:p>
  </w:footnote>
  <w:footnote w:id="102">
    <w:p w:rsidR="00564804">
      <w:pPr>
        <w:pStyle w:val="FootnoteText"/>
      </w:pPr>
      <w:r>
        <w:rPr>
          <w:rStyle w:val="Footnote"/>
          <w:vertAlign w:val="superscript"/>
        </w:rPr>
        <w:footnoteRef/>
      </w:r>
      <w:r>
        <w:t xml:space="preserve"> </w:t>
      </w:r>
      <w:r>
        <w:rPr>
          <w:rStyle w:val="Footnote"/>
          <w:i/>
        </w:rPr>
        <w:t>Id</w:t>
      </w:r>
      <w:r>
        <w:rPr>
          <w:rStyle w:val="Footnote"/>
        </w:rPr>
        <w:t xml:space="preserve">. </w:t>
      </w:r>
    </w:p>
  </w:footnote>
  <w:footnote w:id="103">
    <w:p w:rsidR="00564804">
      <w:pPr>
        <w:pStyle w:val="FootnoteText"/>
      </w:pPr>
      <w:r>
        <w:rPr>
          <w:rStyle w:val="Footnote"/>
          <w:vertAlign w:val="superscript"/>
        </w:rPr>
        <w:footnoteRef/>
      </w:r>
      <w:r>
        <w:t xml:space="preserve"> </w:t>
      </w:r>
      <w:r>
        <w:rPr>
          <w:rStyle w:val="Footnote"/>
          <w:i/>
        </w:rPr>
        <w:t>See</w:t>
      </w:r>
      <w:r>
        <w:rPr>
          <w:rStyle w:val="Footnote"/>
        </w:rPr>
        <w:t xml:space="preserve"> </w:t>
      </w:r>
      <w:r>
        <w:t>Letter from Aida Alvarez, Administrator, SBA, to Thomas Sugrue, Chief, Wireless Telecommunications Bureau, FCC (filed Aug. 10, 1999) (</w:t>
      </w:r>
      <w:r>
        <w:rPr>
          <w:rStyle w:val="Footnote"/>
          <w:i/>
        </w:rPr>
        <w:t>Alvarez Letter 1999</w:t>
      </w:r>
      <w:r>
        <w:rPr>
          <w:rStyle w:val="Footnote"/>
        </w:rPr>
        <w:t>).</w:t>
      </w:r>
    </w:p>
  </w:footnote>
  <w:footnote w:id="104">
    <w:p w:rsidR="00564804">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Correction to Public Notice DA 96-586 “FCC Announces Winning Bidders in the Auction of 1020 Licenses to Provide 900 MHz SMR in Major Trading Areas</w:t>
      </w:r>
      <w:r>
        <w:rPr>
          <w:rStyle w:val="Footnote"/>
        </w:rPr>
        <w:t>,</w:t>
      </w:r>
      <w:r>
        <w:rPr>
          <w:rStyle w:val="Footnote"/>
          <w:i/>
        </w:rPr>
        <w:t>”</w:t>
      </w:r>
      <w:r>
        <w:rPr>
          <w:rStyle w:val="Footnote"/>
        </w:rPr>
        <w:t xml:space="preserve"> </w:t>
      </w:r>
      <w:r>
        <w:t>Public</w:t>
      </w:r>
      <w:r>
        <w:rPr>
          <w:rStyle w:val="Footnote"/>
        </w:rPr>
        <w:t xml:space="preserve"> Notice, 18 FCC Rcd 18367 (WTB 1996).</w:t>
      </w:r>
    </w:p>
  </w:footnote>
  <w:footnote w:id="105">
    <w:p w:rsidR="00564804">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Multi-Radio Service Auction Closes</w:t>
      </w:r>
      <w:r>
        <w:rPr>
          <w:rStyle w:val="Footnote"/>
        </w:rPr>
        <w:t xml:space="preserve">, Public </w:t>
      </w:r>
      <w:r>
        <w:t>Notice</w:t>
      </w:r>
      <w:r>
        <w:rPr>
          <w:rStyle w:val="Footnote"/>
        </w:rPr>
        <w:t>, 17 FCC Rcd 1446 (WTB 2002).</w:t>
      </w:r>
    </w:p>
  </w:footnote>
  <w:footnote w:id="106">
    <w:p w:rsidR="00564804">
      <w:pPr>
        <w:pStyle w:val="FootnoteText"/>
      </w:pPr>
      <w:r>
        <w:rPr>
          <w:rStyle w:val="Footnote"/>
          <w:vertAlign w:val="superscript"/>
        </w:rPr>
        <w:footnoteRef/>
      </w:r>
      <w:r>
        <w:rPr>
          <w:rStyle w:val="Footnote"/>
        </w:rPr>
        <w:t xml:space="preserve"> </w:t>
      </w:r>
      <w:r>
        <w:rPr>
          <w:rStyle w:val="Footnote"/>
          <w:i/>
        </w:rPr>
        <w:t>See 800 MHz Specialized Mobile Radio (SMR) Service General Category (851-854 MHz) and Upper Band (861-865 MHz) Auction Closes; Winning Bidders Announced</w:t>
      </w:r>
      <w:r>
        <w:rPr>
          <w:rStyle w:val="Footnote"/>
        </w:rPr>
        <w:t xml:space="preserve">, Public Notice, 15 </w:t>
      </w:r>
      <w:r>
        <w:t>FCC</w:t>
      </w:r>
      <w:r>
        <w:rPr>
          <w:rStyle w:val="Footnote"/>
        </w:rPr>
        <w:t xml:space="preserve"> Rcd 17162 (2000).</w:t>
      </w:r>
    </w:p>
  </w:footnote>
  <w:footnote w:id="107">
    <w:p w:rsidR="00564804">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800 MHz SMR Service Lower 80 Channels Auction Closes; Winning Bidders Announced</w:t>
      </w:r>
      <w:r>
        <w:rPr>
          <w:rStyle w:val="Footnote"/>
        </w:rPr>
        <w:t xml:space="preserve">, Public Notice, 16 FCC Rcd </w:t>
      </w:r>
      <w:r>
        <w:t>1736</w:t>
      </w:r>
      <w:r>
        <w:rPr>
          <w:rStyle w:val="Footnote"/>
        </w:rPr>
        <w:t xml:space="preserve"> (2000).</w:t>
      </w:r>
    </w:p>
  </w:footnote>
  <w:footnote w:id="108">
    <w:p w:rsidR="00564804">
      <w:pPr>
        <w:pStyle w:val="FootnoteText"/>
      </w:pPr>
      <w:r>
        <w:rPr>
          <w:rStyle w:val="FootnoteReference"/>
        </w:rPr>
        <w:footnoteRef/>
      </w:r>
      <w:r>
        <w:t xml:space="preserve"> </w:t>
      </w:r>
      <w:r>
        <w:rPr>
          <w:i/>
        </w:rPr>
        <w:t>See generally</w:t>
      </w:r>
      <w:r>
        <w:t xml:space="preserve"> </w:t>
      </w:r>
      <w:r>
        <w:rPr>
          <w:rStyle w:val="Footnote"/>
        </w:rPr>
        <w:t xml:space="preserve">13 CFR § 121.201; </w:t>
      </w:r>
      <w:r>
        <w:t>NAICS</w:t>
      </w:r>
      <w:r>
        <w:rPr>
          <w:rStyle w:val="Footnote"/>
        </w:rPr>
        <w:t xml:space="preserve"> Code 517210.</w:t>
      </w:r>
    </w:p>
  </w:footnote>
  <w:footnote w:id="109">
    <w:p w:rsidR="00564804">
      <w:pPr>
        <w:pStyle w:val="FootnoteText"/>
      </w:pPr>
      <w:r>
        <w:rPr>
          <w:vertAlign w:val="superscript"/>
        </w:rPr>
        <w:footnoteRef/>
      </w:r>
      <w:r>
        <w:t xml:space="preserve"> </w:t>
      </w:r>
      <w:r>
        <w:rPr>
          <w:i/>
        </w:rPr>
        <w:t>See</w:t>
      </w:r>
      <w:r>
        <w:t xml:space="preserve"> </w:t>
      </w:r>
      <w:r>
        <w:rPr>
          <w:i/>
        </w:rPr>
        <w:t>Reallocation and Service Rules for the 698</w:t>
      </w:r>
      <w:r>
        <w:rPr>
          <w:rStyle w:val="Footnote"/>
        </w:rPr>
        <w:t>-</w:t>
      </w:r>
      <w:r>
        <w:rPr>
          <w:i/>
        </w:rPr>
        <w:t>746 MHz Spectrum Band (Television Channels 52</w:t>
      </w:r>
      <w:r>
        <w:rPr>
          <w:rStyle w:val="Footnote"/>
        </w:rPr>
        <w:t>-</w:t>
      </w:r>
      <w:r>
        <w:rPr>
          <w:i/>
        </w:rPr>
        <w:t>59)</w:t>
      </w:r>
      <w:r>
        <w:t>, Report and Order, 17 FCC Rcd 1022 (2002).</w:t>
      </w:r>
    </w:p>
  </w:footnote>
  <w:footnote w:id="110">
    <w:p w:rsidR="00564804">
      <w:pPr>
        <w:pStyle w:val="FootnoteText"/>
      </w:pPr>
      <w:r>
        <w:rPr>
          <w:vertAlign w:val="superscript"/>
        </w:rPr>
        <w:footnoteRef/>
      </w:r>
      <w:r>
        <w:t xml:space="preserve"> </w:t>
      </w:r>
      <w:r>
        <w:rPr>
          <w:i/>
        </w:rPr>
        <w:t>See</w:t>
      </w:r>
      <w:r>
        <w:t xml:space="preserve"> </w:t>
      </w:r>
      <w:r>
        <w:rPr>
          <w:i/>
        </w:rPr>
        <w:t>id</w:t>
      </w:r>
      <w:r>
        <w:t>. at 1087</w:t>
      </w:r>
      <w:r>
        <w:rPr>
          <w:rStyle w:val="Footnote"/>
        </w:rPr>
        <w:t>-</w:t>
      </w:r>
      <w:r>
        <w:t>88, para. 172.</w:t>
      </w:r>
    </w:p>
  </w:footnote>
  <w:footnote w:id="111">
    <w:p w:rsidR="00564804">
      <w:pPr>
        <w:pStyle w:val="FootnoteText"/>
      </w:pPr>
      <w:r>
        <w:rPr>
          <w:vertAlign w:val="superscript"/>
        </w:rPr>
        <w:footnoteRef/>
      </w:r>
      <w:r>
        <w:t xml:space="preserve"> </w:t>
      </w:r>
      <w:r>
        <w:rPr>
          <w:i/>
        </w:rPr>
        <w:t>See</w:t>
      </w:r>
      <w:r>
        <w:t xml:space="preserve"> </w:t>
      </w:r>
      <w:r>
        <w:rPr>
          <w:i/>
        </w:rPr>
        <w:t>id</w:t>
      </w:r>
      <w:r>
        <w:t>.</w:t>
      </w:r>
    </w:p>
  </w:footnote>
  <w:footnote w:id="112">
    <w:p w:rsidR="00564804">
      <w:pPr>
        <w:pStyle w:val="FootnoteText"/>
      </w:pPr>
      <w:r>
        <w:rPr>
          <w:vertAlign w:val="superscript"/>
        </w:rPr>
        <w:footnoteRef/>
      </w:r>
      <w:r>
        <w:t xml:space="preserve"> </w:t>
      </w:r>
      <w:r>
        <w:rPr>
          <w:i/>
        </w:rPr>
        <w:t>See</w:t>
      </w:r>
      <w:r>
        <w:t xml:space="preserve"> </w:t>
      </w:r>
      <w:r>
        <w:rPr>
          <w:i/>
        </w:rPr>
        <w:t>id</w:t>
      </w:r>
      <w:r>
        <w:t>. at 1088, para. 173.</w:t>
      </w:r>
    </w:p>
  </w:footnote>
  <w:footnote w:id="113">
    <w:p w:rsidR="00564804">
      <w:pPr>
        <w:pStyle w:val="FootnoteText"/>
      </w:pPr>
      <w:r>
        <w:rPr>
          <w:vertAlign w:val="superscript"/>
        </w:rPr>
        <w:footnoteRef/>
      </w:r>
      <w:r>
        <w:t xml:space="preserve"> </w:t>
      </w:r>
      <w:r>
        <w:rPr>
          <w:i/>
        </w:rPr>
        <w:t>See</w:t>
      </w:r>
      <w:r>
        <w:t xml:space="preserve"> </w:t>
      </w:r>
      <w:r>
        <w:rPr>
          <w:rStyle w:val="Footnote"/>
          <w:i/>
        </w:rPr>
        <w:t>Alvarez Letter 1999</w:t>
      </w:r>
      <w:r>
        <w:rPr>
          <w:rStyle w:val="Footnote"/>
        </w:rPr>
        <w:t>.</w:t>
      </w:r>
    </w:p>
  </w:footnote>
  <w:footnote w:id="114">
    <w:p w:rsidR="00564804">
      <w:pPr>
        <w:pStyle w:val="FootnoteText"/>
      </w:pPr>
      <w:r>
        <w:rPr>
          <w:vertAlign w:val="superscript"/>
        </w:rPr>
        <w:footnoteRef/>
      </w:r>
      <w:r>
        <w:t xml:space="preserve"> </w:t>
      </w:r>
      <w:r>
        <w:rPr>
          <w:i/>
        </w:rPr>
        <w:t>See</w:t>
      </w:r>
      <w:r>
        <w:t xml:space="preserve"> </w:t>
      </w:r>
      <w:r>
        <w:rPr>
          <w:i/>
        </w:rPr>
        <w:t>Lower 700 MHz Band Auction Closes</w:t>
      </w:r>
      <w:r>
        <w:t>, Public Notice, 17 FCC Rcd 17272 (WTB 2002).</w:t>
      </w:r>
    </w:p>
  </w:footnote>
  <w:footnote w:id="115">
    <w:p w:rsidR="00564804">
      <w:pPr>
        <w:pStyle w:val="FootnoteText"/>
      </w:pPr>
      <w:r>
        <w:rPr>
          <w:vertAlign w:val="superscript"/>
        </w:rPr>
        <w:footnoteRef/>
      </w:r>
      <w:r>
        <w:t xml:space="preserve"> </w:t>
      </w:r>
      <w:r>
        <w:rPr>
          <w:i/>
        </w:rPr>
        <w:t>See</w:t>
      </w:r>
      <w:r>
        <w:t xml:space="preserve"> </w:t>
      </w:r>
      <w:r>
        <w:rPr>
          <w:i/>
        </w:rPr>
        <w:t>id</w:t>
      </w:r>
      <w:r>
        <w:t>.</w:t>
      </w:r>
      <w:r>
        <w:rPr>
          <w:i/>
        </w:rPr>
        <w:t xml:space="preserve"> </w:t>
      </w:r>
    </w:p>
  </w:footnote>
  <w:footnote w:id="116">
    <w:p w:rsidR="00564804">
      <w:pPr>
        <w:pStyle w:val="FootnoteText"/>
      </w:pPr>
      <w:r>
        <w:rPr>
          <w:vertAlign w:val="superscript"/>
        </w:rPr>
        <w:footnoteRef/>
      </w:r>
      <w:r>
        <w:t xml:space="preserve"> </w:t>
      </w:r>
      <w:r>
        <w:rPr>
          <w:i/>
        </w:rPr>
        <w:t>See id</w:t>
      </w:r>
      <w:r>
        <w:t>.</w:t>
      </w:r>
    </w:p>
  </w:footnote>
  <w:footnote w:id="117">
    <w:p w:rsidR="00564804">
      <w:pPr>
        <w:pStyle w:val="FootnoteText"/>
      </w:pPr>
      <w:r>
        <w:rPr>
          <w:rStyle w:val="FootnoteReference"/>
        </w:rPr>
        <w:footnoteRef/>
      </w:r>
      <w:r>
        <w:t xml:space="preserve"> </w:t>
      </w:r>
      <w:r>
        <w:rPr>
          <w:i/>
          <w:iCs/>
        </w:rPr>
        <w:t>Service Rules for the 698</w:t>
      </w:r>
      <w:r>
        <w:t>-</w:t>
      </w:r>
      <w:r>
        <w:rPr>
          <w:i/>
          <w:iCs/>
        </w:rPr>
        <w:t>746</w:t>
      </w:r>
      <w:r>
        <w:rPr>
          <w:iCs/>
        </w:rPr>
        <w:t>,</w:t>
      </w:r>
      <w:r>
        <w:rPr>
          <w:i/>
          <w:iCs/>
        </w:rPr>
        <w:t xml:space="preserve"> 747</w:t>
      </w:r>
      <w:r>
        <w:t>-</w:t>
      </w:r>
      <w:r>
        <w:rPr>
          <w:i/>
          <w:iCs/>
        </w:rPr>
        <w:t>762 and 777</w:t>
      </w:r>
      <w:r>
        <w:t>-</w:t>
      </w:r>
      <w:r>
        <w:rPr>
          <w:i/>
          <w:iCs/>
        </w:rPr>
        <w:t>792 MHz Band et al.</w:t>
      </w:r>
      <w:r>
        <w:t>, Second Report and Order, 22 FCC Rcd 15289, 15359 n. 434 (2007) (</w:t>
      </w:r>
      <w:r>
        <w:rPr>
          <w:i/>
          <w:iCs/>
        </w:rPr>
        <w:t>700 MHz Second Report and Order</w:t>
      </w:r>
      <w:r>
        <w:t>).</w:t>
      </w:r>
    </w:p>
  </w:footnote>
  <w:footnote w:id="118">
    <w:p w:rsidR="00564804">
      <w:pPr>
        <w:pStyle w:val="FootnoteText"/>
      </w:pPr>
      <w:r>
        <w:rPr>
          <w:rStyle w:val="FootnoteReference"/>
        </w:rPr>
        <w:footnoteRef/>
      </w:r>
      <w:r>
        <w:t xml:space="preserve"> </w:t>
      </w:r>
      <w:r>
        <w:rPr>
          <w:i/>
        </w:rPr>
        <w:t>See</w:t>
      </w:r>
      <w:r>
        <w:t xml:space="preserve"> </w:t>
      </w:r>
      <w:r>
        <w:rPr>
          <w:i/>
        </w:rPr>
        <w:t>Auction of 700 MHz Band Licenses Closes</w:t>
      </w:r>
      <w:r>
        <w:t>, Public Notice, 23 FCC Rcd 4572 (WTB 2008).</w:t>
      </w:r>
    </w:p>
  </w:footnote>
  <w:footnote w:id="119">
    <w:p w:rsidR="00564804">
      <w:pPr>
        <w:pStyle w:val="FootnoteText"/>
      </w:pPr>
      <w:r>
        <w:rPr>
          <w:rStyle w:val="FootnoteReference"/>
        </w:rPr>
        <w:footnoteRef/>
      </w:r>
      <w:r>
        <w:t xml:space="preserve"> </w:t>
      </w:r>
      <w:r>
        <w:rPr>
          <w:i/>
        </w:rPr>
        <w:t>700 MHz Second Report and Order</w:t>
      </w:r>
      <w:r>
        <w:t>, 22 FCC Rcd 15289.</w:t>
      </w:r>
    </w:p>
  </w:footnote>
  <w:footnote w:id="120">
    <w:p w:rsidR="00564804">
      <w:pPr>
        <w:pStyle w:val="FootnoteText"/>
      </w:pPr>
      <w:r>
        <w:rPr>
          <w:rStyle w:val="FootnoteReference"/>
        </w:rPr>
        <w:footnoteRef/>
      </w:r>
      <w:r>
        <w:t xml:space="preserve"> </w:t>
      </w:r>
      <w:r>
        <w:rPr>
          <w:i/>
        </w:rPr>
        <w:t>See</w:t>
      </w:r>
      <w:r>
        <w:t xml:space="preserve"> </w:t>
      </w:r>
      <w:r>
        <w:rPr>
          <w:i/>
        </w:rPr>
        <w:t>Auction of 700 MHz Band Licenses Closes</w:t>
      </w:r>
      <w:r>
        <w:t>, Public Notice, 23 FCC Rcd 4572 (WTB 2008).</w:t>
      </w:r>
    </w:p>
  </w:footnote>
  <w:footnote w:id="121">
    <w:p w:rsidR="00564804">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Service Rules for the 746-764 MHz Bands</w:t>
      </w:r>
      <w:r>
        <w:rPr>
          <w:rStyle w:val="Footnote"/>
        </w:rPr>
        <w:t>,</w:t>
      </w:r>
      <w:r>
        <w:rPr>
          <w:rStyle w:val="Footnote"/>
          <w:i/>
        </w:rPr>
        <w:t xml:space="preserve"> and Revisions to Part 27 of the Commission’s Rules</w:t>
      </w:r>
      <w:r>
        <w:rPr>
          <w:rStyle w:val="Footnote"/>
        </w:rPr>
        <w:t xml:space="preserve">, Second Report and </w:t>
      </w:r>
      <w:r>
        <w:t>Order</w:t>
      </w:r>
      <w:r>
        <w:rPr>
          <w:rStyle w:val="Footnote"/>
        </w:rPr>
        <w:t>, 15 FCC Rcd 5299 (2000).</w:t>
      </w:r>
    </w:p>
  </w:footnote>
  <w:footnote w:id="122">
    <w:p w:rsidR="00564804">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id</w:t>
      </w:r>
      <w:r>
        <w:rPr>
          <w:rStyle w:val="Footnote"/>
        </w:rPr>
        <w:t>.</w:t>
      </w:r>
      <w:r>
        <w:rPr>
          <w:rStyle w:val="Footnote"/>
          <w:i/>
        </w:rPr>
        <w:t xml:space="preserve"> </w:t>
      </w:r>
      <w:r>
        <w:rPr>
          <w:rStyle w:val="Footnote"/>
        </w:rPr>
        <w:t xml:space="preserve">at 5343, </w:t>
      </w:r>
      <w:r>
        <w:t>para</w:t>
      </w:r>
      <w:r>
        <w:rPr>
          <w:rStyle w:val="Footnote"/>
        </w:rPr>
        <w:t>. 108.</w:t>
      </w:r>
    </w:p>
  </w:footnote>
  <w:footnote w:id="123">
    <w:p w:rsidR="00564804">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id</w:t>
      </w:r>
      <w:r>
        <w:rPr>
          <w:rStyle w:val="Footnote"/>
        </w:rPr>
        <w:t>.</w:t>
      </w:r>
    </w:p>
  </w:footnote>
  <w:footnote w:id="124">
    <w:p w:rsidR="00564804">
      <w:pPr>
        <w:pStyle w:val="FootnoteText"/>
      </w:pPr>
      <w:r>
        <w:rPr>
          <w:rStyle w:val="Footnote"/>
          <w:vertAlign w:val="superscript"/>
        </w:rPr>
        <w:footnoteRef/>
      </w:r>
      <w:r>
        <w:t xml:space="preserve"> </w:t>
      </w:r>
      <w:r>
        <w:rPr>
          <w:rStyle w:val="Footnote"/>
          <w:i/>
        </w:rPr>
        <w:t>See</w:t>
      </w:r>
      <w:r>
        <w:rPr>
          <w:rStyle w:val="Footnote"/>
        </w:rPr>
        <w:t xml:space="preserve"> </w:t>
      </w:r>
      <w:r>
        <w:rPr>
          <w:rStyle w:val="Footnote"/>
          <w:i/>
        </w:rPr>
        <w:t>id</w:t>
      </w:r>
      <w:r>
        <w:rPr>
          <w:rStyle w:val="Footnote"/>
        </w:rPr>
        <w:t>. at 5343, para. 108 n.246 (for the 746-764 MHz and 776-794 MHz bands, the Commission is exempt from 15 U.S.C. § 632, which requires Federal agencies to obtain SBA approval before adopting small business size standards).</w:t>
      </w:r>
    </w:p>
  </w:footnote>
  <w:footnote w:id="125">
    <w:p w:rsidR="00564804">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700 MHz Guard Bands Auction Closes: Winning Bidders Announced</w:t>
      </w:r>
      <w:r>
        <w:rPr>
          <w:rStyle w:val="Footnote"/>
        </w:rPr>
        <w:t xml:space="preserve">, Public Notice, 15 FCC Rcd 18026 (WTB </w:t>
      </w:r>
      <w:r>
        <w:t>2000</w:t>
      </w:r>
      <w:r>
        <w:rPr>
          <w:rStyle w:val="Footnote"/>
        </w:rPr>
        <w:t>).</w:t>
      </w:r>
    </w:p>
  </w:footnote>
  <w:footnote w:id="126">
    <w:p w:rsidR="00564804">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700 MHz Guard Bands Auction Closes: Winning Bidders Announced</w:t>
      </w:r>
      <w:r>
        <w:rPr>
          <w:rStyle w:val="Footnote"/>
        </w:rPr>
        <w:t xml:space="preserve">, Public Notice, 16 FCC Rcd 4590 (WTB </w:t>
      </w:r>
      <w:r>
        <w:t>2001</w:t>
      </w:r>
      <w:r>
        <w:rPr>
          <w:rStyle w:val="Footnote"/>
        </w:rPr>
        <w:t>).</w:t>
      </w:r>
    </w:p>
  </w:footnote>
  <w:footnote w:id="127">
    <w:p w:rsidR="00564804">
      <w:pPr>
        <w:pStyle w:val="FootnoteText"/>
        <w:rPr>
          <w:b/>
        </w:rPr>
      </w:pPr>
      <w:r>
        <w:rPr>
          <w:rStyle w:val="Footnote"/>
          <w:vertAlign w:val="superscript"/>
        </w:rPr>
        <w:footnoteRef/>
      </w:r>
      <w:r>
        <w:rPr>
          <w:rStyle w:val="Footnote"/>
          <w:vertAlign w:val="superscript"/>
        </w:rPr>
        <w:t xml:space="preserve"> </w:t>
      </w:r>
      <w:r>
        <w:rPr>
          <w:rStyle w:val="Footnote"/>
        </w:rPr>
        <w:t xml:space="preserve">13 </w:t>
      </w:r>
      <w:r>
        <w:t>CFR</w:t>
      </w:r>
      <w:r>
        <w:rPr>
          <w:rStyle w:val="Footnote"/>
        </w:rPr>
        <w:t xml:space="preserve"> § 121.201, </w:t>
      </w:r>
      <w:r>
        <w:t>NAICS</w:t>
      </w:r>
      <w:r>
        <w:rPr>
          <w:rStyle w:val="Footnote"/>
        </w:rPr>
        <w:t xml:space="preserve"> Codes 517210.</w:t>
      </w:r>
    </w:p>
  </w:footnote>
  <w:footnote w:id="128">
    <w:p w:rsidR="00564804">
      <w:pPr>
        <w:pStyle w:val="FootnoteText"/>
      </w:pPr>
      <w:r>
        <w:rPr>
          <w:rStyle w:val="FootnoteReference"/>
        </w:rPr>
        <w:footnoteRef/>
      </w:r>
      <w:r>
        <w:t xml:space="preserve"> </w:t>
      </w:r>
      <w:r>
        <w:rPr>
          <w:i/>
        </w:rPr>
        <w:t>Amendment of Part 22 of the Commission’s Rules to Benefit the Consumers of Air-Ground Telecommunications Services</w:t>
      </w:r>
      <w:r>
        <w:t>,</w:t>
      </w:r>
      <w:r>
        <w:rPr>
          <w:i/>
        </w:rPr>
        <w:t xml:space="preserve"> Biennial Regulatory Review—Amendment of Parts 1</w:t>
      </w:r>
      <w:r>
        <w:t>,</w:t>
      </w:r>
      <w:r>
        <w:rPr>
          <w:i/>
        </w:rPr>
        <w:t xml:space="preserve"> 22</w:t>
      </w:r>
      <w:r>
        <w:t>,</w:t>
      </w:r>
      <w:r>
        <w:rPr>
          <w:i/>
        </w:rPr>
        <w:t xml:space="preserve"> and 90 of the Commission’s Rules</w:t>
      </w:r>
      <w:r>
        <w:t>,</w:t>
      </w:r>
      <w:r>
        <w:rPr>
          <w:i/>
        </w:rPr>
        <w:t xml:space="preserve"> Amendment of Parts 1 and 22 of the Commission’s Rules to Adopt Competitive Bidding Rules for Commercial and General Aviation Air-Ground Radiotelephone Service</w:t>
      </w:r>
      <w:r>
        <w:t xml:space="preserve">, Order on Reconsideration and Report and Order, 20 FCC Rcd 19663, </w:t>
      </w:r>
      <w:r>
        <w:rPr>
          <w:rStyle w:val="Footnote"/>
        </w:rPr>
        <w:t xml:space="preserve">paras. </w:t>
      </w:r>
      <w:r>
        <w:t>28</w:t>
      </w:r>
      <w:r>
        <w:rPr>
          <w:rStyle w:val="Footnote"/>
          <w:i/>
        </w:rPr>
        <w:t>-</w:t>
      </w:r>
      <w:r>
        <w:t>42 (2005).</w:t>
      </w:r>
    </w:p>
  </w:footnote>
  <w:footnote w:id="129">
    <w:p w:rsidR="00564804">
      <w:pPr>
        <w:pStyle w:val="FootnoteText"/>
      </w:pPr>
      <w:r>
        <w:rPr>
          <w:rStyle w:val="FootnoteReference"/>
        </w:rPr>
        <w:footnoteRef/>
      </w:r>
      <w:r>
        <w:t xml:space="preserve"> </w:t>
      </w:r>
      <w:r>
        <w:rPr>
          <w:i/>
        </w:rPr>
        <w:t>Id</w:t>
      </w:r>
      <w:r>
        <w:t>.</w:t>
      </w:r>
    </w:p>
  </w:footnote>
  <w:footnote w:id="130">
    <w:p w:rsidR="00564804">
      <w:pPr>
        <w:pStyle w:val="FootnoteText"/>
      </w:pPr>
      <w:r>
        <w:rPr>
          <w:rStyle w:val="FootnoteReference"/>
        </w:rPr>
        <w:footnoteRef/>
      </w:r>
      <w:r>
        <w:t xml:space="preserve"> </w:t>
      </w:r>
      <w:r>
        <w:rPr>
          <w:i/>
        </w:rPr>
        <w:t>See</w:t>
      </w:r>
      <w:r>
        <w:t xml:space="preserve"> Le</w:t>
      </w:r>
      <w:r>
        <w:rPr>
          <w:snapToGrid w:val="0"/>
        </w:rPr>
        <w:t>t</w:t>
      </w:r>
      <w:r>
        <w:t>ter from Hector V. Barreto, Administrator, SBA, to Gary D. Michaels, Deputy Chief, Auctions and Spectrum Access Division, Wireless Telecommunications Bureau, FCC (filed Sept. 19, 2005).</w:t>
      </w:r>
    </w:p>
  </w:footnote>
  <w:footnote w:id="131">
    <w:p w:rsidR="00564804">
      <w:pPr>
        <w:pStyle w:val="FootnoteText"/>
      </w:pPr>
      <w:r>
        <w:rPr>
          <w:rStyle w:val="FootnoteReference"/>
        </w:rPr>
        <w:footnoteRef/>
      </w:r>
      <w:r>
        <w:t xml:space="preserve"> The service is defined in section 90.1301 </w:t>
      </w:r>
      <w:r>
        <w:rPr>
          <w:i/>
        </w:rPr>
        <w:t>et seq</w:t>
      </w:r>
      <w:r>
        <w:t xml:space="preserve">. of the Commission’s Rules, 47 CFR § 90.1301 </w:t>
      </w:r>
      <w:r>
        <w:rPr>
          <w:i/>
        </w:rPr>
        <w:t>et seq</w:t>
      </w:r>
      <w:r>
        <w:t>.</w:t>
      </w:r>
    </w:p>
  </w:footnote>
  <w:footnote w:id="132">
    <w:p w:rsidR="00564804">
      <w:pPr>
        <w:pStyle w:val="FootnoteText"/>
      </w:pPr>
      <w:r>
        <w:rPr>
          <w:rStyle w:val="FootnoteReference"/>
        </w:rPr>
        <w:footnoteRef/>
      </w:r>
      <w:r>
        <w:t xml:space="preserve"> </w:t>
      </w:r>
      <w:r>
        <w:rPr>
          <w:i/>
        </w:rPr>
        <w:t>See</w:t>
      </w:r>
      <w:r>
        <w:t xml:space="preserve"> </w:t>
      </w:r>
      <w:r>
        <w:rPr>
          <w:i/>
        </w:rPr>
        <w:t>Service Rules for Advanced Wireless Services in the 1</w:t>
      </w:r>
      <w:r>
        <w:t>.</w:t>
      </w:r>
      <w:r>
        <w:rPr>
          <w:i/>
        </w:rPr>
        <w:t>7 GHz and 2</w:t>
      </w:r>
      <w:r>
        <w:t>.</w:t>
      </w:r>
      <w:r>
        <w:rPr>
          <w:i/>
        </w:rPr>
        <w:t>1 GHz Bands</w:t>
      </w:r>
      <w:r>
        <w:t xml:space="preserve">, Report and Order, 18 FCC Rcd 25162, Appx. B (2003), </w:t>
      </w:r>
      <w:r>
        <w:rPr>
          <w:i/>
        </w:rPr>
        <w:t>modified by Service Rules for Advanced Wireless Services in the 1</w:t>
      </w:r>
      <w:r>
        <w:t>.</w:t>
      </w:r>
      <w:r>
        <w:rPr>
          <w:i/>
        </w:rPr>
        <w:t>7 GHz and 2</w:t>
      </w:r>
      <w:r>
        <w:t>.</w:t>
      </w:r>
      <w:r>
        <w:rPr>
          <w:i/>
        </w:rPr>
        <w:t>1 GHz Bands</w:t>
      </w:r>
      <w:r>
        <w:t xml:space="preserve">, Order on Reconsideration, 20 FCC Rcd 14058, Appx. C (2005); </w:t>
      </w:r>
      <w:r>
        <w:rPr>
          <w:i/>
        </w:rPr>
        <w:t>Service Rules for Advanced Wireless Services in the 1915-1920 MHz</w:t>
      </w:r>
      <w:r>
        <w:t>,</w:t>
      </w:r>
      <w:r>
        <w:rPr>
          <w:i/>
        </w:rPr>
        <w:t xml:space="preserve"> 1995-2000 MHz</w:t>
      </w:r>
      <w:r>
        <w:t>,</w:t>
      </w:r>
      <w:r>
        <w:rPr>
          <w:i/>
        </w:rPr>
        <w:t xml:space="preserve"> 2020-2025 MHz and 2175-2180 MHz Bands; Service Rules for Advanced Wireless Services in the 1</w:t>
      </w:r>
      <w:r>
        <w:t>.</w:t>
      </w:r>
      <w:r>
        <w:rPr>
          <w:i/>
        </w:rPr>
        <w:t>7 GHz and 2</w:t>
      </w:r>
      <w:r>
        <w:t>.</w:t>
      </w:r>
      <w:r>
        <w:rPr>
          <w:i/>
        </w:rPr>
        <w:t>1 GHz Bands</w:t>
      </w:r>
      <w:r>
        <w:t xml:space="preserve">, Notice of Proposed Rulemaking, 19 FCC Rcd 19263, Appx. B (2005); </w:t>
      </w:r>
      <w:r>
        <w:rPr>
          <w:i/>
        </w:rPr>
        <w:t>Service Rules for Advanced Wireless Services in the 2155-2175 MHz Band</w:t>
      </w:r>
      <w:r>
        <w:t>, Notice of Proposed Rulemaking, 22 FCC Rcd 17035, Appx. (2007).</w:t>
      </w:r>
    </w:p>
  </w:footnote>
  <w:footnote w:id="133">
    <w:p w:rsidR="00564804">
      <w:pPr>
        <w:pStyle w:val="FootnoteText"/>
      </w:pPr>
      <w:r>
        <w:rPr>
          <w:rStyle w:val="FootnoteReference"/>
        </w:rPr>
        <w:footnoteRef/>
      </w:r>
      <w:r>
        <w:t xml:space="preserve"> </w:t>
      </w:r>
      <w:r>
        <w:rPr>
          <w:i/>
        </w:rPr>
        <w:t xml:space="preserve">See </w:t>
      </w:r>
      <w:r>
        <w:t>47 CFR Part 101, Subparts C and I.</w:t>
      </w:r>
    </w:p>
  </w:footnote>
  <w:footnote w:id="134">
    <w:p w:rsidR="00564804">
      <w:pPr>
        <w:pStyle w:val="FootnoteText"/>
      </w:pPr>
      <w:r>
        <w:rPr>
          <w:rStyle w:val="FootnoteReference"/>
        </w:rPr>
        <w:footnoteRef/>
      </w:r>
      <w:r>
        <w:t xml:space="preserve"> </w:t>
      </w:r>
      <w:r>
        <w:rPr>
          <w:i/>
          <w:iCs/>
        </w:rPr>
        <w:t>Id.</w:t>
      </w:r>
      <w:r>
        <w:t>, Subparts C and H.</w:t>
      </w:r>
    </w:p>
  </w:footnote>
  <w:footnote w:id="135">
    <w:p w:rsidR="00564804">
      <w:pPr>
        <w:pStyle w:val="FootnoteText"/>
      </w:pPr>
      <w:r>
        <w:rPr>
          <w:rStyle w:val="FootnoteReference"/>
        </w:rPr>
        <w:footnoteRef/>
      </w:r>
      <w:r>
        <w:t xml:space="preserve"> Auxiliary Microwave Service is governed by Part 74 of Title 47 of the Commission’s Rules.  </w:t>
      </w:r>
      <w:r>
        <w:rPr>
          <w:i/>
        </w:rPr>
        <w:t>See</w:t>
      </w:r>
      <w:r>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136">
    <w:p w:rsidR="00564804">
      <w:pPr>
        <w:pStyle w:val="FootnoteText"/>
      </w:pPr>
      <w:r>
        <w:rPr>
          <w:rStyle w:val="FootnoteReference"/>
        </w:rPr>
        <w:footnoteRef/>
      </w:r>
      <w:r>
        <w:t xml:space="preserve"> </w:t>
      </w:r>
      <w:r>
        <w:rPr>
          <w:i/>
        </w:rPr>
        <w:t xml:space="preserve">See </w:t>
      </w:r>
      <w:r>
        <w:t>47 CFR Part 30</w:t>
      </w:r>
      <w:r>
        <w:rPr>
          <w:i/>
        </w:rPr>
        <w:t>.</w:t>
      </w:r>
    </w:p>
  </w:footnote>
  <w:footnote w:id="137">
    <w:p w:rsidR="00564804">
      <w:pPr>
        <w:pStyle w:val="FootnoteText"/>
      </w:pPr>
      <w:r>
        <w:rPr>
          <w:rStyle w:val="FootnoteReference"/>
        </w:rPr>
        <w:footnoteRef/>
      </w:r>
      <w:r>
        <w:t xml:space="preserve"> </w:t>
      </w:r>
      <w:r>
        <w:rPr>
          <w:i/>
        </w:rPr>
        <w:t>See</w:t>
      </w:r>
      <w:r>
        <w:t xml:space="preserve"> 47 CFR Part 101, Subpart Q.</w:t>
      </w:r>
    </w:p>
  </w:footnote>
  <w:footnote w:id="138">
    <w:p w:rsidR="00564804">
      <w:pPr>
        <w:pStyle w:val="FootnoteText"/>
      </w:pPr>
      <w:r>
        <w:rPr>
          <w:rStyle w:val="FootnoteReference"/>
        </w:rPr>
        <w:footnoteRef/>
      </w:r>
      <w:r>
        <w:t xml:space="preserve"> </w:t>
      </w:r>
      <w:r>
        <w:rPr>
          <w:i/>
        </w:rPr>
        <w:t>See</w:t>
      </w:r>
      <w:r>
        <w:t xml:space="preserve"> 47 CFR Part 101, Subpart L.</w:t>
      </w:r>
    </w:p>
  </w:footnote>
  <w:footnote w:id="139">
    <w:p w:rsidR="00564804">
      <w:pPr>
        <w:pStyle w:val="FootnoteText"/>
      </w:pPr>
      <w:r>
        <w:rPr>
          <w:rStyle w:val="FootnoteReference"/>
        </w:rPr>
        <w:footnoteRef/>
      </w:r>
      <w:r>
        <w:t xml:space="preserve"> </w:t>
      </w:r>
      <w:r>
        <w:rPr>
          <w:i/>
        </w:rPr>
        <w:t>See</w:t>
      </w:r>
      <w:r>
        <w:t xml:space="preserve"> 47 CFR Part 101, Subpart G.</w:t>
      </w:r>
    </w:p>
  </w:footnote>
  <w:footnote w:id="140">
    <w:p w:rsidR="00564804">
      <w:pPr>
        <w:spacing w:after="120"/>
        <w:rPr>
          <w:rFonts w:ascii="Times New Roman" w:hAnsi="Times New Roman" w:cs="Times New Roman"/>
          <w:sz w:val="20"/>
        </w:rPr>
      </w:pPr>
      <w:r>
        <w:rPr>
          <w:rStyle w:val="FootnoteReference"/>
          <w:rFonts w:cs="Times New Roman"/>
        </w:rPr>
        <w:footnoteRef/>
      </w:r>
      <w:r>
        <w:rPr>
          <w:rFonts w:ascii="Times New Roman" w:hAnsi="Times New Roman" w:cs="Times New Roman"/>
          <w:sz w:val="20"/>
        </w:rPr>
        <w:t xml:space="preserve"> </w:t>
      </w:r>
      <w:r>
        <w:rPr>
          <w:rFonts w:ascii="Times New Roman" w:hAnsi="Times New Roman" w:cs="Times New Roman"/>
          <w:i/>
          <w:sz w:val="20"/>
        </w:rPr>
        <w:t>See</w:t>
      </w:r>
      <w:r>
        <w:rPr>
          <w:rFonts w:ascii="Times New Roman" w:hAnsi="Times New Roman" w:cs="Times New Roman"/>
          <w:sz w:val="20"/>
        </w:rPr>
        <w:t xml:space="preserve"> </w:t>
      </w:r>
      <w:r>
        <w:rPr>
          <w:rFonts w:ascii="Times New Roman" w:hAnsi="Times New Roman" w:cs="Times New Roman"/>
          <w:i/>
          <w:sz w:val="20"/>
        </w:rPr>
        <w:t>id</w:t>
      </w:r>
      <w:r>
        <w:rPr>
          <w:rFonts w:ascii="Times New Roman" w:hAnsi="Times New Roman" w:cs="Times New Roman"/>
          <w:sz w:val="20"/>
        </w:rPr>
        <w:t>.</w:t>
      </w:r>
    </w:p>
  </w:footnote>
  <w:footnote w:id="141">
    <w:p w:rsidR="00564804">
      <w:pPr>
        <w:pStyle w:val="FootnoteText"/>
      </w:pPr>
      <w:r>
        <w:rPr>
          <w:rStyle w:val="FootnoteReference"/>
        </w:rPr>
        <w:footnoteRef/>
      </w:r>
      <w:r>
        <w:t xml:space="preserve"> </w:t>
      </w:r>
      <w:r>
        <w:rPr>
          <w:i/>
        </w:rPr>
        <w:t>See</w:t>
      </w:r>
      <w:r>
        <w:t xml:space="preserve"> 47 CFR §§ 101.533, 101.1017.</w:t>
      </w:r>
    </w:p>
  </w:footnote>
  <w:footnote w:id="142">
    <w:p w:rsidR="00564804">
      <w:pPr>
        <w:pStyle w:val="FootnoteText"/>
      </w:pPr>
      <w:r>
        <w:rPr>
          <w:rStyle w:val="FootnoteReference"/>
        </w:rPr>
        <w:footnoteRef/>
      </w:r>
      <w:r>
        <w:t xml:space="preserve"> These statistics are based on a review of the Universal Licensing System on September 22, 2015.</w:t>
      </w:r>
    </w:p>
  </w:footnote>
  <w:footnote w:id="143">
    <w:p w:rsidR="00564804">
      <w:pPr>
        <w:pStyle w:val="FootnoteText"/>
      </w:pPr>
      <w:r>
        <w:rPr>
          <w:rStyle w:val="FootnoteReference"/>
        </w:rPr>
        <w:footnoteRef/>
      </w:r>
      <w:r>
        <w:t xml:space="preserve"> </w:t>
      </w:r>
      <w:r>
        <w:rPr>
          <w:i/>
        </w:rPr>
        <w:t>See</w:t>
      </w:r>
      <w:r>
        <w:t xml:space="preserve"> 13 CFR § 121.201, NAICS code 517210.</w:t>
      </w:r>
    </w:p>
  </w:footnote>
  <w:footnote w:id="144">
    <w:p w:rsidR="00564804">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EC1251SSSZ5, Information: Subject Series, “Estab and Firm Size: Employment Size of Firms for the U.S.: 2012 NAICS Code 517210” (rel. Jan. 8, 2016).  </w:t>
      </w:r>
      <w:hyperlink r:id="rId13" w:history="1">
        <w:r>
          <w:rPr>
            <w:rStyle w:val="Hyperlink"/>
          </w:rPr>
          <w:t>https://factfinder.census.gov/bkmk/table/1.0/en/ECN/2012_US/51SSSZ5//naics~517210</w:t>
        </w:r>
      </w:hyperlink>
      <w:r>
        <w:rPr>
          <w:rStyle w:val="Hyperlink"/>
        </w:rPr>
        <w:t>.</w:t>
      </w:r>
    </w:p>
  </w:footnote>
  <w:footnote w:id="145">
    <w:p w:rsidR="00564804">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“1000 employees or more.”</w:t>
      </w:r>
    </w:p>
  </w:footnote>
  <w:footnote w:id="146">
    <w:p w:rsidR="00564804">
      <w:pPr>
        <w:pStyle w:val="FootnoteText"/>
      </w:pPr>
      <w:r>
        <w:rPr>
          <w:rStyle w:val="FootnoteReference"/>
        </w:rPr>
        <w:footnoteRef/>
      </w:r>
      <w:r>
        <w:t xml:space="preserve"> </w:t>
      </w:r>
      <w:r>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t>, Report and Order, 10 FCC Rcd 9589, 9593, para. 7 (1995).</w:t>
      </w:r>
    </w:p>
  </w:footnote>
  <w:footnote w:id="147">
    <w:p w:rsidR="00564804">
      <w:pPr>
        <w:pStyle w:val="FootnoteText"/>
      </w:pPr>
      <w:r>
        <w:rPr>
          <w:rStyle w:val="FootnoteReference"/>
        </w:rPr>
        <w:footnoteRef/>
      </w:r>
      <w:r>
        <w:t xml:space="preserve"> 47 CFR § 21.961(b)(1).</w:t>
      </w:r>
    </w:p>
  </w:footnote>
  <w:footnote w:id="148">
    <w:p w:rsidR="00564804">
      <w:pPr>
        <w:pStyle w:val="FootnoteText"/>
      </w:pPr>
      <w:r>
        <w:rPr>
          <w:rStyle w:val="FootnoteReference"/>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149">
    <w:p w:rsidR="00564804">
      <w:pPr>
        <w:pStyle w:val="FootnoteText"/>
      </w:pPr>
      <w:r>
        <w:rPr>
          <w:rStyle w:val="FootnoteReference"/>
        </w:rPr>
        <w:footnoteRef/>
      </w:r>
      <w:r>
        <w:t xml:space="preserve"> </w:t>
      </w:r>
      <w:r>
        <w:rPr>
          <w:i/>
        </w:rPr>
        <w:t>Auction of Broadband Radio Service (BRS) Licenses</w:t>
      </w:r>
      <w:r>
        <w:t>,</w:t>
      </w:r>
      <w:r>
        <w:rPr>
          <w:i/>
        </w:rPr>
        <w:t xml:space="preserve"> Scheduled for October 27</w:t>
      </w:r>
      <w:r>
        <w:t>,</w:t>
      </w:r>
      <w:r>
        <w:rPr>
          <w:i/>
        </w:rPr>
        <w:t xml:space="preserve"> 2009</w:t>
      </w:r>
      <w:r>
        <w:t>,</w:t>
      </w:r>
      <w:r>
        <w:rPr>
          <w:i/>
        </w:rPr>
        <w:t xml:space="preserve"> Notice and Filing Requirements</w:t>
      </w:r>
      <w:r>
        <w:t>,</w:t>
      </w:r>
      <w:r>
        <w:rPr>
          <w:i/>
        </w:rPr>
        <w:t xml:space="preserve"> Minimum Opening Bids</w:t>
      </w:r>
      <w:r>
        <w:t>,</w:t>
      </w:r>
      <w:r>
        <w:rPr>
          <w:i/>
        </w:rPr>
        <w:t xml:space="preserve"> Upfront Payments</w:t>
      </w:r>
      <w:r>
        <w:t>,</w:t>
      </w:r>
      <w:r>
        <w:rPr>
          <w:i/>
        </w:rPr>
        <w:t xml:space="preserve"> and Other Procedures for Auction 86</w:t>
      </w:r>
      <w:r>
        <w:t>, Public Notice, 24 FCC Rcd 8277 (2009).</w:t>
      </w:r>
    </w:p>
  </w:footnote>
  <w:footnote w:id="150">
    <w:p w:rsidR="00564804">
      <w:pPr>
        <w:pStyle w:val="FootnoteText"/>
      </w:pPr>
      <w:r>
        <w:rPr>
          <w:rStyle w:val="FootnoteReference"/>
        </w:rPr>
        <w:footnoteRef/>
      </w:r>
      <w:r>
        <w:t xml:space="preserve"> </w:t>
      </w:r>
      <w:r>
        <w:rPr>
          <w:i/>
        </w:rPr>
        <w:t>Id</w:t>
      </w:r>
      <w:r>
        <w:t>. at 8296, para. 73.</w:t>
      </w:r>
    </w:p>
  </w:footnote>
  <w:footnote w:id="151">
    <w:p w:rsidR="00564804">
      <w:pPr>
        <w:pStyle w:val="FootnoteText"/>
      </w:pPr>
      <w:r>
        <w:rPr>
          <w:rStyle w:val="FootnoteReference"/>
        </w:rPr>
        <w:footnoteRef/>
      </w:r>
      <w:r>
        <w:t xml:space="preserve"> </w:t>
      </w:r>
      <w:r>
        <w:rPr>
          <w:i/>
        </w:rPr>
        <w:t>Auction of Broadband Radio Service Licenses Closes</w:t>
      </w:r>
      <w:r>
        <w:t>,</w:t>
      </w:r>
      <w:r>
        <w:rPr>
          <w:i/>
        </w:rPr>
        <w:t xml:space="preserve"> Winning Bidders Announced for Auction 86</w:t>
      </w:r>
      <w:r>
        <w:t>,</w:t>
      </w:r>
      <w:r>
        <w:rPr>
          <w:i/>
        </w:rPr>
        <w:t xml:space="preserve"> Down Payments Due November 23</w:t>
      </w:r>
      <w:r>
        <w:t>,</w:t>
      </w:r>
      <w:r>
        <w:rPr>
          <w:i/>
        </w:rPr>
        <w:t xml:space="preserve"> 2009</w:t>
      </w:r>
      <w:r>
        <w:t>,</w:t>
      </w:r>
      <w:r>
        <w:rPr>
          <w:i/>
        </w:rPr>
        <w:t xml:space="preserve"> Final Payments Due December 8</w:t>
      </w:r>
      <w:r>
        <w:t>,</w:t>
      </w:r>
      <w:r>
        <w:rPr>
          <w:i/>
        </w:rPr>
        <w:t xml:space="preserve"> 2009</w:t>
      </w:r>
      <w:r>
        <w:t>,</w:t>
      </w:r>
      <w:r>
        <w:rPr>
          <w:i/>
        </w:rPr>
        <w:t xml:space="preserve"> Ten-Day Petition to Deny Period</w:t>
      </w:r>
      <w:r>
        <w:t>, Public Notice, 24 FCC Rcd 13572 (2009).</w:t>
      </w:r>
    </w:p>
  </w:footnote>
  <w:footnote w:id="152">
    <w:p w:rsidR="00564804">
      <w:pPr>
        <w:pStyle w:val="FootnoteText"/>
        <w:rPr>
          <w:lang w:val="fr-FR"/>
        </w:rPr>
      </w:pPr>
      <w:r>
        <w:rPr>
          <w:rStyle w:val="FootnoteReference"/>
        </w:rPr>
        <w:footnoteRef/>
      </w:r>
      <w:r>
        <w:rPr>
          <w:lang w:val="fr-FR"/>
        </w:rPr>
        <w:t xml:space="preserve"> 13 CFR § 121.201, NAICS Code 517410.</w:t>
      </w:r>
    </w:p>
  </w:footnote>
  <w:footnote w:id="153">
    <w:p w:rsidR="00564804">
      <w:pPr>
        <w:pStyle w:val="FootnoteText"/>
      </w:pPr>
      <w:bookmarkStart w:id="56" w:name="_DV_C617"/>
      <w:bookmarkEnd w:id="56"/>
      <w:r>
        <w:rPr>
          <w:rStyle w:val="FootnoteReference"/>
        </w:rPr>
        <w:footnoteRef/>
      </w:r>
      <w:r>
        <w:t xml:space="preserve"> U.S. Census Bureau, 2012 NAICS Definitions, “517410 Satellite Telecommunications,” </w:t>
      </w:r>
      <w:hyperlink r:id="rId15" w:history="1">
        <w:r>
          <w:rPr>
            <w:rStyle w:val="Hyperlink"/>
          </w:rPr>
          <w:t>http://www.census.gov/naics/2007/def/ND517410.HTM</w:t>
        </w:r>
      </w:hyperlink>
      <w:r>
        <w:t xml:space="preserve">.  </w:t>
      </w:r>
    </w:p>
  </w:footnote>
  <w:footnote w:id="154">
    <w:p w:rsidR="00564804">
      <w:pPr>
        <w:pStyle w:val="FootnoteText"/>
      </w:pPr>
      <w:r>
        <w:rPr>
          <w:rStyle w:val="FootnoteReference"/>
        </w:rPr>
        <w:footnoteRef/>
      </w:r>
      <w:r>
        <w:t xml:space="preserve"> 13 CFR § 121.201, NAICS Code 517410.</w:t>
      </w:r>
    </w:p>
  </w:footnote>
  <w:footnote w:id="155">
    <w:p w:rsidR="00564804">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EC1251SSSZ4, Information: Subject Series - Estab and Firm Size: </w:t>
      </w:r>
      <w:r>
        <w:rPr>
          <w:bCs/>
        </w:rPr>
        <w:t>Receipts Size of Firms for the United States: 2012</w:t>
      </w:r>
      <w:r>
        <w:t xml:space="preserve">, NAICS Code 517410 </w:t>
      </w:r>
      <w:hyperlink r:id="rId16" w:history="1">
        <w:r>
          <w:rPr>
            <w:rStyle w:val="Hyperlink"/>
          </w:rPr>
          <w:t>http://factfinder.census.gov/faces/tableservices/jsf/pages/productview.xhtml?pid=ECN_2012_US_51SSSZ4&amp;prodType=table</w:t>
        </w:r>
      </w:hyperlink>
      <w:r>
        <w:t xml:space="preserve">. </w:t>
      </w:r>
    </w:p>
  </w:footnote>
  <w:footnote w:id="156">
    <w:p w:rsidR="00564804">
      <w:pPr>
        <w:pStyle w:val="FootnoteText"/>
      </w:pPr>
      <w:r>
        <w:rPr>
          <w:rStyle w:val="FootnoteReference"/>
        </w:rPr>
        <w:footnoteRef/>
      </w:r>
      <w:r>
        <w:t xml:space="preserve"> </w:t>
      </w:r>
      <w:r>
        <w:rPr>
          <w:i/>
        </w:rPr>
        <w:t>Id</w:t>
      </w:r>
      <w:r>
        <w:t>.</w:t>
      </w:r>
    </w:p>
  </w:footnote>
  <w:footnote w:id="157">
    <w:p w:rsidR="00564804">
      <w:pPr>
        <w:pStyle w:val="FootnoteText"/>
      </w:pPr>
      <w:r>
        <w:rPr>
          <w:rStyle w:val="FootnoteReference"/>
        </w:rPr>
        <w:footnoteRef/>
      </w:r>
      <w:r>
        <w:t xml:space="preserve"> NAICS Code 517919; </w:t>
      </w:r>
      <w:hyperlink r:id="rId17" w:history="1">
        <w:r>
          <w:rPr>
            <w:rStyle w:val="Hyperlink"/>
          </w:rPr>
          <w:t>https://www.census.gov/econ/isp/sampler.php?naicscode=517919&amp;naicslevel=6</w:t>
        </w:r>
      </w:hyperlink>
      <w:r>
        <w:t xml:space="preserve">. </w:t>
      </w:r>
    </w:p>
  </w:footnote>
  <w:footnote w:id="158">
    <w:p w:rsidR="00564804">
      <w:pPr>
        <w:pStyle w:val="FootnoteText"/>
      </w:pPr>
      <w:r>
        <w:rPr>
          <w:rStyle w:val="FootnoteReference"/>
        </w:rPr>
        <w:footnoteRef/>
      </w:r>
      <w:r>
        <w:t xml:space="preserve"> 13 CFR § 121.201, NAICS Code 517919.</w:t>
      </w:r>
    </w:p>
  </w:footnote>
  <w:footnote w:id="159">
    <w:p w:rsidR="00564804">
      <w:pPr>
        <w:autoSpaceDE w:val="0"/>
        <w:autoSpaceDN w:val="0"/>
        <w:adjustRightInd w:val="0"/>
        <w:spacing w:after="120"/>
        <w:rPr>
          <w:rFonts w:ascii="Times New Roman" w:hAnsi="Times New Roman" w:cs="Times New Roman"/>
        </w:rPr>
      </w:pPr>
      <w:r>
        <w:rPr>
          <w:rStyle w:val="FootnoteReference"/>
          <w:rFonts w:cs="Times New Roman"/>
        </w:rPr>
        <w:footnoteRef/>
      </w:r>
      <w:r>
        <w:rPr>
          <w:rFonts w:ascii="Times New Roman" w:hAnsi="Times New Roman" w:cs="Times New Roman"/>
          <w:sz w:val="20"/>
        </w:rPr>
        <w:t xml:space="preserve"> U.S. Census Bureau, </w:t>
      </w:r>
      <w:r>
        <w:rPr>
          <w:rFonts w:ascii="Times New Roman" w:hAnsi="Times New Roman" w:cs="Times New Roman"/>
          <w:i/>
          <w:iCs/>
          <w:sz w:val="20"/>
        </w:rPr>
        <w:t>2012 Economic Census of the United States</w:t>
      </w:r>
      <w:r>
        <w:rPr>
          <w:rFonts w:ascii="Times New Roman" w:hAnsi="Times New Roman" w:cs="Times New Roman"/>
          <w:sz w:val="20"/>
        </w:rPr>
        <w:t xml:space="preserve">, Table EC0751SSSZ1, Information:  Subject Series - Establishment and Firm Size: Receipts Size of Firms for the United States: 2012 NAICS Code 517919, </w:t>
      </w:r>
      <w:hyperlink r:id="rId18" w:history="1">
        <w:r>
          <w:rPr>
            <w:rStyle w:val="Hyperlink"/>
            <w:rFonts w:ascii="Times New Roman" w:hAnsi="Times New Roman" w:cs="Times New Roman"/>
            <w:sz w:val="20"/>
          </w:rPr>
          <w:t>http://factfinder.census.gov/faces/tableservices/jsf/pages/productview.xhtml?pid=ECN_2012_US_51SSSZ1&amp;prodType=table</w:t>
        </w:r>
      </w:hyperlink>
      <w:r>
        <w:rPr>
          <w:rFonts w:ascii="Times New Roman" w:hAnsi="Times New Roman" w:cs="Times New Roman"/>
          <w:sz w:val="20"/>
        </w:rPr>
        <w:t>.</w:t>
      </w:r>
    </w:p>
  </w:footnote>
  <w:footnote w:id="160">
    <w:p w:rsidR="00564804">
      <w:pPr>
        <w:pStyle w:val="FootnoteText"/>
        <w:widowControl w:val="0"/>
      </w:pPr>
      <w:r>
        <w:rPr>
          <w:rStyle w:val="FootnoteReference"/>
          <w:sz w:val="20"/>
        </w:rPr>
        <w:footnoteRef/>
      </w:r>
      <w:r>
        <w:t xml:space="preserve"> 5 U.S.C. § 603(c)(1)-(c)(4).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4804">
    <w:pPr>
      <w:tabs>
        <w:tab w:val="center" w:pos="4680"/>
        <w:tab w:val="right" w:pos="9360"/>
      </w:tabs>
      <w:rPr>
        <w:rFonts w:ascii="Times New Roman" w:hAnsi="Times New Roman" w:cs="Times New Roman"/>
      </w:rPr>
    </w:pPr>
    <w:r>
      <w:rPr>
        <w:b/>
      </w:rPr>
      <w:tab/>
    </w:r>
    <w:r>
      <w:rPr>
        <w:rFonts w:ascii="Times New Roman" w:hAnsi="Times New Roman" w:cs="Times New Roman"/>
        <w:b/>
      </w:rPr>
      <w:t>Federal Communications Commission</w:t>
    </w:r>
    <w:r>
      <w:rPr>
        <w:rFonts w:ascii="Times New Roman" w:hAnsi="Times New Roman" w:cs="Times New Roman"/>
        <w:b/>
      </w:rPr>
      <w:tab/>
      <w:t>DA 20-</w:t>
    </w:r>
    <w:r w:rsidR="00DF475C">
      <w:rPr>
        <w:rFonts w:ascii="Times New Roman" w:hAnsi="Times New Roman" w:cs="Times New Roman"/>
        <w:b/>
      </w:rPr>
      <w:t>203</w:t>
    </w:r>
  </w:p>
  <w:p w:rsidR="0056480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64804">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4804">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64804">
                          <w:pPr>
                            <w:spacing w:after="0"/>
                            <w:rPr>
                              <w:rFonts w:ascii="Arial" w:hAnsi="Arial"/>
                              <w:b/>
                            </w:rPr>
                          </w:pPr>
                          <w:r>
                            <w:rPr>
                              <w:rFonts w:ascii="Arial" w:hAnsi="Arial"/>
                              <w:b/>
                            </w:rPr>
                            <w:t>Federal Communications Commission</w:t>
                          </w:r>
                        </w:p>
                        <w:p w:rsidR="00564804">
                          <w:pPr>
                            <w:spacing w:after="0"/>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64804">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564804">
                    <w:pPr>
                      <w:spacing w:after="0"/>
                      <w:rPr>
                        <w:rFonts w:ascii="Arial" w:hAnsi="Arial"/>
                        <w:b/>
                      </w:rPr>
                    </w:pPr>
                    <w:r>
                      <w:rPr>
                        <w:rFonts w:ascii="Arial" w:hAnsi="Arial"/>
                        <w:b/>
                      </w:rPr>
                      <w:t>Federal Communications Commission</w:t>
                    </w:r>
                  </w:p>
                  <w:p w:rsidR="00564804">
                    <w:pPr>
                      <w:spacing w:after="0"/>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64804">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16816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96"/>
      </w:rPr>
      <w:t>PUBLIC NOTICE</w:t>
    </w:r>
  </w:p>
  <w:p w:rsidR="00564804">
    <w:pPr>
      <w:spacing w:before="40"/>
      <w:rPr>
        <w:rFonts w:ascii="Arial" w:hAnsi="Arial" w:cs="Arial"/>
        <w:b/>
        <w:sz w:val="96"/>
      </w:rPr>
    </w:pP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13335</wp:posOffset>
              </wp:positionV>
              <wp:extent cx="2640965" cy="381000"/>
              <wp:effectExtent l="0" t="0" r="6985"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3810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64804">
                          <w:pPr>
                            <w:spacing w:after="0"/>
                            <w:jc w:val="right"/>
                            <w:rPr>
                              <w:rFonts w:ascii="Arial" w:hAnsi="Arial"/>
                              <w:b/>
                              <w:sz w:val="16"/>
                            </w:rPr>
                          </w:pPr>
                          <w:r>
                            <w:rPr>
                              <w:rFonts w:ascii="Arial" w:hAnsi="Arial"/>
                              <w:b/>
                              <w:sz w:val="16"/>
                            </w:rPr>
                            <w:t>News Media Information 202 / 418-0500</w:t>
                          </w:r>
                        </w:p>
                        <w:p w:rsidR="00564804">
                          <w:pPr>
                            <w:spacing w:after="0"/>
                            <w:jc w:val="right"/>
                            <w:rPr>
                              <w:rFonts w:ascii="Arial" w:hAnsi="Arial"/>
                              <w:b/>
                              <w:sz w:val="16"/>
                            </w:rPr>
                          </w:pPr>
                          <w:r>
                            <w:rPr>
                              <w:rFonts w:ascii="Arial" w:hAnsi="Arial"/>
                              <w:b/>
                              <w:sz w:val="16"/>
                            </w:rPr>
                            <w:t xml:space="preserve">Internet: </w:t>
                          </w:r>
                          <w:bookmarkStart w:id="110" w:name="_Hlt233824"/>
                          <w:hyperlink r:id="rId2" w:history="1">
                            <w:r>
                              <w:rPr>
                                <w:rStyle w:val="Hyperlink"/>
                                <w:rFonts w:ascii="Arial" w:hAnsi="Arial"/>
                                <w:b/>
                                <w:sz w:val="16"/>
                              </w:rPr>
                              <w:t>h</w:t>
                            </w:r>
                            <w:bookmarkEnd w:id="110"/>
                            <w:r>
                              <w:rPr>
                                <w:rStyle w:val="Hyperlink"/>
                                <w:rFonts w:ascii="Arial" w:hAnsi="Arial"/>
                                <w:b/>
                                <w:sz w:val="16"/>
                              </w:rPr>
                              <w:t>ttps://www.fcc.gov</w:t>
                            </w:r>
                          </w:hyperlink>
                        </w:p>
                        <w:p w:rsidR="00564804">
                          <w:pPr>
                            <w:spacing w:after="0"/>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0pt;margin-top:1.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564804">
                    <w:pPr>
                      <w:spacing w:after="0"/>
                      <w:jc w:val="right"/>
                      <w:rPr>
                        <w:rFonts w:ascii="Arial" w:hAnsi="Arial"/>
                        <w:b/>
                        <w:sz w:val="16"/>
                      </w:rPr>
                    </w:pPr>
                    <w:r>
                      <w:rPr>
                        <w:rFonts w:ascii="Arial" w:hAnsi="Arial"/>
                        <w:b/>
                        <w:sz w:val="16"/>
                      </w:rPr>
                      <w:t>News Media Information 202 / 418-0500</w:t>
                    </w:r>
                  </w:p>
                  <w:p w:rsidR="00564804">
                    <w:pPr>
                      <w:spacing w:after="0"/>
                      <w:jc w:val="right"/>
                      <w:rPr>
                        <w:rFonts w:ascii="Arial" w:hAnsi="Arial"/>
                        <w:b/>
                        <w:sz w:val="16"/>
                      </w:rPr>
                    </w:pPr>
                    <w:r>
                      <w:rPr>
                        <w:rFonts w:ascii="Arial" w:hAnsi="Arial"/>
                        <w:b/>
                        <w:sz w:val="16"/>
                      </w:rPr>
                      <w:t xml:space="preserve">Internet: </w:t>
                    </w:r>
                    <w:bookmarkStart w:id="110" w:name="_Hlt233824"/>
                    <w:hyperlink r:id="rId2" w:history="1">
                      <w:r>
                        <w:rPr>
                          <w:rStyle w:val="Hyperlink"/>
                          <w:rFonts w:ascii="Arial" w:hAnsi="Arial"/>
                          <w:b/>
                          <w:sz w:val="16"/>
                        </w:rPr>
                        <w:t>h</w:t>
                      </w:r>
                      <w:bookmarkEnd w:id="110"/>
                      <w:r>
                        <w:rPr>
                          <w:rStyle w:val="Hyperlink"/>
                          <w:rFonts w:ascii="Arial" w:hAnsi="Arial"/>
                          <w:b/>
                          <w:sz w:val="16"/>
                        </w:rPr>
                        <w:t>ttps://www.fcc.gov</w:t>
                      </w:r>
                    </w:hyperlink>
                  </w:p>
                  <w:p w:rsidR="00564804">
                    <w:pPr>
                      <w:spacing w:after="0"/>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2"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p>
  <w:p w:rsidR="00564804">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5BCCF9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23E69AA2"/>
    <w:lvl w:ilvl="0">
      <w:start w:val="1"/>
      <w:numFmt w:val="decimal"/>
      <w:pStyle w:val="ParaNum"/>
      <w:lvlText w:val="%1."/>
      <w:lvlJc w:val="left"/>
      <w:pPr>
        <w:tabs>
          <w:tab w:val="num" w:pos="1080"/>
        </w:tabs>
        <w:ind w:left="0" w:firstLine="720"/>
      </w:pPr>
      <w:rPr>
        <w:rFonts w:ascii="Times New Roman" w:hAnsi="Times New Roman" w:cs="Times New Roman" w:hint="default"/>
      </w:r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7"/>
  </w:num>
  <w:num w:numId="5">
    <w:abstractNumId w:val="3"/>
  </w:num>
  <w:num w:numId="6">
    <w:abstractNumId w:val="1"/>
  </w:num>
  <w:num w:numId="7">
    <w:abstractNumId w:val="6"/>
  </w:num>
  <w:num w:numId="8">
    <w:abstractNumId w:val="0"/>
  </w:num>
  <w:num w:numId="9">
    <w:abstractNumId w:val="9"/>
  </w:num>
  <w:num w:numId="10">
    <w:abstractNumId w:val="5"/>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804"/>
    <w:rsid w:val="004B0309"/>
    <w:rsid w:val="00564804"/>
    <w:rsid w:val="008C4811"/>
    <w:rsid w:val="00DF47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98FA5B9-A3C8-46F7-8C71-5CF5C97E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75C"/>
    <w:pPr>
      <w:spacing w:after="160" w:line="259" w:lineRule="auto"/>
    </w:pPr>
    <w:rPr>
      <w:rFonts w:asciiTheme="minorHAnsi" w:eastAsiaTheme="minorHAnsi" w:hAnsiTheme="minorHAnsi" w:cstheme="minorBidi"/>
      <w:sz w:val="22"/>
      <w:szCs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pPr>
      <w:numPr>
        <w:ilvl w:val="5"/>
        <w:numId w:val="3"/>
      </w:numPr>
      <w:tabs>
        <w:tab w:val="left" w:pos="4320"/>
      </w:tabs>
      <w:spacing w:after="120"/>
      <w:outlineLvl w:val="5"/>
    </w:pPr>
    <w:rPr>
      <w:b/>
    </w:rPr>
  </w:style>
  <w:style w:type="paragraph" w:styleId="Heading7">
    <w:name w:val="heading 7"/>
    <w:aliases w:val="Heading 7 Char"/>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F47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475C"/>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 Char Char Char1,Footnote Text Char1 Char,Footnote Text Char1 Char Char Char1,Footnote Text Char2 Char,Footnote Text Char2 Char Char Char Char Char1,Footnote Text Char3,f,fn"/>
    <w:link w:val="FootnoteTextChar"/>
    <w:uiPriority w:val="99"/>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Strong">
    <w:name w:val="Strong"/>
    <w:qFormat/>
    <w:rPr>
      <w:b/>
      <w:bCs/>
    </w:rPr>
  </w:style>
  <w:style w:type="character" w:customStyle="1" w:styleId="FootnoteTextChar">
    <w:name w:val="Footnote Text Char"/>
    <w:aliases w:val="ALTS FOOTNOTE Char,Footnote Text Char Char Char Char Char1 Char1,Footnote Text Char Char Char Char1,Footnote Text Char1 Char Char Char1 Char1,Footnote Text Char1 Char Char1,Footnote Text Char2 Char Char1,Footnote Text Char3 Char1"/>
    <w:link w:val="FootnoteText"/>
    <w:uiPriority w:val="99"/>
  </w:style>
  <w:style w:type="character" w:customStyle="1" w:styleId="UnresolvedMention1">
    <w:name w:val="Unresolved Mention1"/>
    <w:basedOn w:val="DefaultParagraphFont"/>
    <w:uiPriority w:val="99"/>
    <w:rPr>
      <w:color w:val="605E5C"/>
      <w:shd w:val="clear" w:color="auto" w:fill="E1DFDD"/>
    </w:rPr>
  </w:style>
  <w:style w:type="character" w:customStyle="1" w:styleId="FootnoteTextChar1">
    <w:name w:val="Footnote Text Char1"/>
    <w:aliases w:val="Footnote Text Char Char,Footnote Text Char Char Char Char,Footnote Text Char Char Char Char Char1 Char,Footnote Text Char1 Char Char,Footnote Text Char1 Char Char Char1 Char,Footnote Text Char2 Char Char,Footnote Text Char3 Cha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customStyle="1" w:styleId="Paranum0">
    <w:name w:val="Paranum"/>
    <w:basedOn w:val="Normal"/>
    <w:pPr>
      <w:numPr>
        <w:numId w:val="7"/>
      </w:numPr>
      <w:spacing w:after="220"/>
      <w:jc w:val="both"/>
    </w:pPr>
    <w:rPr>
      <w:snapToGrid w:val="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
    <w:name w:val="Unresolved Mention"/>
    <w:basedOn w:val="DefaultParagraphFont"/>
    <w:uiPriority w:val="99"/>
    <w:rPr>
      <w:color w:val="605E5C"/>
      <w:shd w:val="clear" w:color="auto" w:fill="E1DFDD"/>
    </w:rPr>
  </w:style>
  <w:style w:type="character" w:customStyle="1" w:styleId="Footnote">
    <w:name w:val="Footnot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Raelynn.Remy@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platform.mi.spglobal.com/web/client?auth=inherit" TargetMode="External" /><Relationship Id="rId10" Type="http://schemas.openxmlformats.org/officeDocument/2006/relationships/hyperlink" Target="https://www.census.gov/econ/isp/sampler.php?naicscode=517210&amp;naicslevel=6" TargetMode="External" /><Relationship Id="rId11" Type="http://schemas.openxmlformats.org/officeDocument/2006/relationships/hyperlink" Target="http://factfinder.census.gov/faces/tableservices/jsf/pages/productview.xhtml?pid=ECN_2012_US_51SSSZ5&amp;prodType=table" TargetMode="External" /><Relationship Id="rId12" Type="http://schemas.openxmlformats.org/officeDocument/2006/relationships/hyperlink" Target="http://wireless.fcc.gov/uls" TargetMode="External" /><Relationship Id="rId13" Type="http://schemas.openxmlformats.org/officeDocument/2006/relationships/hyperlink" Target="https://factfinder.census.gov/bkmk/table/1.0/en/ECN/2012_US/51SSSZ5//naics~517210" TargetMode="External" /><Relationship Id="rId14" Type="http://schemas.openxmlformats.org/officeDocument/2006/relationships/hyperlink" Target="https://apps.fcc.gov/edocs_public/attachmatch/DOC-301823A1.pdf" TargetMode="External" /><Relationship Id="rId15" Type="http://schemas.openxmlformats.org/officeDocument/2006/relationships/hyperlink" Target="http://www.census.gov/naics/2007/def/ND517410.HTM" TargetMode="External" /><Relationship Id="rId16" Type="http://schemas.openxmlformats.org/officeDocument/2006/relationships/hyperlink" Target="http://factfinder.census.gov/faces/tableservices/jsf/pages/productview.xhtml?pid=ECN_2012_US_51SSSZ4&amp;prodType=table" TargetMode="External" /><Relationship Id="rId17" Type="http://schemas.openxmlformats.org/officeDocument/2006/relationships/hyperlink" Target="https://www.census.gov/econ/isp/sampler.php?naicscode=517919&amp;naicslevel=6" TargetMode="External" /><Relationship Id="rId18" Type="http://schemas.openxmlformats.org/officeDocument/2006/relationships/hyperlink" Target="http://factfinder.census.gov/faces/tableservices/jsf/pages/productview.xhtml?pid=ECN_2012_US_51SSSZ1&amp;prodType=table" TargetMode="External" /><Relationship Id="rId2" Type="http://schemas.openxmlformats.org/officeDocument/2006/relationships/hyperlink" Target="http://www.fcc.gov/coals" TargetMode="External" /><Relationship Id="rId3" Type="http://schemas.openxmlformats.org/officeDocument/2006/relationships/hyperlink" Target="https://factfinder.census.gov/faces/nav/jsf/pages/searchresults.xhtml?refresh=t" TargetMode="External" /><Relationship Id="rId4" Type="http://schemas.openxmlformats.org/officeDocument/2006/relationships/hyperlink" Target="http://www.fcc.gov/mb/ovs/csovscer.html" TargetMode="External" /><Relationship Id="rId5" Type="http://schemas.openxmlformats.org/officeDocument/2006/relationships/hyperlink" Target="http://www.fcc.gov/encyclopedia/current-filings-certification-open-video-systems" TargetMode="External" /><Relationship Id="rId6" Type="http://schemas.openxmlformats.org/officeDocument/2006/relationships/hyperlink" Target="http://www.census.gov/cgi-bin/sssd/naics/naicsrch" TargetMode="External" /><Relationship Id="rId7" Type="http://schemas.openxmlformats.org/officeDocument/2006/relationships/hyperlink" Target="https://factfinder.census.gov/faces/tableservices/jsf/pages/productview.xhtml?pid=ECN_2012_US_51SSSZ5&amp;prodType=table" TargetMode="External" /><Relationship Id="rId8" Type="http://schemas.openxmlformats.org/officeDocument/2006/relationships/hyperlink" Target="https://www.census.gov/cgi-bin/sssd/naics/naicsrch?code=517311&amp;search=2017" TargetMode="External" /><Relationship Id="rId9" Type="http://schemas.openxmlformats.org/officeDocument/2006/relationships/hyperlink" Target="https://factfinder.census.gov/bkmk/table/1.0/en/ECN/2012_US/51SSSZ5//naics~517110"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