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A8458E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53522A" w14:textId="77777777">
      <w:pPr>
        <w:pStyle w:val="StyleBoldCentered"/>
      </w:pPr>
      <w:r>
        <w:t>F</w:t>
      </w:r>
      <w:r>
        <w:rPr>
          <w:caps w:val="0"/>
        </w:rPr>
        <w:t>ederal Communications Commission</w:t>
      </w:r>
    </w:p>
    <w:p w:rsidR="004C2EE3" w:rsidP="00096D8C" w14:paraId="2183CA3C" w14:textId="77777777">
      <w:pPr>
        <w:pStyle w:val="StyleBoldCentered"/>
      </w:pPr>
      <w:r>
        <w:rPr>
          <w:caps w:val="0"/>
        </w:rPr>
        <w:t>Washington, D.C. 20554</w:t>
      </w:r>
    </w:p>
    <w:p w:rsidR="004C2EE3" w:rsidP="0070224F" w14:paraId="7F443A4B" w14:textId="77777777"/>
    <w:tbl>
      <w:tblPr>
        <w:tblW w:w="0" w:type="auto"/>
        <w:tblLayout w:type="fixed"/>
        <w:tblLook w:val="0000"/>
      </w:tblPr>
      <w:tblGrid>
        <w:gridCol w:w="4698"/>
        <w:gridCol w:w="630"/>
        <w:gridCol w:w="4248"/>
      </w:tblGrid>
      <w:tr w14:paraId="606DAEE6" w14:textId="77777777">
        <w:tblPrEx>
          <w:tblW w:w="0" w:type="auto"/>
          <w:tblLayout w:type="fixed"/>
          <w:tblLook w:val="0000"/>
        </w:tblPrEx>
        <w:tc>
          <w:tcPr>
            <w:tcW w:w="4698" w:type="dxa"/>
          </w:tcPr>
          <w:p w:rsidR="004C2EE3" w14:paraId="777D4B53" w14:textId="77777777">
            <w:pPr>
              <w:tabs>
                <w:tab w:val="center" w:pos="4680"/>
              </w:tabs>
              <w:suppressAutoHyphens/>
              <w:rPr>
                <w:spacing w:val="-2"/>
              </w:rPr>
            </w:pPr>
            <w:r>
              <w:rPr>
                <w:spacing w:val="-2"/>
              </w:rPr>
              <w:t>In the Matter of</w:t>
            </w:r>
          </w:p>
          <w:p w:rsidR="004C2EE3" w14:paraId="1CBFA791" w14:textId="77777777">
            <w:pPr>
              <w:tabs>
                <w:tab w:val="center" w:pos="4680"/>
              </w:tabs>
              <w:suppressAutoHyphens/>
              <w:rPr>
                <w:spacing w:val="-2"/>
              </w:rPr>
            </w:pPr>
          </w:p>
          <w:p w:rsidR="004C2EE3" w:rsidP="00347CF3" w14:paraId="2282751A" w14:textId="260CF3C8">
            <w:pPr>
              <w:tabs>
                <w:tab w:val="center" w:pos="4680"/>
              </w:tabs>
              <w:suppressAutoHyphens/>
              <w:rPr>
                <w:spacing w:val="-2"/>
              </w:rPr>
            </w:pPr>
            <w:r>
              <w:rPr>
                <w:spacing w:val="-2"/>
              </w:rPr>
              <w:t xml:space="preserve">Carolina Radio Group, </w:t>
            </w:r>
            <w:r w:rsidR="00FB2145">
              <w:rPr>
                <w:spacing w:val="-2"/>
              </w:rPr>
              <w:t>Inc.</w:t>
            </w:r>
          </w:p>
          <w:p w:rsidR="00347CF3" w:rsidP="00347CF3" w14:paraId="5607CABE" w14:textId="77777777">
            <w:pPr>
              <w:tabs>
                <w:tab w:val="center" w:pos="4680"/>
              </w:tabs>
              <w:suppressAutoHyphens/>
              <w:rPr>
                <w:spacing w:val="-2"/>
              </w:rPr>
            </w:pPr>
          </w:p>
          <w:p w:rsidR="00347CF3" w:rsidP="00347CF3" w14:paraId="576BB5C6" w14:textId="412B510F">
            <w:pPr>
              <w:tabs>
                <w:tab w:val="center" w:pos="4680"/>
              </w:tabs>
              <w:suppressAutoHyphens/>
              <w:rPr>
                <w:spacing w:val="-2"/>
              </w:rPr>
            </w:pPr>
            <w:r>
              <w:rPr>
                <w:spacing w:val="-2"/>
              </w:rPr>
              <w:t xml:space="preserve">Application for </w:t>
            </w:r>
            <w:r w:rsidR="00DB5AFB">
              <w:rPr>
                <w:spacing w:val="-2"/>
              </w:rPr>
              <w:t>License to Cover</w:t>
            </w:r>
          </w:p>
          <w:p w:rsidR="00347CF3" w:rsidRPr="007115F7" w:rsidP="00415523" w14:paraId="7F8C1540" w14:textId="2BE3DE5B">
            <w:pPr>
              <w:tabs>
                <w:tab w:val="center" w:pos="4680"/>
              </w:tabs>
              <w:suppressAutoHyphens/>
              <w:rPr>
                <w:spacing w:val="-2"/>
              </w:rPr>
            </w:pPr>
            <w:r>
              <w:rPr>
                <w:spacing w:val="-2"/>
              </w:rPr>
              <w:t>W225DF, Raleigh, North Carolina</w:t>
            </w:r>
          </w:p>
        </w:tc>
        <w:tc>
          <w:tcPr>
            <w:tcW w:w="630" w:type="dxa"/>
          </w:tcPr>
          <w:p w:rsidR="004C2EE3" w:rsidRPr="00F43F3C" w14:paraId="3C184591" w14:textId="77777777">
            <w:pPr>
              <w:tabs>
                <w:tab w:val="center" w:pos="4680"/>
              </w:tabs>
              <w:suppressAutoHyphens/>
              <w:rPr>
                <w:b/>
                <w:spacing w:val="-2"/>
                <w:szCs w:val="22"/>
              </w:rPr>
            </w:pPr>
            <w:r w:rsidRPr="00F43F3C">
              <w:rPr>
                <w:b/>
                <w:spacing w:val="-2"/>
                <w:szCs w:val="22"/>
              </w:rPr>
              <w:t>)</w:t>
            </w:r>
          </w:p>
          <w:p w:rsidR="004C2EE3" w:rsidRPr="00F43F3C" w14:paraId="0A319555" w14:textId="77777777">
            <w:pPr>
              <w:tabs>
                <w:tab w:val="center" w:pos="4680"/>
              </w:tabs>
              <w:suppressAutoHyphens/>
              <w:rPr>
                <w:b/>
                <w:spacing w:val="-2"/>
                <w:szCs w:val="22"/>
              </w:rPr>
            </w:pPr>
            <w:r w:rsidRPr="00F43F3C">
              <w:rPr>
                <w:b/>
                <w:spacing w:val="-2"/>
                <w:szCs w:val="22"/>
              </w:rPr>
              <w:t>)</w:t>
            </w:r>
          </w:p>
          <w:p w:rsidR="004C2EE3" w:rsidRPr="00F43F3C" w14:paraId="2B3AA690" w14:textId="77777777">
            <w:pPr>
              <w:tabs>
                <w:tab w:val="center" w:pos="4680"/>
              </w:tabs>
              <w:suppressAutoHyphens/>
              <w:rPr>
                <w:b/>
                <w:spacing w:val="-2"/>
                <w:szCs w:val="22"/>
              </w:rPr>
            </w:pPr>
            <w:r w:rsidRPr="00F43F3C">
              <w:rPr>
                <w:b/>
                <w:spacing w:val="-2"/>
                <w:szCs w:val="22"/>
              </w:rPr>
              <w:t>)</w:t>
            </w:r>
          </w:p>
          <w:p w:rsidR="004C2EE3" w:rsidRPr="00F43F3C" w14:paraId="04149D23" w14:textId="77777777">
            <w:pPr>
              <w:tabs>
                <w:tab w:val="center" w:pos="4680"/>
              </w:tabs>
              <w:suppressAutoHyphens/>
              <w:rPr>
                <w:b/>
                <w:spacing w:val="-2"/>
                <w:szCs w:val="22"/>
              </w:rPr>
            </w:pPr>
            <w:r w:rsidRPr="00F43F3C">
              <w:rPr>
                <w:b/>
                <w:spacing w:val="-2"/>
                <w:szCs w:val="22"/>
              </w:rPr>
              <w:t>)</w:t>
            </w:r>
          </w:p>
          <w:p w:rsidR="004C2EE3" w:rsidRPr="00F43F3C" w14:paraId="25DCEB62" w14:textId="77777777">
            <w:pPr>
              <w:tabs>
                <w:tab w:val="center" w:pos="4680"/>
              </w:tabs>
              <w:suppressAutoHyphens/>
              <w:rPr>
                <w:b/>
                <w:spacing w:val="-2"/>
                <w:szCs w:val="22"/>
              </w:rPr>
            </w:pPr>
            <w:r w:rsidRPr="00F43F3C">
              <w:rPr>
                <w:b/>
                <w:spacing w:val="-2"/>
                <w:szCs w:val="22"/>
              </w:rPr>
              <w:t>)</w:t>
            </w:r>
          </w:p>
          <w:p w:rsidR="004C2EE3" w:rsidRPr="00534284" w14:paraId="12DC95D9" w14:textId="25FBED66">
            <w:pPr>
              <w:tabs>
                <w:tab w:val="center" w:pos="4680"/>
              </w:tabs>
              <w:suppressAutoHyphens/>
              <w:rPr>
                <w:b/>
                <w:spacing w:val="-2"/>
                <w:szCs w:val="22"/>
              </w:rPr>
            </w:pPr>
            <w:r w:rsidRPr="00F43F3C">
              <w:rPr>
                <w:b/>
                <w:spacing w:val="-2"/>
                <w:szCs w:val="22"/>
              </w:rPr>
              <w:t>)</w:t>
            </w:r>
          </w:p>
        </w:tc>
        <w:tc>
          <w:tcPr>
            <w:tcW w:w="4248" w:type="dxa"/>
          </w:tcPr>
          <w:p w:rsidR="004C2EE3" w:rsidRPr="00F43F3C" w14:paraId="336D581C" w14:textId="77777777">
            <w:pPr>
              <w:tabs>
                <w:tab w:val="center" w:pos="4680"/>
              </w:tabs>
              <w:suppressAutoHyphens/>
              <w:rPr>
                <w:spacing w:val="-2"/>
                <w:szCs w:val="22"/>
              </w:rPr>
            </w:pPr>
          </w:p>
          <w:p w:rsidR="004C2EE3" w:rsidRPr="00F43F3C" w14:paraId="04D9FF72" w14:textId="77777777">
            <w:pPr>
              <w:pStyle w:val="TOAHeading"/>
              <w:tabs>
                <w:tab w:val="center" w:pos="4680"/>
                <w:tab w:val="clear" w:pos="9360"/>
              </w:tabs>
              <w:rPr>
                <w:spacing w:val="-2"/>
                <w:szCs w:val="22"/>
              </w:rPr>
            </w:pPr>
          </w:p>
          <w:p w:rsidR="0076484D" w:rsidRPr="00F43F3C" w:rsidP="0076484D" w14:paraId="29418530" w14:textId="07ADF712">
            <w:pPr>
              <w:widowControl/>
              <w:autoSpaceDE w:val="0"/>
              <w:autoSpaceDN w:val="0"/>
              <w:adjustRightInd w:val="0"/>
              <w:rPr>
                <w:snapToGrid/>
                <w:kern w:val="0"/>
                <w:szCs w:val="22"/>
              </w:rPr>
            </w:pPr>
            <w:r w:rsidRPr="00F43F3C">
              <w:rPr>
                <w:snapToGrid/>
                <w:kern w:val="0"/>
                <w:szCs w:val="22"/>
              </w:rPr>
              <w:t xml:space="preserve">NAL/Acct. No. </w:t>
            </w:r>
            <w:r w:rsidR="004A05B4">
              <w:rPr>
                <w:snapToGrid/>
                <w:kern w:val="0"/>
                <w:szCs w:val="22"/>
              </w:rPr>
              <w:t>MB-2019414</w:t>
            </w:r>
            <w:r w:rsidR="00240D1E">
              <w:rPr>
                <w:snapToGrid/>
                <w:kern w:val="0"/>
                <w:szCs w:val="22"/>
              </w:rPr>
              <w:t>1</w:t>
            </w:r>
            <w:r w:rsidR="004A05B4">
              <w:rPr>
                <w:snapToGrid/>
                <w:kern w:val="0"/>
                <w:szCs w:val="22"/>
              </w:rPr>
              <w:t>000</w:t>
            </w:r>
            <w:r w:rsidR="00240D1E">
              <w:rPr>
                <w:snapToGrid/>
                <w:kern w:val="0"/>
                <w:szCs w:val="22"/>
              </w:rPr>
              <w:t>9</w:t>
            </w:r>
          </w:p>
          <w:p w:rsidR="0076484D" w:rsidRPr="00F43F3C" w:rsidP="0076484D" w14:paraId="519F4798" w14:textId="61C28812">
            <w:pPr>
              <w:widowControl/>
              <w:autoSpaceDE w:val="0"/>
              <w:autoSpaceDN w:val="0"/>
              <w:adjustRightInd w:val="0"/>
              <w:rPr>
                <w:snapToGrid/>
                <w:kern w:val="0"/>
                <w:szCs w:val="22"/>
              </w:rPr>
            </w:pPr>
            <w:r w:rsidRPr="00F43F3C">
              <w:rPr>
                <w:snapToGrid/>
                <w:kern w:val="0"/>
                <w:szCs w:val="22"/>
              </w:rPr>
              <w:t xml:space="preserve">FRN: </w:t>
            </w:r>
            <w:r w:rsidRPr="00F43F3C" w:rsidR="00F43F3C">
              <w:rPr>
                <w:szCs w:val="22"/>
              </w:rPr>
              <w:t>0001940766</w:t>
            </w:r>
          </w:p>
          <w:p w:rsidR="00347CF3" w:rsidP="00347CF3" w14:paraId="10952AC0" w14:textId="6C7A6814">
            <w:pPr>
              <w:widowControl/>
              <w:autoSpaceDE w:val="0"/>
              <w:autoSpaceDN w:val="0"/>
              <w:adjustRightInd w:val="0"/>
              <w:rPr>
                <w:snapToGrid/>
                <w:kern w:val="0"/>
                <w:szCs w:val="22"/>
              </w:rPr>
            </w:pPr>
            <w:r w:rsidRPr="00F43F3C">
              <w:rPr>
                <w:snapToGrid/>
                <w:kern w:val="0"/>
                <w:szCs w:val="22"/>
              </w:rPr>
              <w:t xml:space="preserve">Facility </w:t>
            </w:r>
            <w:r w:rsidR="00F43F3C">
              <w:rPr>
                <w:snapToGrid/>
                <w:kern w:val="0"/>
                <w:szCs w:val="22"/>
              </w:rPr>
              <w:t>ID</w:t>
            </w:r>
            <w:r w:rsidRPr="00F43F3C">
              <w:rPr>
                <w:snapToGrid/>
                <w:kern w:val="0"/>
                <w:szCs w:val="22"/>
              </w:rPr>
              <w:t xml:space="preserve"> No. </w:t>
            </w:r>
            <w:r w:rsidR="00FB2145">
              <w:rPr>
                <w:snapToGrid/>
                <w:kern w:val="0"/>
                <w:szCs w:val="22"/>
              </w:rPr>
              <w:t>143608</w:t>
            </w:r>
          </w:p>
          <w:p w:rsidR="004C2EE3" w:rsidRPr="00745283" w:rsidP="00745283" w14:paraId="3A2960A7" w14:textId="3800F7DC">
            <w:pPr>
              <w:widowControl/>
              <w:autoSpaceDE w:val="0"/>
              <w:autoSpaceDN w:val="0"/>
              <w:adjustRightInd w:val="0"/>
              <w:rPr>
                <w:snapToGrid/>
                <w:kern w:val="0"/>
                <w:szCs w:val="22"/>
              </w:rPr>
            </w:pPr>
            <w:r>
              <w:rPr>
                <w:snapToGrid/>
                <w:kern w:val="0"/>
                <w:szCs w:val="22"/>
              </w:rPr>
              <w:t>File No. BLFT-20190425AAW</w:t>
            </w:r>
          </w:p>
        </w:tc>
      </w:tr>
    </w:tbl>
    <w:p w:rsidR="004C2EE3" w:rsidP="0070224F" w14:paraId="6ADB8B4A" w14:textId="77777777"/>
    <w:p w:rsidR="00841AB1" w:rsidP="00F021FA" w14:paraId="037B78A4" w14:textId="081E37FF">
      <w:pPr>
        <w:pStyle w:val="StyleBoldCentered"/>
      </w:pPr>
      <w:r>
        <w:t>forfeiture order</w:t>
      </w:r>
    </w:p>
    <w:p w:rsidR="004C2EE3" w14:paraId="32CFEEA4" w14:textId="77777777">
      <w:pPr>
        <w:tabs>
          <w:tab w:val="left" w:pos="-720"/>
        </w:tabs>
        <w:suppressAutoHyphens/>
        <w:spacing w:line="227" w:lineRule="auto"/>
        <w:rPr>
          <w:spacing w:val="-2"/>
        </w:rPr>
      </w:pPr>
    </w:p>
    <w:p w:rsidR="004C2EE3" w:rsidP="00133F79" w14:paraId="6E02D2DB" w14:textId="2DAAA430">
      <w:pPr>
        <w:tabs>
          <w:tab w:val="left" w:pos="720"/>
          <w:tab w:val="right" w:pos="9360"/>
        </w:tabs>
        <w:suppressAutoHyphens/>
        <w:spacing w:line="227" w:lineRule="auto"/>
        <w:rPr>
          <w:spacing w:val="-2"/>
        </w:rPr>
      </w:pPr>
      <w:r>
        <w:rPr>
          <w:b/>
          <w:spacing w:val="-2"/>
        </w:rPr>
        <w:t xml:space="preserve">Adopted:  </w:t>
      </w:r>
      <w:r w:rsidR="004E6AB2">
        <w:rPr>
          <w:b/>
          <w:spacing w:val="-2"/>
        </w:rPr>
        <w:t>March 02,</w:t>
      </w:r>
      <w:r w:rsidR="00347CF3">
        <w:rPr>
          <w:b/>
          <w:spacing w:val="-2"/>
        </w:rPr>
        <w:t xml:space="preserve"> 20</w:t>
      </w:r>
      <w:r w:rsidR="008F486B">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E6AB2">
        <w:rPr>
          <w:b/>
          <w:spacing w:val="-2"/>
        </w:rPr>
        <w:t>March 02,</w:t>
      </w:r>
      <w:r w:rsidR="00347CF3">
        <w:rPr>
          <w:b/>
          <w:spacing w:val="-2"/>
        </w:rPr>
        <w:t xml:space="preserve"> 20</w:t>
      </w:r>
      <w:r w:rsidR="008F486B">
        <w:rPr>
          <w:b/>
          <w:spacing w:val="-2"/>
        </w:rPr>
        <w:t>20</w:t>
      </w:r>
    </w:p>
    <w:p w:rsidR="00822CE0" w14:paraId="7D600E1F" w14:textId="77777777"/>
    <w:p w:rsidR="00822CE0" w14:paraId="5A39E7D3" w14:textId="2A0E5F61">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7A7F6343" w14:textId="77777777"/>
    <w:p w:rsidR="002C00E8" w:rsidP="002C00E8" w14:paraId="04100AD6" w14:textId="1EFE8247">
      <w:pPr>
        <w:pStyle w:val="Heading1"/>
      </w:pPr>
      <w:r>
        <w:t>introduction</w:t>
      </w:r>
    </w:p>
    <w:p w:rsidR="00933F9C" w:rsidRPr="0036280D" w:rsidP="00933F9C" w14:paraId="24F505EA" w14:textId="35B7B322">
      <w:pPr>
        <w:pStyle w:val="ParaNum"/>
        <w:numPr>
          <w:ilvl w:val="0"/>
          <w:numId w:val="32"/>
        </w:numPr>
        <w:tabs>
          <w:tab w:val="clear" w:pos="1080"/>
          <w:tab w:val="left" w:pos="1440"/>
        </w:tabs>
        <w:spacing w:after="220"/>
      </w:pPr>
      <w:r>
        <w:t xml:space="preserve">In this Forfeiture Order, we issue a monetary forfeiture in the amount </w:t>
      </w:r>
      <w:r w:rsidRPr="0036280D">
        <w:t xml:space="preserve">of </w:t>
      </w:r>
      <w:r>
        <w:t>two</w:t>
      </w:r>
      <w:r w:rsidRPr="0036280D">
        <w:t xml:space="preserve"> thousand dollars ($</w:t>
      </w:r>
      <w:r>
        <w:t>2</w:t>
      </w:r>
      <w:r w:rsidRPr="0036280D">
        <w:t>,</w:t>
      </w:r>
      <w:r>
        <w:t>0</w:t>
      </w:r>
      <w:r w:rsidRPr="0036280D">
        <w:t>00) to</w:t>
      </w:r>
      <w:r>
        <w:rPr>
          <w:szCs w:val="22"/>
        </w:rPr>
        <w:t xml:space="preserve"> Carolina Radio Group, Inc. (CRG)</w:t>
      </w:r>
      <w:r w:rsidRPr="0036280D">
        <w:rPr>
          <w:szCs w:val="22"/>
        </w:rPr>
        <w:t xml:space="preserve">, licensee of </w:t>
      </w:r>
      <w:r w:rsidR="00AA0FD9">
        <w:rPr>
          <w:szCs w:val="22"/>
        </w:rPr>
        <w:t>FM Translator s</w:t>
      </w:r>
      <w:r w:rsidRPr="0036280D">
        <w:rPr>
          <w:szCs w:val="22"/>
        </w:rPr>
        <w:t xml:space="preserve">tation </w:t>
      </w:r>
      <w:r w:rsidR="00AA0FD9">
        <w:rPr>
          <w:szCs w:val="22"/>
        </w:rPr>
        <w:t>W225DF</w:t>
      </w:r>
      <w:r w:rsidRPr="0036280D">
        <w:rPr>
          <w:szCs w:val="22"/>
        </w:rPr>
        <w:t xml:space="preserve">, </w:t>
      </w:r>
      <w:r w:rsidR="00AA0FD9">
        <w:rPr>
          <w:szCs w:val="22"/>
        </w:rPr>
        <w:t>Raleigh</w:t>
      </w:r>
      <w:r w:rsidRPr="0036280D">
        <w:rPr>
          <w:szCs w:val="22"/>
        </w:rPr>
        <w:t xml:space="preserve">, </w:t>
      </w:r>
      <w:r w:rsidR="00AA0FD9">
        <w:rPr>
          <w:szCs w:val="22"/>
        </w:rPr>
        <w:t>North Carolina</w:t>
      </w:r>
      <w:r w:rsidRPr="0036280D">
        <w:rPr>
          <w:szCs w:val="22"/>
        </w:rPr>
        <w:t xml:space="preserve"> </w:t>
      </w:r>
      <w:r w:rsidRPr="0036280D">
        <w:t>(</w:t>
      </w:r>
      <w:r w:rsidR="005708D1">
        <w:t>Translator</w:t>
      </w:r>
      <w:r w:rsidRPr="0036280D">
        <w:t xml:space="preserve">), for </w:t>
      </w:r>
      <w:r w:rsidR="00AA0FD9">
        <w:t xml:space="preserve">willfully and repeatedly </w:t>
      </w:r>
      <w:r w:rsidR="005708D1">
        <w:t>violating</w:t>
      </w:r>
      <w:r w:rsidR="00AA0FD9">
        <w:t xml:space="preserve"> section 74.1251(c) of the Commission’s rules (</w:t>
      </w:r>
      <w:r w:rsidRPr="000819D5" w:rsidR="00AA0FD9">
        <w:t>Rules</w:t>
      </w:r>
      <w:r w:rsidR="00AA0FD9">
        <w:t>) by failing to notify the C</w:t>
      </w:r>
      <w:bookmarkStart w:id="0" w:name="_GoBack"/>
      <w:bookmarkEnd w:id="0"/>
      <w:r w:rsidR="00AA0FD9">
        <w:t xml:space="preserve">ommission that the </w:t>
      </w:r>
      <w:r w:rsidR="005708D1">
        <w:t>Translator</w:t>
      </w:r>
      <w:r w:rsidR="00AA0FD9">
        <w:t xml:space="preserve"> had changed its primary station, and willfully and repeatedly </w:t>
      </w:r>
      <w:r w:rsidR="005708D1">
        <w:t>violating</w:t>
      </w:r>
      <w:r w:rsidR="00AA0FD9">
        <w:t xml:space="preserve"> section 74.1232(b) of the Rules by failing to provide a “technical need” showing in support of that change</w:t>
      </w:r>
      <w:r w:rsidRPr="00AF05A7" w:rsidR="00AA0FD9">
        <w:t>.</w:t>
      </w:r>
      <w:r>
        <w:rPr>
          <w:rStyle w:val="FootnoteReference"/>
          <w:szCs w:val="22"/>
        </w:rPr>
        <w:footnoteReference w:id="3"/>
      </w:r>
      <w:r w:rsidRPr="00AF05A7" w:rsidR="00AA0FD9">
        <w:t xml:space="preserve">  </w:t>
      </w:r>
    </w:p>
    <w:p w:rsidR="00347CF3" w:rsidP="002F0692" w14:paraId="0028A5C0" w14:textId="7706716C">
      <w:pPr>
        <w:pStyle w:val="Heading1"/>
      </w:pPr>
      <w:r w:rsidRPr="00180C18">
        <w:t>Background</w:t>
      </w:r>
    </w:p>
    <w:p w:rsidR="000329A3" w:rsidRPr="00DF700A" w:rsidP="004649E0" w14:paraId="6F943507" w14:textId="684C8B71">
      <w:pPr>
        <w:pStyle w:val="ParaNum"/>
        <w:numPr>
          <w:ilvl w:val="0"/>
          <w:numId w:val="32"/>
        </w:numPr>
        <w:tabs>
          <w:tab w:val="clear" w:pos="1080"/>
          <w:tab w:val="left" w:pos="1440"/>
        </w:tabs>
        <w:spacing w:after="220"/>
      </w:pPr>
      <w:r>
        <w:t xml:space="preserve">On May 1, 2019, we </w:t>
      </w:r>
      <w:r w:rsidR="00757F6E">
        <w:t>granted CRG</w:t>
      </w:r>
      <w:r>
        <w:t xml:space="preserve"> a license to operate the Translator.</w:t>
      </w:r>
      <w:r>
        <w:rPr>
          <w:rStyle w:val="FootnoteReference"/>
        </w:rPr>
        <w:footnoteReference w:id="4"/>
      </w:r>
      <w:r>
        <w:t xml:space="preserve">  </w:t>
      </w:r>
      <w:r w:rsidR="00C07102">
        <w:t xml:space="preserve">The </w:t>
      </w:r>
      <w:r>
        <w:t>license specifies that the Translator</w:t>
      </w:r>
      <w:r w:rsidR="00C07102">
        <w:t xml:space="preserve">’s primary station is </w:t>
      </w:r>
      <w:r>
        <w:t>WQDR-FM(HD3).  However, we determined that the Translator did not rebroadcast its authorized primary station for a period of about a month and, as a result, violated sections 74.1232(b),</w:t>
      </w:r>
      <w:r>
        <w:rPr>
          <w:rStyle w:val="FootnoteReference"/>
        </w:rPr>
        <w:footnoteReference w:id="5"/>
      </w:r>
      <w:r>
        <w:t xml:space="preserve"> and 74.1251(c) of the Rules.</w:t>
      </w:r>
      <w:r>
        <w:rPr>
          <w:rStyle w:val="FootnoteReference"/>
        </w:rPr>
        <w:footnoteReference w:id="6"/>
      </w:r>
      <w:r>
        <w:t xml:space="preserve">  Accordingly, on December 5, 2019, we released a </w:t>
      </w:r>
      <w:r w:rsidR="00BD3166">
        <w:t xml:space="preserve">Memorandum </w:t>
      </w:r>
      <w:r w:rsidR="008D6B8E">
        <w:t>Opinion</w:t>
      </w:r>
      <w:r w:rsidR="00BD3166">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two thousand dollars </w:t>
      </w:r>
      <w:r w:rsidRPr="00DA3F9D" w:rsidR="0049521E">
        <w:t>($</w:t>
      </w:r>
      <w:r w:rsidR="0049521E">
        <w:t>2</w:t>
      </w:r>
      <w:r w:rsidRPr="00DA3F9D" w:rsidR="0049521E">
        <w:t>,000</w:t>
      </w:r>
      <w:r w:rsidR="0049521E">
        <w:t>)</w:t>
      </w:r>
      <w:r w:rsidR="004649E0">
        <w:t>.</w:t>
      </w:r>
      <w:r>
        <w:rPr>
          <w:rStyle w:val="FootnoteReference"/>
        </w:rPr>
        <w:footnoteReference w:id="7"/>
      </w:r>
      <w:r w:rsidR="006D1D8D">
        <w:t xml:space="preserve">  The </w:t>
      </w:r>
      <w:r w:rsidRPr="008D6B8E" w:rsidR="006D1D8D">
        <w:rPr>
          <w:i/>
        </w:rPr>
        <w:t>NAL</w:t>
      </w:r>
      <w:r w:rsidR="006D1D8D">
        <w:t xml:space="preserve"> </w:t>
      </w:r>
      <w:r w:rsidR="00C10D42">
        <w:t>gave</w:t>
      </w:r>
      <w:r w:rsidR="006D1D8D">
        <w:t xml:space="preserve"> CRG</w:t>
      </w:r>
      <w:r w:rsidR="00C10D42">
        <w:t xml:space="preserve"> </w:t>
      </w:r>
      <w:r w:rsidRPr="000D07AD" w:rsidR="00C10D42">
        <w:t xml:space="preserve">thirty (30)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8"/>
      </w:r>
      <w:r w:rsidR="00D42548">
        <w:t xml:space="preserve">  To date, CRG has neither paid the proposed forfeiture nor </w:t>
      </w:r>
      <w:r w:rsidR="008D6B8E">
        <w:t xml:space="preserve">filed a written statement in response to the </w:t>
      </w:r>
      <w:r w:rsidRPr="008D6B8E" w:rsidR="008D6B8E">
        <w:rPr>
          <w:i/>
        </w:rPr>
        <w:t>NAL</w:t>
      </w:r>
      <w:r w:rsidR="008D6B8E">
        <w:t>.</w:t>
      </w:r>
    </w:p>
    <w:p w:rsidR="00347CF3" w:rsidP="001A2959" w14:paraId="28846FA7" w14:textId="358FE26E">
      <w:pPr>
        <w:pStyle w:val="Heading1"/>
        <w:rPr>
          <w:b w:val="0"/>
          <w:szCs w:val="22"/>
        </w:rPr>
      </w:pPr>
      <w:r w:rsidRPr="007040B9">
        <w:rPr>
          <w:b w:val="0"/>
          <w:szCs w:val="22"/>
        </w:rPr>
        <w:t>Discussion</w:t>
      </w:r>
    </w:p>
    <w:p w:rsidR="00595550" w:rsidP="00434FD2" w14:paraId="27D8BC45" w14:textId="7C4ADA8D">
      <w:pPr>
        <w:pStyle w:val="ParaNum"/>
        <w:numPr>
          <w:ilvl w:val="0"/>
          <w:numId w:val="32"/>
        </w:numPr>
        <w:tabs>
          <w:tab w:val="clear" w:pos="1080"/>
          <w:tab w:val="left" w:pos="1440"/>
        </w:tabs>
        <w:spacing w:after="220"/>
      </w:pPr>
      <w:r>
        <w:t>The forfeiture amount proposed in this case was assessed</w:t>
      </w:r>
      <w:r w:rsidR="00E67521">
        <w:t xml:space="preserve"> in accordance with</w:t>
      </w:r>
      <w:r w:rsidR="00860538">
        <w:t xml:space="preserve"> </w:t>
      </w:r>
      <w:r w:rsidRPr="00CD7010" w:rsidR="00390927">
        <w:t>503(b) of the Communications Act of 1934, as amended (the Act),</w:t>
      </w:r>
      <w:r>
        <w:rPr>
          <w:rStyle w:val="FootnoteReference"/>
          <w:szCs w:val="22"/>
        </w:rPr>
        <w:footnoteReference w:id="9"/>
      </w:r>
      <w:r w:rsidRPr="00CD7010" w:rsidR="00390927">
        <w:t xml:space="preserve"> Section 1.80 of the Rules,</w:t>
      </w:r>
      <w:r>
        <w:rPr>
          <w:rStyle w:val="FootnoteReference"/>
          <w:szCs w:val="22"/>
        </w:rPr>
        <w:footnoteReference w:id="10"/>
      </w:r>
      <w:r w:rsidRPr="00CD7010" w:rsidR="00390927">
        <w:t xml:space="preserve"> and the Commission’s Forfeiture Policy Statement,</w:t>
      </w:r>
      <w:r>
        <w:rPr>
          <w:rStyle w:val="FootnoteReference"/>
          <w:szCs w:val="22"/>
        </w:rPr>
        <w:footnoteReference w:id="11"/>
      </w:r>
      <w:r w:rsidR="003E4F63">
        <w:t xml:space="preserve"> </w:t>
      </w:r>
      <w:r w:rsidRPr="00CD7010" w:rsidR="003E4F63">
        <w:t xml:space="preserve">which establish </w:t>
      </w:r>
      <w:r w:rsidR="00F702DF">
        <w:t xml:space="preserve">a base forfeiture </w:t>
      </w:r>
      <w:r w:rsidRPr="00C918F7" w:rsidR="00F702DF">
        <w:t>amount</w:t>
      </w:r>
      <w:r w:rsidRPr="00697258" w:rsidR="00F702DF">
        <w:rPr>
          <w:szCs w:val="22"/>
        </w:rPr>
        <w:t xml:space="preserve"> of $</w:t>
      </w:r>
      <w:r w:rsidR="00F702DF">
        <w:rPr>
          <w:szCs w:val="22"/>
        </w:rPr>
        <w:t>3</w:t>
      </w:r>
      <w:r w:rsidRPr="00697258" w:rsidR="00F702DF">
        <w:rPr>
          <w:szCs w:val="22"/>
        </w:rPr>
        <w:t xml:space="preserve">,000 for </w:t>
      </w:r>
      <w:r w:rsidR="00F702DF">
        <w:rPr>
          <w:szCs w:val="22"/>
        </w:rPr>
        <w:t>failure to file required forms or information, and a base forfeiture of $4,000 for unauthorized emissions</w:t>
      </w:r>
      <w:r w:rsidRPr="008333E7" w:rsidR="00F702DF">
        <w:rPr>
          <w:szCs w:val="22"/>
        </w:rPr>
        <w:t>.</w:t>
      </w:r>
      <w:r>
        <w:rPr>
          <w:rStyle w:val="FootnoteReference"/>
          <w:szCs w:val="22"/>
        </w:rPr>
        <w:footnoteReference w:id="12"/>
      </w:r>
      <w:r w:rsidRPr="00CD7010" w:rsidR="003E4F63">
        <w:t xml:space="preserve">  In assessing </w:t>
      </w:r>
      <w:r w:rsidR="0013597E">
        <w:t>the proposed forfeiture here</w:t>
      </w:r>
      <w:r w:rsidRPr="00CD7010" w:rsidR="003E4F63">
        <w:t>,</w:t>
      </w:r>
      <w:r w:rsidR="0013597E">
        <w:t xml:space="preserve"> we</w:t>
      </w:r>
      <w:r w:rsidR="00413C5E">
        <w:t xml:space="preserve"> c</w:t>
      </w:r>
      <w:r w:rsidR="00413C5E">
        <w:rPr>
          <w:rStyle w:val="ssleftalign"/>
        </w:rPr>
        <w:t>onsidered the “nature, circumstances, extent, and gravity of the violation and, with respect to the violator, the degree of culpability, any history of prior offenses, ability to pay, and such other matters as justice may require</w:t>
      </w:r>
      <w:r w:rsidRPr="00CD7010" w:rsidR="003E4F63">
        <w:t>.</w:t>
      </w:r>
      <w:r w:rsidR="00854627">
        <w:t>”</w:t>
      </w:r>
      <w:r>
        <w:rPr>
          <w:vertAlign w:val="superscript"/>
        </w:rPr>
        <w:footnoteReference w:id="13"/>
      </w:r>
      <w:r w:rsidR="00854627">
        <w:t xml:space="preserve">  CRG has not responded to the </w:t>
      </w:r>
      <w:r w:rsidRPr="00011FC5" w:rsidR="00854627">
        <w:rPr>
          <w:i/>
        </w:rPr>
        <w:t>NAL</w:t>
      </w:r>
      <w:r w:rsidR="00854627">
        <w:t xml:space="preserve">.  Accordingly, we affirm the two </w:t>
      </w:r>
      <w:r w:rsidR="00011FC5">
        <w:t>thousand</w:t>
      </w:r>
      <w:r w:rsidR="005F06CF">
        <w:t xml:space="preserve"> </w:t>
      </w:r>
      <w:r w:rsidR="00011FC5">
        <w:t>dollar</w:t>
      </w:r>
      <w:r w:rsidR="00854627">
        <w:t xml:space="preserve"> ($2,000) forfeiture </w:t>
      </w:r>
      <w:r w:rsidR="00011FC5">
        <w:t>proposed therein.</w:t>
      </w:r>
    </w:p>
    <w:p w:rsidR="002F58AE" w:rsidP="00860538" w14:paraId="1B606530" w14:textId="03E2A52A">
      <w:pPr>
        <w:pStyle w:val="Heading1"/>
      </w:pPr>
      <w:r>
        <w:t>ordering clauses</w:t>
      </w:r>
    </w:p>
    <w:p w:rsidR="002F58AE" w:rsidP="00434FD2" w14:paraId="38A71CEE" w14:textId="4AEBD7DA">
      <w:pPr>
        <w:pStyle w:val="ParaNum"/>
        <w:numPr>
          <w:ilvl w:val="0"/>
          <w:numId w:val="32"/>
        </w:numPr>
        <w:tabs>
          <w:tab w:val="clear" w:pos="1080"/>
          <w:tab w:val="left" w:pos="1440"/>
        </w:tabs>
        <w:spacing w:after="220"/>
      </w:pPr>
      <w:r w:rsidRPr="004521EC">
        <w:rPr>
          <w:b/>
        </w:rPr>
        <w:t>IT IS ORDERED</w:t>
      </w:r>
      <w:r w:rsidRPr="000D07AD">
        <w:t xml:space="preserve">, pursuant to Section 503(b) of the Communications Act of 1934, as amended, and Sections 0.283 and 1.80 of the Commission’s Rules, that </w:t>
      </w:r>
      <w:r w:rsidR="003E4205">
        <w:t>Carolina Radio Group</w:t>
      </w:r>
      <w:r w:rsidR="001415CA">
        <w:t>, Inc.,</w:t>
      </w:r>
      <w:r w:rsidR="008C368A">
        <w:t xml:space="preserve"> </w:t>
      </w:r>
      <w:r w:rsidRPr="00564A34" w:rsidR="00564A34">
        <w:rPr>
          <w:b/>
        </w:rPr>
        <w:t>IS LIABLE FOR A MONETARY FORFEITURE</w:t>
      </w:r>
      <w:r w:rsidRPr="005D63BE" w:rsidR="00564A34">
        <w:t xml:space="preserve"> </w:t>
      </w:r>
      <w:r w:rsidRPr="005D63BE">
        <w:t>in the amount of $</w:t>
      </w:r>
      <w:r w:rsidR="0094017A">
        <w:t>2</w:t>
      </w:r>
      <w:r w:rsidRPr="005D63BE">
        <w:t xml:space="preserve">,000 for </w:t>
      </w:r>
      <w:r w:rsidR="00860538">
        <w:t>its</w:t>
      </w:r>
      <w:r w:rsidRPr="005D63BE">
        <w:t xml:space="preserve"> apparent willful and repeated violation</w:t>
      </w:r>
      <w:r w:rsidR="008C368A">
        <w:t>s</w:t>
      </w:r>
      <w:r w:rsidRPr="005D63BE">
        <w:t xml:space="preserve"> of </w:t>
      </w:r>
      <w:r w:rsidR="00F81297">
        <w:t>sections 74.1232(b)</w:t>
      </w:r>
      <w:r w:rsidR="0094017A">
        <w:t xml:space="preserve"> and 74.1251(c)</w:t>
      </w:r>
      <w:r w:rsidR="00F81297">
        <w:t xml:space="preserve"> of the Commission’s rules</w:t>
      </w:r>
      <w:r w:rsidRPr="005D63BE">
        <w:t xml:space="preserve">. </w:t>
      </w:r>
    </w:p>
    <w:p w:rsidR="002F58AE" w:rsidP="00434FD2" w14:paraId="6C8ABEA7" w14:textId="414F7237">
      <w:pPr>
        <w:pStyle w:val="ParaNum"/>
        <w:numPr>
          <w:ilvl w:val="0"/>
          <w:numId w:val="32"/>
        </w:numPr>
        <w:tabs>
          <w:tab w:val="clear" w:pos="1080"/>
          <w:tab w:val="left" w:pos="1440"/>
        </w:tabs>
        <w:spacing w:after="220"/>
      </w:pPr>
      <w:r w:rsidRPr="000D07AD">
        <w:rPr>
          <w:spacing w:val="-2"/>
        </w:rPr>
        <w:t xml:space="preserve">Payment of the forfeiture </w:t>
      </w:r>
      <w:r w:rsidRPr="000E5F2D">
        <w:t>must</w:t>
      </w:r>
      <w:r w:rsidRPr="000D07AD">
        <w:rPr>
          <w:spacing w:val="-2"/>
        </w:rPr>
        <w:t xml:space="preserve"> be made by check or similar instrument, payable to the order of the Federal Communications Commission.  The </w:t>
      </w:r>
      <w:r w:rsidRPr="001508AC">
        <w:t>payment</w:t>
      </w:r>
      <w:r w:rsidRPr="000D07AD">
        <w:rPr>
          <w:spacing w:val="-2"/>
        </w:rPr>
        <w:t xml:space="preserve"> must include the NAL/Ac</w:t>
      </w:r>
      <w:r w:rsidRPr="005D63BE">
        <w:rPr>
          <w:spacing w:val="-2"/>
        </w:rPr>
        <w:t xml:space="preserve">count Number and FRN Number referenced above.  Payment by check or money order may be mailed to Federal Communications Commission, P.O. Box 979088, St. Louis, MO 63197-9000.  Payment by overnight mail may be sent to U.S. Bank – Government Lockbox #979088, SL-MO-C2-GL, 1005 Convention Plaza, St. Louis, MO 63101.  Payment by wire transfer may be made to ABA Number 021030004, receiving bank TREAS/NYC, and account number 27000001.  For payment by credit card, </w:t>
      </w:r>
      <w:r>
        <w:t>an FCC Form 159 (Remittance Advice) must be submitted.  When completing the FCC Form 159, enter the NAL/Account number in block number 23A (call sign/other ID), and enter the letters “FORF” in block number 24A (payment type code).  Requests for full payment under an installment plan should be sent to:  Chief Financial Officer – Financial Operations, 445 12th Street, S.W., Room 1-A625, Washington, D.C.  20554.</w:t>
      </w:r>
      <w:r>
        <w:rPr>
          <w:rStyle w:val="FootnoteReference"/>
        </w:rPr>
        <w:footnoteReference w:id="14"/>
      </w:r>
      <w:r>
        <w:t xml:space="preserve">  Please contact the Financial Operations Group Help Desk at 1-877-480-3201 or Email: </w:t>
      </w:r>
      <w:hyperlink r:id="rId5" w:tooltip="mailto:ARINQUIRIES@fcc.gov" w:history="1">
        <w:r>
          <w:rPr>
            <w:rStyle w:val="Hyperlink"/>
          </w:rPr>
          <w:t>ARINQUIRIES@fcc.gov</w:t>
        </w:r>
      </w:hyperlink>
      <w:r>
        <w:t xml:space="preserve"> with any questions regarding payment procedures. </w:t>
      </w:r>
    </w:p>
    <w:p w:rsidR="001B2A0A" w14:paraId="3034F886" w14:textId="77777777">
      <w:pPr>
        <w:widowControl/>
        <w:rPr>
          <w:b/>
        </w:rPr>
      </w:pPr>
      <w:r>
        <w:rPr>
          <w:b/>
        </w:rPr>
        <w:br w:type="page"/>
      </w:r>
    </w:p>
    <w:p w:rsidR="002F58AE" w:rsidP="001B2A0A" w14:paraId="0579D255" w14:textId="76838FEA">
      <w:pPr>
        <w:pStyle w:val="ParaNum"/>
        <w:widowControl/>
        <w:numPr>
          <w:ilvl w:val="0"/>
          <w:numId w:val="32"/>
        </w:numPr>
        <w:tabs>
          <w:tab w:val="clear" w:pos="1080"/>
          <w:tab w:val="left" w:pos="1440"/>
        </w:tabs>
        <w:spacing w:after="220"/>
      </w:pPr>
      <w:r w:rsidRPr="007C2875">
        <w:rPr>
          <w:b/>
        </w:rPr>
        <w:t>IT IS FURTHER ORDERED</w:t>
      </w:r>
      <w:r w:rsidRPr="005D63BE">
        <w:t xml:space="preserve"> that </w:t>
      </w:r>
      <w:r w:rsidR="002207C7">
        <w:t>a copy</w:t>
      </w:r>
      <w:r w:rsidRPr="005D63BE">
        <w:t xml:space="preserve"> of this </w:t>
      </w:r>
      <w:r w:rsidR="00217977">
        <w:rPr>
          <w:iCs/>
        </w:rPr>
        <w:t>Forfeiture</w:t>
      </w:r>
      <w:r w:rsidRPr="005D63BE">
        <w:t xml:space="preserve"> </w:t>
      </w:r>
      <w:r w:rsidR="008F486B">
        <w:t xml:space="preserve">Order </w:t>
      </w:r>
      <w:r w:rsidRPr="005D63BE">
        <w:t xml:space="preserve">shall be sent, by First Class and Certified Mail, Return Receipt Requested, to </w:t>
      </w:r>
      <w:r w:rsidR="007C2875">
        <w:t>Carolina Radio Group, Inc.</w:t>
      </w:r>
      <w:r w:rsidR="004740FA">
        <w:t xml:space="preserve">, </w:t>
      </w:r>
      <w:r w:rsidR="008574ED">
        <w:t>3012 Highwoods</w:t>
      </w:r>
      <w:r w:rsidR="00593ADF">
        <w:t xml:space="preserve"> </w:t>
      </w:r>
      <w:r w:rsidR="008574ED">
        <w:t xml:space="preserve">Boulevard, </w:t>
      </w:r>
      <w:r w:rsidR="003840F6">
        <w:t>Suite 201, Raleigh, NC 27604</w:t>
      </w:r>
      <w:r w:rsidR="00D976D7">
        <w:t xml:space="preserve">, and its counsel, Coe W. Ramsey, Esq., </w:t>
      </w:r>
      <w:r w:rsidR="00FC0D34">
        <w:t xml:space="preserve">Brooks, Pierce, McLendon, Humphrey &amp; Leonard, LLP, </w:t>
      </w:r>
      <w:r w:rsidR="00D976D7">
        <w:t xml:space="preserve">150 Fayetteville Street, </w:t>
      </w:r>
      <w:r w:rsidR="00401435">
        <w:t>Raleigh, NC 27601</w:t>
      </w:r>
      <w:r w:rsidRPr="005D63BE">
        <w:t xml:space="preserve">. </w:t>
      </w:r>
    </w:p>
    <w:p w:rsidR="00E97D2F" w:rsidRPr="00910512" w:rsidP="00E97D2F" w14:paraId="276DB6D9" w14:textId="77777777">
      <w:r w:rsidRPr="00910512">
        <w:tab/>
      </w:r>
      <w:r w:rsidRPr="00910512">
        <w:tab/>
      </w:r>
      <w:r w:rsidRPr="00910512">
        <w:tab/>
      </w:r>
      <w:r w:rsidRPr="00910512">
        <w:tab/>
      </w:r>
      <w:r w:rsidRPr="00910512">
        <w:tab/>
      </w:r>
      <w:r w:rsidRPr="00910512">
        <w:tab/>
        <w:t>FEDERAL COMMUNICATIONS COMMISSION</w:t>
      </w:r>
    </w:p>
    <w:p w:rsidR="00E97D2F" w:rsidRPr="00910512" w:rsidP="00E97D2F" w14:paraId="370C6FB6" w14:textId="77777777"/>
    <w:p w:rsidR="00E97D2F" w:rsidRPr="00910512" w:rsidP="00E97D2F" w14:paraId="73265A87" w14:textId="77777777"/>
    <w:p w:rsidR="00E97D2F" w:rsidRPr="00910512" w:rsidP="00E97D2F" w14:paraId="216BDCD7" w14:textId="77777777"/>
    <w:p w:rsidR="00E97D2F" w:rsidRPr="00910512" w:rsidP="00E97D2F" w14:paraId="4203D7E2" w14:textId="77777777"/>
    <w:p w:rsidR="00E97D2F" w:rsidRPr="00910512" w:rsidP="00E97D2F" w14:paraId="287DC049" w14:textId="218CB5BA">
      <w:r w:rsidRPr="00910512">
        <w:tab/>
      </w:r>
      <w:r w:rsidRPr="00910512">
        <w:tab/>
      </w:r>
      <w:r w:rsidRPr="00910512">
        <w:tab/>
      </w:r>
      <w:r w:rsidRPr="00910512">
        <w:tab/>
      </w:r>
      <w:r w:rsidRPr="00910512">
        <w:tab/>
      </w:r>
      <w:r w:rsidRPr="00910512">
        <w:tab/>
      </w:r>
      <w:r w:rsidR="00860538">
        <w:t>Albert Shuldiner</w:t>
      </w:r>
    </w:p>
    <w:p w:rsidR="002F58AE" w:rsidRPr="002F58AE" w:rsidP="008C368A" w14:paraId="3230A42F" w14:textId="5504DE4D">
      <w:r w:rsidRPr="00910512">
        <w:tab/>
      </w:r>
      <w:r>
        <w:tab/>
      </w:r>
      <w:r>
        <w:tab/>
      </w:r>
      <w:r>
        <w:tab/>
      </w:r>
      <w:r>
        <w:tab/>
      </w:r>
      <w:r>
        <w:tab/>
      </w:r>
      <w:r w:rsidRPr="00910512">
        <w:t xml:space="preserve">Chief, </w:t>
      </w:r>
      <w:r w:rsidR="0076484D">
        <w:t xml:space="preserve">Audio Division, </w:t>
      </w:r>
      <w:r w:rsidRPr="00910512">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3C16DB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53F1F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2F6B65FE" w14:textId="386A4B2F">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463491E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168821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7AD3" w14:paraId="36621E98" w14:textId="77777777">
      <w:r>
        <w:separator/>
      </w:r>
    </w:p>
  </w:footnote>
  <w:footnote w:type="continuationSeparator" w:id="1">
    <w:p w:rsidR="00187AD3" w:rsidP="00C721AC" w14:paraId="47358F30" w14:textId="77777777">
      <w:pPr>
        <w:spacing w:before="120"/>
        <w:rPr>
          <w:sz w:val="20"/>
        </w:rPr>
      </w:pPr>
      <w:r>
        <w:rPr>
          <w:sz w:val="20"/>
        </w:rPr>
        <w:t xml:space="preserve">(Continued from previous page)  </w:t>
      </w:r>
      <w:r>
        <w:rPr>
          <w:sz w:val="20"/>
        </w:rPr>
        <w:separator/>
      </w:r>
    </w:p>
  </w:footnote>
  <w:footnote w:type="continuationNotice" w:id="2">
    <w:p w:rsidR="00187AD3" w:rsidRPr="00D2611D" w:rsidP="00D2611D" w14:paraId="1111AAEA" w14:textId="77777777">
      <w:pPr>
        <w:pStyle w:val="Footer"/>
      </w:pPr>
    </w:p>
  </w:footnote>
  <w:footnote w:id="3">
    <w:p w:rsidR="00AA0FD9" w:rsidRPr="004D759B" w:rsidP="00AA0FD9" w14:paraId="64BF2376" w14:textId="1A53741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74.1232(b), 74.1251(c)</w:t>
      </w:r>
      <w:r>
        <w:t>.</w:t>
      </w:r>
    </w:p>
  </w:footnote>
  <w:footnote w:id="4">
    <w:p w:rsidR="000329A3" w:rsidP="000329A3" w14:paraId="23C334CC" w14:textId="77777777">
      <w:pPr>
        <w:pStyle w:val="FootnoteText"/>
      </w:pPr>
      <w:r>
        <w:rPr>
          <w:rStyle w:val="FootnoteReference"/>
        </w:rPr>
        <w:footnoteRef/>
      </w:r>
      <w:r>
        <w:t xml:space="preserve"> </w:t>
      </w:r>
      <w:r w:rsidRPr="00390002">
        <w:rPr>
          <w:i/>
        </w:rPr>
        <w:t>Broadcast Actions</w:t>
      </w:r>
      <w:r>
        <w:t>, Public Notice, Report No. 49480, at 4 (MB May 6, 2019).</w:t>
      </w:r>
    </w:p>
  </w:footnote>
  <w:footnote w:id="5">
    <w:p w:rsidR="000329A3" w:rsidP="000329A3" w14:paraId="12CD3547" w14:textId="77777777">
      <w:pPr>
        <w:pStyle w:val="FootnoteText"/>
      </w:pPr>
      <w:r>
        <w:rPr>
          <w:rStyle w:val="FootnoteReference"/>
        </w:rPr>
        <w:footnoteRef/>
      </w:r>
      <w:r>
        <w:t xml:space="preserve"> Section 74.1232(b) permits an entity to hold the licenses for multiple FM translators serving “substantially the same area … upon an appropriate showing of technical need.”  47 CFR </w:t>
      </w:r>
      <w:r w:rsidRPr="00FB08D1">
        <w:t>§</w:t>
      </w:r>
      <w:r>
        <w:t xml:space="preserve"> 74.1232(b).</w:t>
      </w:r>
    </w:p>
  </w:footnote>
  <w:footnote w:id="6">
    <w:p w:rsidR="000329A3" w:rsidP="000329A3" w14:paraId="65819CFD" w14:textId="77777777">
      <w:pPr>
        <w:pStyle w:val="FootnoteText"/>
      </w:pPr>
      <w:r>
        <w:rPr>
          <w:rStyle w:val="FootnoteReference"/>
        </w:rPr>
        <w:footnoteRef/>
      </w:r>
      <w:r>
        <w:t xml:space="preserve"> </w:t>
      </w:r>
      <w:r>
        <w:rPr>
          <w:szCs w:val="22"/>
        </w:rPr>
        <w:t>Section 74.1251(c) requires a translator</w:t>
      </w:r>
      <w:r w:rsidRPr="0010617D">
        <w:rPr>
          <w:szCs w:val="22"/>
        </w:rPr>
        <w:t xml:space="preserve"> permittee or licensee </w:t>
      </w:r>
      <w:r>
        <w:rPr>
          <w:szCs w:val="22"/>
        </w:rPr>
        <w:t xml:space="preserve">to notify the Commission in writing </w:t>
      </w:r>
      <w:r w:rsidRPr="0010617D">
        <w:rPr>
          <w:szCs w:val="22"/>
        </w:rPr>
        <w:t xml:space="preserve">of any </w:t>
      </w:r>
      <w:r w:rsidRPr="0010617D">
        <w:rPr>
          <w:noProof/>
          <w:szCs w:val="22"/>
        </w:rPr>
        <w:drawing>
          <wp:inline distT="0" distB="0" distL="0" distR="0">
            <wp:extent cx="9525" cy="9525"/>
            <wp:effectExtent l="0" t="0" r="0" b="0"/>
            <wp:docPr id="7" name="Picture 7" descr="previous hit">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503042" name="Picture 69" descr="previous hit">
                      <a:hlinkClick xmlns:a="http://schemas.openxmlformats.org/drawingml/2006/main" xmlns:r="http://schemas.openxmlformats.org/officeDocument/2006/relationships" r:id="rId1"/>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10617D">
        <w:rPr>
          <w:szCs w:val="22"/>
        </w:rPr>
        <w:t>change</w:t>
      </w:r>
      <w:r w:rsidRPr="0010617D">
        <w:rPr>
          <w:noProof/>
          <w:szCs w:val="22"/>
        </w:rPr>
        <w:drawing>
          <wp:inline distT="0" distB="0" distL="0" distR="0">
            <wp:extent cx="9525" cy="9525"/>
            <wp:effectExtent l="0" t="0" r="0" b="0"/>
            <wp:docPr id="8" name="Picture 8" descr="next hit">
              <a:hlinkClick xmlns:a="http://schemas.openxmlformats.org/drawingml/2006/main" xmlns:r="http://schemas.openxmlformats.org/officeDocument/2006/relationships"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741591" name="Picture 70" descr="next hit">
                      <a:hlinkClick xmlns:a="http://schemas.openxmlformats.org/drawingml/2006/main" xmlns:r="http://schemas.openxmlformats.org/officeDocument/2006/relationships" r:id="rId3"/>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10617D">
        <w:rPr>
          <w:szCs w:val="22"/>
        </w:rPr>
        <w:t xml:space="preserve"> in </w:t>
      </w:r>
      <w:r w:rsidRPr="0010617D">
        <w:rPr>
          <w:noProof/>
          <w:szCs w:val="22"/>
        </w:rPr>
        <w:drawing>
          <wp:inline distT="0" distB="0" distL="0" distR="0">
            <wp:extent cx="9525" cy="9525"/>
            <wp:effectExtent l="0" t="0" r="0" b="0"/>
            <wp:docPr id="9" name="Picture 9" descr="previous hit">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71698" name="Picture 71" descr="previous hit">
                      <a:hlinkClick xmlns:a="http://schemas.openxmlformats.org/drawingml/2006/main" xmlns:r="http://schemas.openxmlformats.org/officeDocument/2006/relationships" r:id="rId4"/>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10617D">
        <w:rPr>
          <w:szCs w:val="22"/>
        </w:rPr>
        <w:t>primary</w:t>
      </w:r>
      <w:r w:rsidRPr="0010617D">
        <w:rPr>
          <w:noProof/>
          <w:szCs w:val="22"/>
        </w:rPr>
        <w:drawing>
          <wp:inline distT="0" distB="0" distL="0" distR="0">
            <wp:extent cx="9525" cy="9525"/>
            <wp:effectExtent l="0" t="0" r="0" b="0"/>
            <wp:docPr id="10" name="Picture 10" descr="next hit">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843136" name="Picture 72" descr="next hit">
                      <a:hlinkClick xmlns:a="http://schemas.openxmlformats.org/drawingml/2006/main" xmlns:r="http://schemas.openxmlformats.org/officeDocument/2006/relationships" r:id="rId5"/>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525" cy="9525"/>
                    </a:xfrm>
                    <a:prstGeom prst="rect">
                      <a:avLst/>
                    </a:prstGeom>
                    <a:noFill/>
                    <a:ln>
                      <a:noFill/>
                    </a:ln>
                  </pic:spPr>
                </pic:pic>
              </a:graphicData>
            </a:graphic>
          </wp:inline>
        </w:drawing>
      </w:r>
      <w:r w:rsidRPr="0010617D">
        <w:rPr>
          <w:szCs w:val="22"/>
        </w:rPr>
        <w:t xml:space="preserve"> station designation</w:t>
      </w:r>
      <w:r>
        <w:rPr>
          <w:szCs w:val="22"/>
        </w:rPr>
        <w:t xml:space="preserve">.  </w:t>
      </w:r>
      <w:r w:rsidRPr="00FB08D1">
        <w:t>47 CFR § 74.1251(c)</w:t>
      </w:r>
      <w:r>
        <w:t xml:space="preserve">.  </w:t>
      </w:r>
      <w:r>
        <w:rPr>
          <w:szCs w:val="22"/>
        </w:rPr>
        <w:t xml:space="preserve">This allows staff to </w:t>
      </w:r>
      <w:r w:rsidRPr="00D3027C">
        <w:rPr>
          <w:szCs w:val="22"/>
        </w:rPr>
        <w:t>verify that the change complies with the Commission</w:t>
      </w:r>
      <w:r>
        <w:rPr>
          <w:szCs w:val="22"/>
        </w:rPr>
        <w:t>’</w:t>
      </w:r>
      <w:r w:rsidRPr="00D3027C">
        <w:rPr>
          <w:szCs w:val="22"/>
        </w:rPr>
        <w:t>s translator rules</w:t>
      </w:r>
      <w:r>
        <w:rPr>
          <w:szCs w:val="22"/>
        </w:rPr>
        <w:t xml:space="preserve"> (</w:t>
      </w:r>
      <w:r w:rsidRPr="00D3027C">
        <w:rPr>
          <w:szCs w:val="22"/>
        </w:rPr>
        <w:t xml:space="preserve">such as </w:t>
      </w:r>
      <w:r>
        <w:rPr>
          <w:szCs w:val="22"/>
        </w:rPr>
        <w:t xml:space="preserve">the </w:t>
      </w:r>
      <w:r w:rsidRPr="00D3027C">
        <w:rPr>
          <w:szCs w:val="22"/>
        </w:rPr>
        <w:t xml:space="preserve">signal delivery </w:t>
      </w:r>
      <w:r>
        <w:rPr>
          <w:szCs w:val="22"/>
        </w:rPr>
        <w:t xml:space="preserve">and technical need rules).  </w:t>
      </w:r>
      <w:r w:rsidRPr="00FB08D1">
        <w:rPr>
          <w:i/>
        </w:rPr>
        <w:t>Processing of Broadcast Applications</w:t>
      </w:r>
      <w:r w:rsidRPr="00FB08D1">
        <w:t>, First Report and Order, 56 RR</w:t>
      </w:r>
      <w:r>
        <w:t xml:space="preserve"> </w:t>
      </w:r>
      <w:r w:rsidRPr="00FB08D1">
        <w:t>2d 941 (1984).</w:t>
      </w:r>
    </w:p>
  </w:footnote>
  <w:footnote w:id="7">
    <w:p w:rsidR="008D6B8E" w14:paraId="7AFD1A75" w14:textId="13CABB1B">
      <w:pPr>
        <w:pStyle w:val="FootnoteText"/>
      </w:pPr>
      <w:r>
        <w:rPr>
          <w:rStyle w:val="FootnoteReference"/>
        </w:rPr>
        <w:footnoteRef/>
      </w:r>
      <w:r>
        <w:t xml:space="preserve"> </w:t>
      </w:r>
      <w:r w:rsidRPr="00F118D1">
        <w:rPr>
          <w:i/>
        </w:rPr>
        <w:t>Carolina Radio Group, Inc</w:t>
      </w:r>
      <w:r>
        <w:t>., Memorandum Opinion and Order and Notice of Apparent Liability for Forfeiture</w:t>
      </w:r>
      <w:r w:rsidR="00F118D1">
        <w:t>, DA 19-1235 (MB Dec. 5, 2019).</w:t>
      </w:r>
    </w:p>
  </w:footnote>
  <w:footnote w:id="8">
    <w:p w:rsidR="00F118D1" w14:paraId="716E3064" w14:textId="5AE52042">
      <w:pPr>
        <w:pStyle w:val="FootnoteText"/>
      </w:pPr>
      <w:r>
        <w:rPr>
          <w:rStyle w:val="FootnoteReference"/>
        </w:rPr>
        <w:footnoteRef/>
      </w:r>
      <w:r>
        <w:t xml:space="preserve"> </w:t>
      </w:r>
      <w:r>
        <w:rPr>
          <w:i/>
        </w:rPr>
        <w:t>Id.</w:t>
      </w:r>
      <w:r>
        <w:t xml:space="preserve"> at para. 11.</w:t>
      </w:r>
    </w:p>
  </w:footnote>
  <w:footnote w:id="9">
    <w:p w:rsidR="00390927" w:rsidRPr="00A403D9" w:rsidP="00390927" w14:paraId="7BBB2FD0" w14:textId="77777777">
      <w:pPr>
        <w:pStyle w:val="FootnoteText"/>
      </w:pPr>
      <w:r w:rsidRPr="00A403D9">
        <w:rPr>
          <w:rStyle w:val="FootnoteReference"/>
        </w:rPr>
        <w:footnoteRef/>
      </w:r>
      <w:r w:rsidRPr="00A403D9">
        <w:t xml:space="preserve"> 47 U.S.C. § 503(b).</w:t>
      </w:r>
    </w:p>
  </w:footnote>
  <w:footnote w:id="10">
    <w:p w:rsidR="00390927" w:rsidRPr="00A403D9" w:rsidP="00390927" w14:paraId="572638C5" w14:textId="77777777">
      <w:pPr>
        <w:pStyle w:val="FootnoteText"/>
      </w:pPr>
      <w:r>
        <w:t xml:space="preserve"> </w:t>
      </w:r>
      <w:r w:rsidRPr="00A403D9">
        <w:rPr>
          <w:rStyle w:val="FootnoteReference"/>
        </w:rPr>
        <w:footnoteRef/>
      </w:r>
      <w:r w:rsidRPr="00A403D9">
        <w:t xml:space="preserve"> 47 CFR § 1.80. </w:t>
      </w:r>
    </w:p>
  </w:footnote>
  <w:footnote w:id="11">
    <w:p w:rsidR="00390927" w:rsidRPr="00A403D9" w:rsidP="00390927" w14:paraId="705CC14B" w14:textId="1C9EEAEC">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2">
    <w:p w:rsidR="00F702DF" w:rsidP="00F702DF" w14:paraId="1C47FB1A" w14:textId="68931C39">
      <w:pPr>
        <w:pStyle w:val="Footer"/>
        <w:spacing w:after="120"/>
        <w:rPr>
          <w:sz w:val="20"/>
        </w:rPr>
      </w:pPr>
      <w:r>
        <w:rPr>
          <w:rStyle w:val="FootnoteReference"/>
        </w:rPr>
        <w:footnoteRef/>
      </w:r>
      <w:r>
        <w:rPr>
          <w:sz w:val="20"/>
        </w:rPr>
        <w:t xml:space="preserve"> </w:t>
      </w:r>
      <w:r>
        <w:rPr>
          <w:i/>
          <w:sz w:val="20"/>
        </w:rPr>
        <w:t xml:space="preserve">See </w:t>
      </w:r>
      <w:r w:rsidR="00E753D9">
        <w:rPr>
          <w:i/>
          <w:sz w:val="20"/>
        </w:rPr>
        <w:t xml:space="preserve">id. </w:t>
      </w:r>
      <w:r w:rsidRPr="00E753D9" w:rsidR="00E753D9">
        <w:rPr>
          <w:sz w:val="20"/>
        </w:rPr>
        <w:t>at</w:t>
      </w:r>
      <w:r>
        <w:rPr>
          <w:sz w:val="20"/>
        </w:rPr>
        <w:t xml:space="preserve"> 17113-15; 47 CFR § 1.80(b)(8), note to paragraph (b)(8), Section I.</w:t>
      </w:r>
    </w:p>
  </w:footnote>
  <w:footnote w:id="13">
    <w:p w:rsidR="003E4F63" w:rsidRPr="00A403D9" w:rsidP="003E4F63" w14:paraId="33FC9B56" w14:textId="77777777">
      <w:pPr>
        <w:pStyle w:val="FootnoteText"/>
      </w:pPr>
      <w:r w:rsidRPr="00A403D9">
        <w:rPr>
          <w:rStyle w:val="FootnoteReference"/>
        </w:rPr>
        <w:footnoteRef/>
      </w:r>
      <w:r w:rsidRPr="00A403D9">
        <w:t xml:space="preserve"> 47 U.S.C. § 503(b)(2)(E).</w:t>
      </w:r>
    </w:p>
  </w:footnote>
  <w:footnote w:id="14">
    <w:p w:rsidR="00721510" w:rsidP="00032F0E" w14:paraId="2D86BEDA" w14:textId="77777777">
      <w:pPr>
        <w:pStyle w:val="FootnoteText"/>
      </w:pPr>
      <w:r>
        <w:rPr>
          <w:rStyle w:val="FootnoteReference"/>
        </w:rPr>
        <w:footnoteRef/>
      </w:r>
      <w:r>
        <w:t xml:space="preserve"> </w:t>
      </w:r>
      <w:r>
        <w:rPr>
          <w:i/>
        </w:rPr>
        <w:t>See</w:t>
      </w:r>
      <w:r>
        <w:t xml:space="preserve"> 47 CFR § 1.1914.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681876A" w14:textId="5CE860A1">
    <w:pPr>
      <w:pStyle w:val="Header"/>
      <w:rPr>
        <w:b w:val="0"/>
      </w:rPr>
    </w:pPr>
    <w:r>
      <w:tab/>
      <w:t>Federal Communications Commission</w:t>
    </w:r>
    <w:r>
      <w:tab/>
      <w:t xml:space="preserve">DA </w:t>
    </w:r>
    <w:r w:rsidR="008F486B">
      <w:t>20</w:t>
    </w:r>
    <w:r>
      <w:t>-</w:t>
    </w:r>
    <w:r w:rsidR="004E6AB2">
      <w:t>209</w:t>
    </w:r>
  </w:p>
  <w:p w:rsidR="00721510" w14:paraId="02349C91" w14:textId="3E3BDC7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37671CD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B74DF18" w14:textId="72D6088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8F486B">
      <w:rPr>
        <w:spacing w:val="-2"/>
      </w:rPr>
      <w:t>20</w:t>
    </w:r>
    <w:r>
      <w:rPr>
        <w:spacing w:val="-2"/>
      </w:rPr>
      <w:t>-</w:t>
    </w:r>
    <w:r w:rsidR="004E6AB2">
      <w:rPr>
        <w:spacing w:val="-2"/>
      </w:rPr>
      <w:t>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2"/>
  </w:num>
  <w:num w:numId="8">
    <w:abstractNumId w:val="0"/>
  </w:num>
  <w:num w:numId="9">
    <w:abstractNumId w:val="8"/>
    <w:lvlOverride w:ilvl="0">
      <w:startOverride w:val="1"/>
    </w:lvlOverride>
  </w:num>
  <w:num w:numId="10">
    <w:abstractNumId w:val="8"/>
    <w:lvlOverride w:ilvl="0">
      <w:startOverride w:val="1"/>
    </w:lvlOverride>
  </w:num>
  <w:num w:numId="11">
    <w:abstractNumId w:val="5"/>
  </w:num>
  <w:num w:numId="12">
    <w:abstractNumId w:val="8"/>
    <w:lvlOverride w:ilvl="0">
      <w:startOverride w:val="1"/>
    </w:lvlOverride>
  </w:num>
  <w:num w:numId="13">
    <w:abstractNumId w:val="8"/>
  </w:num>
  <w:num w:numId="14">
    <w:abstractNumId w:val="8"/>
  </w:num>
  <w:num w:numId="15">
    <w:abstractNumId w:val="5"/>
  </w:num>
  <w:num w:numId="16">
    <w:abstractNumId w:val="5"/>
  </w:num>
  <w:num w:numId="17">
    <w:abstractNumId w:val="8"/>
  </w:num>
  <w:num w:numId="18">
    <w:abstractNumId w:val="5"/>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6"/>
  </w:num>
  <w:num w:numId="33">
    <w:abstractNumId w:val="9"/>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214F"/>
    <w:rsid w:val="00022708"/>
    <w:rsid w:val="000240FB"/>
    <w:rsid w:val="00024275"/>
    <w:rsid w:val="000254D2"/>
    <w:rsid w:val="00026AFE"/>
    <w:rsid w:val="000270FD"/>
    <w:rsid w:val="00031A17"/>
    <w:rsid w:val="000329A3"/>
    <w:rsid w:val="00032F0E"/>
    <w:rsid w:val="00036039"/>
    <w:rsid w:val="00037F90"/>
    <w:rsid w:val="000421CD"/>
    <w:rsid w:val="00043B06"/>
    <w:rsid w:val="0004560A"/>
    <w:rsid w:val="00047132"/>
    <w:rsid w:val="000500DA"/>
    <w:rsid w:val="000576E2"/>
    <w:rsid w:val="00063430"/>
    <w:rsid w:val="00065E0B"/>
    <w:rsid w:val="0007001D"/>
    <w:rsid w:val="000708D4"/>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E05FE"/>
    <w:rsid w:val="000E3443"/>
    <w:rsid w:val="000E3D42"/>
    <w:rsid w:val="000E4FD3"/>
    <w:rsid w:val="000E5F2D"/>
    <w:rsid w:val="000E7A81"/>
    <w:rsid w:val="000F5AC9"/>
    <w:rsid w:val="001032A7"/>
    <w:rsid w:val="0010617D"/>
    <w:rsid w:val="0011151E"/>
    <w:rsid w:val="00111A69"/>
    <w:rsid w:val="00113F31"/>
    <w:rsid w:val="00117155"/>
    <w:rsid w:val="001200FB"/>
    <w:rsid w:val="00121023"/>
    <w:rsid w:val="00122BD5"/>
    <w:rsid w:val="00126461"/>
    <w:rsid w:val="00126D56"/>
    <w:rsid w:val="00133DE6"/>
    <w:rsid w:val="00133F79"/>
    <w:rsid w:val="0013597E"/>
    <w:rsid w:val="001415CA"/>
    <w:rsid w:val="001508AC"/>
    <w:rsid w:val="00150D4A"/>
    <w:rsid w:val="00150E67"/>
    <w:rsid w:val="00157C67"/>
    <w:rsid w:val="00157D76"/>
    <w:rsid w:val="001678CC"/>
    <w:rsid w:val="00177AA7"/>
    <w:rsid w:val="00177DB1"/>
    <w:rsid w:val="00180C18"/>
    <w:rsid w:val="00180DB6"/>
    <w:rsid w:val="00185744"/>
    <w:rsid w:val="00186374"/>
    <w:rsid w:val="001874F2"/>
    <w:rsid w:val="00187AD3"/>
    <w:rsid w:val="00190D72"/>
    <w:rsid w:val="00194A66"/>
    <w:rsid w:val="00197AA1"/>
    <w:rsid w:val="001A0A14"/>
    <w:rsid w:val="001A2959"/>
    <w:rsid w:val="001A2C6D"/>
    <w:rsid w:val="001B2A0A"/>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E3"/>
    <w:rsid w:val="0020304B"/>
    <w:rsid w:val="0020439A"/>
    <w:rsid w:val="00206087"/>
    <w:rsid w:val="002138E0"/>
    <w:rsid w:val="00217977"/>
    <w:rsid w:val="002207C7"/>
    <w:rsid w:val="00220C5A"/>
    <w:rsid w:val="00221654"/>
    <w:rsid w:val="0022503E"/>
    <w:rsid w:val="0023726B"/>
    <w:rsid w:val="00240159"/>
    <w:rsid w:val="00240D1E"/>
    <w:rsid w:val="0024226C"/>
    <w:rsid w:val="00242512"/>
    <w:rsid w:val="002469B9"/>
    <w:rsid w:val="00252D11"/>
    <w:rsid w:val="0025771A"/>
    <w:rsid w:val="002604C2"/>
    <w:rsid w:val="00263DDB"/>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555A"/>
    <w:rsid w:val="002C5C2D"/>
    <w:rsid w:val="002D39F8"/>
    <w:rsid w:val="002D5F49"/>
    <w:rsid w:val="002F0692"/>
    <w:rsid w:val="002F58AE"/>
    <w:rsid w:val="002F66A4"/>
    <w:rsid w:val="003109C8"/>
    <w:rsid w:val="003123C2"/>
    <w:rsid w:val="00312796"/>
    <w:rsid w:val="0031341A"/>
    <w:rsid w:val="00314F6D"/>
    <w:rsid w:val="00315F42"/>
    <w:rsid w:val="003279B2"/>
    <w:rsid w:val="00332E9A"/>
    <w:rsid w:val="00334580"/>
    <w:rsid w:val="003356AA"/>
    <w:rsid w:val="00336ED7"/>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80E1B"/>
    <w:rsid w:val="00484432"/>
    <w:rsid w:val="00485BF3"/>
    <w:rsid w:val="00490956"/>
    <w:rsid w:val="004911F8"/>
    <w:rsid w:val="0049521E"/>
    <w:rsid w:val="0049643B"/>
    <w:rsid w:val="004A05B4"/>
    <w:rsid w:val="004A2B02"/>
    <w:rsid w:val="004A2F1C"/>
    <w:rsid w:val="004B0F16"/>
    <w:rsid w:val="004B2FFD"/>
    <w:rsid w:val="004B42C7"/>
    <w:rsid w:val="004B4A58"/>
    <w:rsid w:val="004C058E"/>
    <w:rsid w:val="004C2EE3"/>
    <w:rsid w:val="004C3BC5"/>
    <w:rsid w:val="004C460C"/>
    <w:rsid w:val="004C7A1C"/>
    <w:rsid w:val="004D4485"/>
    <w:rsid w:val="004D5BC1"/>
    <w:rsid w:val="004D6B09"/>
    <w:rsid w:val="004D759B"/>
    <w:rsid w:val="004E2902"/>
    <w:rsid w:val="004E4A22"/>
    <w:rsid w:val="004E6AB2"/>
    <w:rsid w:val="004F3E51"/>
    <w:rsid w:val="004F63FD"/>
    <w:rsid w:val="005020C3"/>
    <w:rsid w:val="005054EA"/>
    <w:rsid w:val="00510636"/>
    <w:rsid w:val="00510A63"/>
    <w:rsid w:val="00511968"/>
    <w:rsid w:val="005120C2"/>
    <w:rsid w:val="00514129"/>
    <w:rsid w:val="00514542"/>
    <w:rsid w:val="0051537F"/>
    <w:rsid w:val="00516C22"/>
    <w:rsid w:val="00532938"/>
    <w:rsid w:val="00533E76"/>
    <w:rsid w:val="00533FFC"/>
    <w:rsid w:val="00534284"/>
    <w:rsid w:val="005355A3"/>
    <w:rsid w:val="00540BDF"/>
    <w:rsid w:val="00544716"/>
    <w:rsid w:val="00545734"/>
    <w:rsid w:val="00555FF1"/>
    <w:rsid w:val="0055614C"/>
    <w:rsid w:val="005571BB"/>
    <w:rsid w:val="005620D1"/>
    <w:rsid w:val="00564A34"/>
    <w:rsid w:val="00566A7C"/>
    <w:rsid w:val="0057081E"/>
    <w:rsid w:val="005708D1"/>
    <w:rsid w:val="00572B0F"/>
    <w:rsid w:val="00580231"/>
    <w:rsid w:val="00580899"/>
    <w:rsid w:val="005808C7"/>
    <w:rsid w:val="00582585"/>
    <w:rsid w:val="0058390E"/>
    <w:rsid w:val="00590B38"/>
    <w:rsid w:val="00591272"/>
    <w:rsid w:val="00591A10"/>
    <w:rsid w:val="00593ADF"/>
    <w:rsid w:val="00593D2C"/>
    <w:rsid w:val="00595550"/>
    <w:rsid w:val="00596B60"/>
    <w:rsid w:val="005A40FE"/>
    <w:rsid w:val="005B19BA"/>
    <w:rsid w:val="005B4214"/>
    <w:rsid w:val="005C0C21"/>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DFD"/>
    <w:rsid w:val="00621CCE"/>
    <w:rsid w:val="00622EDC"/>
    <w:rsid w:val="006245B8"/>
    <w:rsid w:val="00626EB6"/>
    <w:rsid w:val="006323D6"/>
    <w:rsid w:val="00645BFD"/>
    <w:rsid w:val="00650AC4"/>
    <w:rsid w:val="00655D03"/>
    <w:rsid w:val="00656D61"/>
    <w:rsid w:val="00657B92"/>
    <w:rsid w:val="006707A1"/>
    <w:rsid w:val="00672C6C"/>
    <w:rsid w:val="0068270A"/>
    <w:rsid w:val="00683388"/>
    <w:rsid w:val="00683F84"/>
    <w:rsid w:val="00684140"/>
    <w:rsid w:val="00691230"/>
    <w:rsid w:val="0069228C"/>
    <w:rsid w:val="00697258"/>
    <w:rsid w:val="006A01EA"/>
    <w:rsid w:val="006A3D11"/>
    <w:rsid w:val="006A6A81"/>
    <w:rsid w:val="006B11B5"/>
    <w:rsid w:val="006C54B5"/>
    <w:rsid w:val="006D1D8D"/>
    <w:rsid w:val="006D31A2"/>
    <w:rsid w:val="006E335A"/>
    <w:rsid w:val="006E693D"/>
    <w:rsid w:val="006E69AA"/>
    <w:rsid w:val="006F150F"/>
    <w:rsid w:val="006F1A70"/>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D2267"/>
    <w:rsid w:val="007D23DC"/>
    <w:rsid w:val="007D2913"/>
    <w:rsid w:val="007D4532"/>
    <w:rsid w:val="007D4716"/>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41AB1"/>
    <w:rsid w:val="00842F12"/>
    <w:rsid w:val="00854627"/>
    <w:rsid w:val="00854F00"/>
    <w:rsid w:val="00855A08"/>
    <w:rsid w:val="008574ED"/>
    <w:rsid w:val="008604FA"/>
    <w:rsid w:val="00860538"/>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C0855"/>
    <w:rsid w:val="008C294F"/>
    <w:rsid w:val="008C368A"/>
    <w:rsid w:val="008C53CF"/>
    <w:rsid w:val="008C68F1"/>
    <w:rsid w:val="008D0CB2"/>
    <w:rsid w:val="008D6B8E"/>
    <w:rsid w:val="008E172E"/>
    <w:rsid w:val="008E27B5"/>
    <w:rsid w:val="008E46B4"/>
    <w:rsid w:val="008E4730"/>
    <w:rsid w:val="008E6A41"/>
    <w:rsid w:val="008F486B"/>
    <w:rsid w:val="008F6514"/>
    <w:rsid w:val="00901340"/>
    <w:rsid w:val="00903F16"/>
    <w:rsid w:val="00910512"/>
    <w:rsid w:val="00910B6B"/>
    <w:rsid w:val="0091413F"/>
    <w:rsid w:val="00921803"/>
    <w:rsid w:val="00926503"/>
    <w:rsid w:val="00927304"/>
    <w:rsid w:val="00933168"/>
    <w:rsid w:val="0093341C"/>
    <w:rsid w:val="0093361D"/>
    <w:rsid w:val="00933F9C"/>
    <w:rsid w:val="0094017A"/>
    <w:rsid w:val="00941492"/>
    <w:rsid w:val="0094630E"/>
    <w:rsid w:val="00957233"/>
    <w:rsid w:val="009601F3"/>
    <w:rsid w:val="0096448C"/>
    <w:rsid w:val="0097125F"/>
    <w:rsid w:val="009726D8"/>
    <w:rsid w:val="00973A0E"/>
    <w:rsid w:val="00975060"/>
    <w:rsid w:val="00977080"/>
    <w:rsid w:val="00985E7F"/>
    <w:rsid w:val="00985F6E"/>
    <w:rsid w:val="0099059E"/>
    <w:rsid w:val="00990B3D"/>
    <w:rsid w:val="009916FF"/>
    <w:rsid w:val="009919C5"/>
    <w:rsid w:val="009919C9"/>
    <w:rsid w:val="00993589"/>
    <w:rsid w:val="00996A39"/>
    <w:rsid w:val="009A0117"/>
    <w:rsid w:val="009A6CE1"/>
    <w:rsid w:val="009B1A50"/>
    <w:rsid w:val="009B41E3"/>
    <w:rsid w:val="009B66C2"/>
    <w:rsid w:val="009C15F3"/>
    <w:rsid w:val="009C7938"/>
    <w:rsid w:val="009C7FB7"/>
    <w:rsid w:val="009D166E"/>
    <w:rsid w:val="009D1716"/>
    <w:rsid w:val="009E20AD"/>
    <w:rsid w:val="009E366D"/>
    <w:rsid w:val="009E6046"/>
    <w:rsid w:val="009F19B1"/>
    <w:rsid w:val="009F6132"/>
    <w:rsid w:val="009F62DC"/>
    <w:rsid w:val="009F7249"/>
    <w:rsid w:val="009F76DB"/>
    <w:rsid w:val="00A02F23"/>
    <w:rsid w:val="00A10B62"/>
    <w:rsid w:val="00A144B5"/>
    <w:rsid w:val="00A168F3"/>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7FB4"/>
    <w:rsid w:val="00A5122F"/>
    <w:rsid w:val="00A51768"/>
    <w:rsid w:val="00A52CFC"/>
    <w:rsid w:val="00A52EE2"/>
    <w:rsid w:val="00A535B4"/>
    <w:rsid w:val="00A600A9"/>
    <w:rsid w:val="00A62822"/>
    <w:rsid w:val="00A71800"/>
    <w:rsid w:val="00A73728"/>
    <w:rsid w:val="00A8027A"/>
    <w:rsid w:val="00A821B9"/>
    <w:rsid w:val="00A84768"/>
    <w:rsid w:val="00A866DC"/>
    <w:rsid w:val="00A87DFA"/>
    <w:rsid w:val="00A91D59"/>
    <w:rsid w:val="00A92766"/>
    <w:rsid w:val="00AA0FD9"/>
    <w:rsid w:val="00AA22EC"/>
    <w:rsid w:val="00AA3185"/>
    <w:rsid w:val="00AA468E"/>
    <w:rsid w:val="00AA55B7"/>
    <w:rsid w:val="00AA5B9E"/>
    <w:rsid w:val="00AA68A4"/>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B01A92"/>
    <w:rsid w:val="00B03A1D"/>
    <w:rsid w:val="00B059B3"/>
    <w:rsid w:val="00B06E1F"/>
    <w:rsid w:val="00B07E5C"/>
    <w:rsid w:val="00B125BA"/>
    <w:rsid w:val="00B16386"/>
    <w:rsid w:val="00B170BB"/>
    <w:rsid w:val="00B17BF5"/>
    <w:rsid w:val="00B22472"/>
    <w:rsid w:val="00B25408"/>
    <w:rsid w:val="00B30289"/>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92AA5"/>
    <w:rsid w:val="00B947D1"/>
    <w:rsid w:val="00B94E88"/>
    <w:rsid w:val="00B97670"/>
    <w:rsid w:val="00BA44BE"/>
    <w:rsid w:val="00BA55C0"/>
    <w:rsid w:val="00BA5DC6"/>
    <w:rsid w:val="00BA6196"/>
    <w:rsid w:val="00BC311C"/>
    <w:rsid w:val="00BC6D8C"/>
    <w:rsid w:val="00BD3157"/>
    <w:rsid w:val="00BD3166"/>
    <w:rsid w:val="00BD446D"/>
    <w:rsid w:val="00BD6424"/>
    <w:rsid w:val="00BE18F3"/>
    <w:rsid w:val="00BE2850"/>
    <w:rsid w:val="00BE56EE"/>
    <w:rsid w:val="00BF0C0D"/>
    <w:rsid w:val="00BF7FFE"/>
    <w:rsid w:val="00C00F0D"/>
    <w:rsid w:val="00C06045"/>
    <w:rsid w:val="00C07102"/>
    <w:rsid w:val="00C10D42"/>
    <w:rsid w:val="00C11B93"/>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5DB1"/>
    <w:rsid w:val="00C90D6A"/>
    <w:rsid w:val="00C918F7"/>
    <w:rsid w:val="00C946D3"/>
    <w:rsid w:val="00C96A07"/>
    <w:rsid w:val="00CA01E2"/>
    <w:rsid w:val="00CA247E"/>
    <w:rsid w:val="00CB745F"/>
    <w:rsid w:val="00CC341A"/>
    <w:rsid w:val="00CC4B91"/>
    <w:rsid w:val="00CC72B6"/>
    <w:rsid w:val="00CD24E5"/>
    <w:rsid w:val="00CD36C6"/>
    <w:rsid w:val="00CD3B20"/>
    <w:rsid w:val="00CD7010"/>
    <w:rsid w:val="00CE4F42"/>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FB5"/>
    <w:rsid w:val="00D2611D"/>
    <w:rsid w:val="00D271D9"/>
    <w:rsid w:val="00D27A61"/>
    <w:rsid w:val="00D3027C"/>
    <w:rsid w:val="00D3198E"/>
    <w:rsid w:val="00D3399E"/>
    <w:rsid w:val="00D34809"/>
    <w:rsid w:val="00D35AFC"/>
    <w:rsid w:val="00D41DC9"/>
    <w:rsid w:val="00D42548"/>
    <w:rsid w:val="00D4379F"/>
    <w:rsid w:val="00D44223"/>
    <w:rsid w:val="00D44305"/>
    <w:rsid w:val="00D53177"/>
    <w:rsid w:val="00D62938"/>
    <w:rsid w:val="00D63C35"/>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47B5"/>
    <w:rsid w:val="00E20914"/>
    <w:rsid w:val="00E2345D"/>
    <w:rsid w:val="00E2396D"/>
    <w:rsid w:val="00E26932"/>
    <w:rsid w:val="00E30A6A"/>
    <w:rsid w:val="00E33EA8"/>
    <w:rsid w:val="00E353A8"/>
    <w:rsid w:val="00E378A7"/>
    <w:rsid w:val="00E43ED8"/>
    <w:rsid w:val="00E453EA"/>
    <w:rsid w:val="00E454C0"/>
    <w:rsid w:val="00E50979"/>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C2C29"/>
    <w:rsid w:val="00EC314B"/>
    <w:rsid w:val="00EC45B7"/>
    <w:rsid w:val="00EC5B72"/>
    <w:rsid w:val="00ED180F"/>
    <w:rsid w:val="00ED2945"/>
    <w:rsid w:val="00ED319F"/>
    <w:rsid w:val="00ED549D"/>
    <w:rsid w:val="00ED78B4"/>
    <w:rsid w:val="00EE36C7"/>
    <w:rsid w:val="00EE6488"/>
    <w:rsid w:val="00EF17D4"/>
    <w:rsid w:val="00EF2022"/>
    <w:rsid w:val="00EF206F"/>
    <w:rsid w:val="00F019BF"/>
    <w:rsid w:val="00F021FA"/>
    <w:rsid w:val="00F04497"/>
    <w:rsid w:val="00F04878"/>
    <w:rsid w:val="00F1120A"/>
    <w:rsid w:val="00F118D1"/>
    <w:rsid w:val="00F1514B"/>
    <w:rsid w:val="00F15284"/>
    <w:rsid w:val="00F16480"/>
    <w:rsid w:val="00F168FD"/>
    <w:rsid w:val="00F173D1"/>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4836"/>
    <w:rsid w:val="00F8495A"/>
    <w:rsid w:val="00F8687A"/>
    <w:rsid w:val="00F913A0"/>
    <w:rsid w:val="00F93BF5"/>
    <w:rsid w:val="00F97C39"/>
    <w:rsid w:val="00FA1545"/>
    <w:rsid w:val="00FA54A2"/>
    <w:rsid w:val="00FA6A31"/>
    <w:rsid w:val="00FB08D1"/>
    <w:rsid w:val="00FB104C"/>
    <w:rsid w:val="00FB189A"/>
    <w:rsid w:val="00FB2145"/>
    <w:rsid w:val="00FB550D"/>
    <w:rsid w:val="00FB7AAA"/>
    <w:rsid w:val="00FC0D34"/>
    <w:rsid w:val="00FC56B9"/>
    <w:rsid w:val="00FC6492"/>
    <w:rsid w:val="00FD3A7F"/>
    <w:rsid w:val="00FD67FF"/>
    <w:rsid w:val="00FD79B8"/>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RINQUIRIE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javascript:top.docjs.prev_hit(2)" TargetMode="External" /><Relationship Id="rId2" Type="http://schemas.openxmlformats.org/officeDocument/2006/relationships/image" Target="media/image1.gif" /><Relationship Id="rId3" Type="http://schemas.openxmlformats.org/officeDocument/2006/relationships/hyperlink" Target="javascript:top.docjs.next_hit(2)" TargetMode="External" /><Relationship Id="rId4" Type="http://schemas.openxmlformats.org/officeDocument/2006/relationships/hyperlink" Target="javascript:top.docjs.prev_hit(3)" TargetMode="External" /><Relationship Id="rId5" Type="http://schemas.openxmlformats.org/officeDocument/2006/relationships/hyperlink" Target="javascript:top.docjs.next_hit(3)"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