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70F1D" w:rsidP="00D70F1D" w14:paraId="254E01EE" w14:textId="77777777">
      <w:pPr>
        <w:jc w:val="center"/>
        <w:rPr>
          <w:b/>
        </w:rPr>
      </w:pPr>
      <w:r w:rsidRPr="0070224F">
        <w:rPr>
          <w:rFonts w:ascii="Times New Roman Bold" w:hAnsi="Times New Roman Bold"/>
          <w:b/>
          <w:kern w:val="0"/>
          <w:szCs w:val="22"/>
        </w:rPr>
        <w:t>Before</w:t>
      </w:r>
      <w:r>
        <w:rPr>
          <w:b/>
        </w:rPr>
        <w:t xml:space="preserve"> the</w:t>
      </w:r>
    </w:p>
    <w:p w:rsidR="00D70F1D" w:rsidP="00D70F1D" w14:paraId="3CACD743" w14:textId="77777777">
      <w:pPr>
        <w:pStyle w:val="StyleBoldCentered"/>
      </w:pPr>
      <w:r>
        <w:t>F</w:t>
      </w:r>
      <w:r>
        <w:rPr>
          <w:caps w:val="0"/>
        </w:rPr>
        <w:t>ederal Communications Commission</w:t>
      </w:r>
    </w:p>
    <w:p w:rsidR="00D70F1D" w:rsidP="00D70F1D" w14:paraId="4DCAE9F9" w14:textId="77777777">
      <w:pPr>
        <w:pStyle w:val="StyleBoldCentered"/>
      </w:pPr>
      <w:r>
        <w:rPr>
          <w:caps w:val="0"/>
        </w:rPr>
        <w:t>Washington, D.C. 20554</w:t>
      </w:r>
    </w:p>
    <w:p w:rsidR="00D70F1D" w:rsidP="00D70F1D" w14:paraId="7C7EDDFB" w14:textId="77777777"/>
    <w:tbl>
      <w:tblPr>
        <w:tblW w:w="10458" w:type="dxa"/>
        <w:tblLayout w:type="fixed"/>
        <w:tblLook w:val="0000"/>
      </w:tblPr>
      <w:tblGrid>
        <w:gridCol w:w="4698"/>
        <w:gridCol w:w="630"/>
        <w:gridCol w:w="5130"/>
      </w:tblGrid>
      <w:tr w14:paraId="49132935" w14:textId="77777777" w:rsidTr="00484E06">
        <w:tblPrEx>
          <w:tblW w:w="10458" w:type="dxa"/>
          <w:tblLayout w:type="fixed"/>
          <w:tblLook w:val="0000"/>
        </w:tblPrEx>
        <w:tc>
          <w:tcPr>
            <w:tcW w:w="4698" w:type="dxa"/>
          </w:tcPr>
          <w:p w:rsidR="00D70F1D" w:rsidP="00484E06" w14:paraId="2A16CEEF" w14:textId="77777777">
            <w:pPr>
              <w:tabs>
                <w:tab w:val="center" w:pos="4680"/>
              </w:tabs>
              <w:suppressAutoHyphens/>
              <w:rPr>
                <w:spacing w:val="-2"/>
              </w:rPr>
            </w:pPr>
            <w:r>
              <w:rPr>
                <w:spacing w:val="-2"/>
              </w:rPr>
              <w:t>In the Matter of</w:t>
            </w:r>
          </w:p>
          <w:p w:rsidR="00362B71" w:rsidP="00484E06" w14:paraId="480D7E44" w14:textId="77777777">
            <w:pPr>
              <w:tabs>
                <w:tab w:val="center" w:pos="4680"/>
              </w:tabs>
              <w:suppressAutoHyphens/>
              <w:rPr>
                <w:spacing w:val="-2"/>
              </w:rPr>
            </w:pPr>
          </w:p>
          <w:p w:rsidR="003B53B3" w:rsidP="00484E06" w14:paraId="15601653" w14:textId="21C82116">
            <w:pPr>
              <w:tabs>
                <w:tab w:val="center" w:pos="4680"/>
              </w:tabs>
              <w:suppressAutoHyphens/>
              <w:rPr>
                <w:spacing w:val="-2"/>
              </w:rPr>
            </w:pPr>
            <w:r>
              <w:rPr>
                <w:spacing w:val="-2"/>
              </w:rPr>
              <w:t>Hearst Properties</w:t>
            </w:r>
            <w:r w:rsidR="00CA10A5">
              <w:rPr>
                <w:spacing w:val="-2"/>
              </w:rPr>
              <w:t xml:space="preserve"> </w:t>
            </w:r>
            <w:r>
              <w:rPr>
                <w:spacing w:val="-2"/>
              </w:rPr>
              <w:t>Inc.</w:t>
            </w:r>
          </w:p>
          <w:p w:rsidR="00362B71" w:rsidP="00484E06" w14:paraId="6874D7D9" w14:textId="77777777">
            <w:pPr>
              <w:tabs>
                <w:tab w:val="center" w:pos="4680"/>
              </w:tabs>
              <w:suppressAutoHyphens/>
              <w:rPr>
                <w:spacing w:val="-2"/>
              </w:rPr>
            </w:pPr>
          </w:p>
          <w:p w:rsidR="00362B71" w:rsidP="00484E06" w14:paraId="6589886E" w14:textId="77777777">
            <w:pPr>
              <w:tabs>
                <w:tab w:val="center" w:pos="4680"/>
              </w:tabs>
              <w:suppressAutoHyphens/>
              <w:rPr>
                <w:spacing w:val="-2"/>
              </w:rPr>
            </w:pPr>
            <w:r>
              <w:rPr>
                <w:spacing w:val="-2"/>
              </w:rPr>
              <w:t>v.</w:t>
            </w:r>
          </w:p>
          <w:p w:rsidR="00D70F1D" w:rsidP="00484E06" w14:paraId="6843D3AD" w14:textId="77777777">
            <w:pPr>
              <w:tabs>
                <w:tab w:val="center" w:pos="4680"/>
              </w:tabs>
              <w:suppressAutoHyphens/>
              <w:rPr>
                <w:spacing w:val="-2"/>
              </w:rPr>
            </w:pPr>
          </w:p>
          <w:p w:rsidR="00D70F1D" w:rsidP="00484E06" w14:paraId="0D1C8D63" w14:textId="77777777">
            <w:pPr>
              <w:tabs>
                <w:tab w:val="center" w:pos="4680"/>
              </w:tabs>
              <w:suppressAutoHyphens/>
              <w:rPr>
                <w:spacing w:val="-2"/>
              </w:rPr>
            </w:pPr>
            <w:r>
              <w:rPr>
                <w:spacing w:val="-2"/>
              </w:rPr>
              <w:t xml:space="preserve">Florida Cable Inc. </w:t>
            </w:r>
          </w:p>
          <w:p w:rsidR="00D70F1D" w:rsidRPr="007115F7" w:rsidP="00484E06" w14:paraId="1ACA93D0" w14:textId="77777777">
            <w:pPr>
              <w:tabs>
                <w:tab w:val="center" w:pos="4680"/>
              </w:tabs>
              <w:suppressAutoHyphens/>
              <w:rPr>
                <w:spacing w:val="-2"/>
              </w:rPr>
            </w:pPr>
          </w:p>
        </w:tc>
        <w:tc>
          <w:tcPr>
            <w:tcW w:w="630" w:type="dxa"/>
          </w:tcPr>
          <w:p w:rsidR="00D70F1D" w:rsidP="00484E06" w14:paraId="689565CE" w14:textId="77777777">
            <w:pPr>
              <w:tabs>
                <w:tab w:val="center" w:pos="4680"/>
              </w:tabs>
              <w:suppressAutoHyphens/>
              <w:rPr>
                <w:b/>
                <w:spacing w:val="-2"/>
              </w:rPr>
            </w:pPr>
            <w:r>
              <w:rPr>
                <w:b/>
                <w:spacing w:val="-2"/>
              </w:rPr>
              <w:t>)</w:t>
            </w:r>
          </w:p>
          <w:p w:rsidR="00D70F1D" w:rsidP="00484E06" w14:paraId="466F8878" w14:textId="77777777">
            <w:pPr>
              <w:tabs>
                <w:tab w:val="center" w:pos="4680"/>
              </w:tabs>
              <w:suppressAutoHyphens/>
              <w:rPr>
                <w:b/>
                <w:spacing w:val="-2"/>
              </w:rPr>
            </w:pPr>
            <w:r>
              <w:rPr>
                <w:b/>
                <w:spacing w:val="-2"/>
              </w:rPr>
              <w:t>)</w:t>
            </w:r>
          </w:p>
          <w:p w:rsidR="00D70F1D" w:rsidP="00484E06" w14:paraId="3FD34E5E" w14:textId="77777777">
            <w:pPr>
              <w:tabs>
                <w:tab w:val="center" w:pos="4680"/>
              </w:tabs>
              <w:suppressAutoHyphens/>
              <w:rPr>
                <w:b/>
                <w:spacing w:val="-2"/>
              </w:rPr>
            </w:pPr>
            <w:r>
              <w:rPr>
                <w:b/>
                <w:spacing w:val="-2"/>
              </w:rPr>
              <w:t>)</w:t>
            </w:r>
          </w:p>
          <w:p w:rsidR="00D70F1D" w:rsidP="00484E06" w14:paraId="28723FC5" w14:textId="77777777">
            <w:pPr>
              <w:tabs>
                <w:tab w:val="center" w:pos="4680"/>
              </w:tabs>
              <w:suppressAutoHyphens/>
              <w:rPr>
                <w:b/>
                <w:spacing w:val="-2"/>
              </w:rPr>
            </w:pPr>
            <w:r>
              <w:rPr>
                <w:b/>
                <w:spacing w:val="-2"/>
              </w:rPr>
              <w:t>)</w:t>
            </w:r>
          </w:p>
          <w:p w:rsidR="00D70F1D" w:rsidP="00484E06" w14:paraId="42053751" w14:textId="77777777">
            <w:pPr>
              <w:tabs>
                <w:tab w:val="center" w:pos="4680"/>
              </w:tabs>
              <w:suppressAutoHyphens/>
              <w:rPr>
                <w:b/>
                <w:spacing w:val="-2"/>
              </w:rPr>
            </w:pPr>
            <w:r>
              <w:rPr>
                <w:b/>
                <w:spacing w:val="-2"/>
              </w:rPr>
              <w:t>)</w:t>
            </w:r>
          </w:p>
          <w:p w:rsidR="00D70F1D" w:rsidP="00484E06" w14:paraId="5D27F498" w14:textId="77777777">
            <w:pPr>
              <w:tabs>
                <w:tab w:val="center" w:pos="4680"/>
              </w:tabs>
              <w:suppressAutoHyphens/>
              <w:rPr>
                <w:b/>
                <w:spacing w:val="-2"/>
              </w:rPr>
            </w:pPr>
            <w:r>
              <w:rPr>
                <w:b/>
                <w:spacing w:val="-2"/>
              </w:rPr>
              <w:t>)</w:t>
            </w:r>
          </w:p>
          <w:p w:rsidR="00CA10A5" w:rsidP="00484E06" w14:paraId="65A4271F" w14:textId="6883267C">
            <w:pPr>
              <w:tabs>
                <w:tab w:val="center" w:pos="4680"/>
              </w:tabs>
              <w:suppressAutoHyphens/>
              <w:rPr>
                <w:b/>
                <w:spacing w:val="-2"/>
              </w:rPr>
            </w:pPr>
            <w:r>
              <w:rPr>
                <w:b/>
                <w:spacing w:val="-2"/>
              </w:rPr>
              <w:t>)</w:t>
            </w:r>
            <w:r>
              <w:rPr>
                <w:b/>
                <w:spacing w:val="-2"/>
              </w:rPr>
              <w:t xml:space="preserve"> </w:t>
            </w:r>
          </w:p>
          <w:p w:rsidR="00CA10A5" w:rsidRPr="00362B71" w:rsidP="00484E06" w14:paraId="60DF40B6" w14:textId="15AA16EC">
            <w:pPr>
              <w:tabs>
                <w:tab w:val="center" w:pos="4680"/>
              </w:tabs>
              <w:suppressAutoHyphens/>
              <w:rPr>
                <w:b/>
                <w:spacing w:val="-2"/>
              </w:rPr>
            </w:pPr>
          </w:p>
        </w:tc>
        <w:tc>
          <w:tcPr>
            <w:tcW w:w="5130" w:type="dxa"/>
          </w:tcPr>
          <w:p w:rsidR="00D70F1D" w:rsidP="00484E06" w14:paraId="6FC2699F" w14:textId="77777777">
            <w:pPr>
              <w:tabs>
                <w:tab w:val="center" w:pos="4680"/>
              </w:tabs>
              <w:suppressAutoHyphens/>
              <w:rPr>
                <w:spacing w:val="-2"/>
              </w:rPr>
            </w:pPr>
          </w:p>
          <w:p w:rsidR="00D70F1D" w:rsidP="00484E06" w14:paraId="105ADAFF" w14:textId="77777777">
            <w:pPr>
              <w:pStyle w:val="TOAHeading"/>
              <w:tabs>
                <w:tab w:val="center" w:pos="4680"/>
                <w:tab w:val="clear" w:pos="9360"/>
              </w:tabs>
              <w:rPr>
                <w:spacing w:val="-2"/>
              </w:rPr>
            </w:pPr>
          </w:p>
          <w:p w:rsidR="004E794B" w:rsidP="00484E06" w14:paraId="08902136" w14:textId="40410361">
            <w:pPr>
              <w:tabs>
                <w:tab w:val="center" w:pos="4680"/>
              </w:tabs>
              <w:suppressAutoHyphens/>
              <w:rPr>
                <w:spacing w:val="-2"/>
              </w:rPr>
            </w:pPr>
            <w:r>
              <w:rPr>
                <w:spacing w:val="-2"/>
              </w:rPr>
              <w:t>CSR-</w:t>
            </w:r>
            <w:r w:rsidR="00CA10A5">
              <w:rPr>
                <w:spacing w:val="-2"/>
              </w:rPr>
              <w:t>8914-C</w:t>
            </w:r>
          </w:p>
          <w:p w:rsidR="00D70F1D" w:rsidP="00484E06" w14:paraId="1C56CD6A" w14:textId="182E1902">
            <w:pPr>
              <w:tabs>
                <w:tab w:val="center" w:pos="4680"/>
              </w:tabs>
              <w:suppressAutoHyphens/>
              <w:rPr>
                <w:spacing w:val="-2"/>
              </w:rPr>
            </w:pPr>
            <w:r>
              <w:rPr>
                <w:spacing w:val="-2"/>
              </w:rPr>
              <w:t xml:space="preserve">MB </w:t>
            </w:r>
            <w:r>
              <w:rPr>
                <w:spacing w:val="-2"/>
              </w:rPr>
              <w:t>Docket No. 15-215</w:t>
            </w:r>
          </w:p>
        </w:tc>
      </w:tr>
    </w:tbl>
    <w:p w:rsidR="00D70F1D" w:rsidP="00D70F1D" w14:paraId="7F20BDF3" w14:textId="77777777">
      <w:pPr>
        <w:pStyle w:val="StyleBoldCentered"/>
      </w:pPr>
      <w:r>
        <w:t>ORDER OF DISMISSAL</w:t>
      </w:r>
    </w:p>
    <w:p w:rsidR="00D70F1D" w:rsidP="00D70F1D" w14:paraId="26242278" w14:textId="77777777">
      <w:pPr>
        <w:tabs>
          <w:tab w:val="left" w:pos="-720"/>
        </w:tabs>
        <w:suppressAutoHyphens/>
        <w:spacing w:line="227" w:lineRule="auto"/>
        <w:rPr>
          <w:spacing w:val="-2"/>
        </w:rPr>
      </w:pPr>
    </w:p>
    <w:p w:rsidR="00D70F1D" w:rsidP="00D70F1D" w14:paraId="534B0D90" w14:textId="29F6DE2C">
      <w:pPr>
        <w:tabs>
          <w:tab w:val="left" w:pos="720"/>
          <w:tab w:val="right" w:pos="9360"/>
        </w:tabs>
        <w:suppressAutoHyphens/>
        <w:spacing w:line="227" w:lineRule="auto"/>
        <w:rPr>
          <w:b/>
          <w:spacing w:val="-2"/>
        </w:rPr>
      </w:pPr>
      <w:r>
        <w:rPr>
          <w:b/>
          <w:spacing w:val="-2"/>
        </w:rPr>
        <w:t xml:space="preserve">Adopted:  March </w:t>
      </w:r>
      <w:r w:rsidR="008C25FC">
        <w:rPr>
          <w:b/>
          <w:spacing w:val="-2"/>
        </w:rPr>
        <w:t>2</w:t>
      </w:r>
      <w:r>
        <w:rPr>
          <w:b/>
          <w:spacing w:val="-2"/>
        </w:rPr>
        <w:t>, 2020</w:t>
      </w:r>
      <w:r>
        <w:rPr>
          <w:b/>
          <w:spacing w:val="-2"/>
        </w:rPr>
        <w:tab/>
        <w:t xml:space="preserve">Released:  March </w:t>
      </w:r>
      <w:r w:rsidR="008C25FC">
        <w:rPr>
          <w:b/>
          <w:spacing w:val="-2"/>
        </w:rPr>
        <w:t>2</w:t>
      </w:r>
      <w:r>
        <w:rPr>
          <w:b/>
          <w:spacing w:val="-2"/>
        </w:rPr>
        <w:t>, 2020</w:t>
      </w:r>
    </w:p>
    <w:p w:rsidR="00D70F1D" w:rsidP="00D70F1D" w14:paraId="01544175" w14:textId="77777777"/>
    <w:p w:rsidR="00D70F1D" w:rsidP="00D70F1D" w14:paraId="185FC773" w14:textId="77777777">
      <w:pPr>
        <w:rPr>
          <w:spacing w:val="-2"/>
        </w:rPr>
      </w:pPr>
      <w:r>
        <w:t xml:space="preserve">By the </w:t>
      </w:r>
      <w:r>
        <w:rPr>
          <w:spacing w:val="-2"/>
        </w:rPr>
        <w:t>Senior Deputy Chief, Policy Division, Media Bureau</w:t>
      </w:r>
      <w:r w:rsidR="0016128B">
        <w:rPr>
          <w:spacing w:val="-2"/>
        </w:rPr>
        <w:t>:</w:t>
      </w:r>
    </w:p>
    <w:p w:rsidR="00D70F1D" w:rsidP="00D70F1D" w14:paraId="2D73451F" w14:textId="77777777">
      <w:pPr>
        <w:rPr>
          <w:spacing w:val="-2"/>
        </w:rPr>
      </w:pPr>
    </w:p>
    <w:p w:rsidR="00EC02E0" w:rsidP="00EB3B62" w14:paraId="4A697D34" w14:textId="5480DD7A">
      <w:pPr>
        <w:pStyle w:val="ParaNum"/>
        <w:tabs>
          <w:tab w:val="num" w:pos="1260"/>
        </w:tabs>
        <w:ind w:firstLine="630"/>
      </w:pPr>
      <w:r>
        <w:t xml:space="preserve">On </w:t>
      </w:r>
      <w:r w:rsidR="00CB20DE">
        <w:t>August 27, 2015, Hearst Properties Inc., a subsidiary of Hear</w:t>
      </w:r>
      <w:r w:rsidR="00C30D0C">
        <w:t>s</w:t>
      </w:r>
      <w:r w:rsidR="00CB20DE">
        <w:t>t Television Inc. (</w:t>
      </w:r>
      <w:r w:rsidR="00EB3B62">
        <w:t>collectively</w:t>
      </w:r>
      <w:r w:rsidR="000E56EC">
        <w:t>,</w:t>
      </w:r>
      <w:r w:rsidR="00EB3B62">
        <w:t xml:space="preserve"> </w:t>
      </w:r>
      <w:r w:rsidR="00CB20DE">
        <w:t xml:space="preserve">Hearst), </w:t>
      </w:r>
      <w:r w:rsidR="00CA10A5">
        <w:t xml:space="preserve">licensee of television stations WESH(TV), Daytona Beach, Florida, WKCF(TV), Clermont, Florida, and WMOR-TV, Lakeland, Florida, </w:t>
      </w:r>
      <w:r w:rsidR="00CB20DE">
        <w:t>by its attorneys, filed an Enforcement Complaint Concerning Retransmission Without Authorization against Florida Cable Inc. (Florida Cable)</w:t>
      </w:r>
      <w:r w:rsidR="00CA10A5">
        <w:t>.  The Complaint alleged that Florida Cable engaged in</w:t>
      </w:r>
      <w:r w:rsidR="00CB20DE">
        <w:t xml:space="preserve"> continuing and willful violation of </w:t>
      </w:r>
      <w:r w:rsidR="00CA10A5">
        <w:t>s</w:t>
      </w:r>
      <w:r w:rsidR="00CB20DE">
        <w:t xml:space="preserve">ection 325(b) of the Communications Act of 1934, as amended (the Communications Act), 47 U.S.C. </w:t>
      </w:r>
      <w:r w:rsidR="00AF69D0">
        <w:t>§</w:t>
      </w:r>
      <w:r w:rsidR="00CB20DE">
        <w:t xml:space="preserve"> 325(b)(1)(A), and </w:t>
      </w:r>
      <w:r w:rsidR="00CA10A5">
        <w:t>s</w:t>
      </w:r>
      <w:r w:rsidR="00CB20DE">
        <w:t>ection 76.64 of the Commission’s rules, 47 CF</w:t>
      </w:r>
      <w:r w:rsidR="00CA10A5">
        <w:t>R</w:t>
      </w:r>
      <w:r w:rsidR="00CB20DE">
        <w:t xml:space="preserve"> </w:t>
      </w:r>
      <w:r w:rsidR="00AF69D0">
        <w:t>§</w:t>
      </w:r>
      <w:r w:rsidR="00CB20DE">
        <w:t xml:space="preserve"> 76.64(a). </w:t>
      </w:r>
    </w:p>
    <w:p w:rsidR="00EC02E0" w:rsidP="00EB3B62" w14:paraId="13D1A876" w14:textId="56D6B614">
      <w:pPr>
        <w:pStyle w:val="ParaNum"/>
        <w:tabs>
          <w:tab w:val="num" w:pos="1260"/>
        </w:tabs>
        <w:ind w:firstLine="630"/>
      </w:pPr>
      <w:r>
        <w:t>On Februar</w:t>
      </w:r>
      <w:r w:rsidR="0028589C">
        <w:t xml:space="preserve">y 19, 2020, Hearst requested that </w:t>
      </w:r>
      <w:r w:rsidR="007F4DD3">
        <w:t>the</w:t>
      </w:r>
      <w:r w:rsidR="00AD6004">
        <w:t xml:space="preserve"> c</w:t>
      </w:r>
      <w:r w:rsidR="0028589C">
        <w:t xml:space="preserve">omplaint be dismissed </w:t>
      </w:r>
      <w:r w:rsidR="007F4DD3">
        <w:t>due to the passage of time and other circumstances</w:t>
      </w:r>
      <w:r w:rsidR="0028589C">
        <w:t>.  In a follow-up e</w:t>
      </w:r>
      <w:r w:rsidR="005F054A">
        <w:t>xchange</w:t>
      </w:r>
      <w:r w:rsidR="0028589C">
        <w:t xml:space="preserve"> </w:t>
      </w:r>
      <w:r w:rsidR="005F054A">
        <w:t>between Commission staff and Hearst</w:t>
      </w:r>
      <w:r w:rsidR="00335E04">
        <w:t xml:space="preserve"> </w:t>
      </w:r>
      <w:r w:rsidR="0028589C">
        <w:t xml:space="preserve">on February 26, 2020, Hearst </w:t>
      </w:r>
      <w:r w:rsidR="00335E04">
        <w:t>indicated</w:t>
      </w:r>
      <w:r w:rsidR="00FB71DC">
        <w:t xml:space="preserve"> that</w:t>
      </w:r>
      <w:r w:rsidR="0028589C">
        <w:t xml:space="preserve"> the complaint </w:t>
      </w:r>
      <w:r w:rsidR="00335E04">
        <w:t xml:space="preserve">should </w:t>
      </w:r>
      <w:r w:rsidR="0028589C">
        <w:t xml:space="preserve">be dismissed with prejudice. </w:t>
      </w:r>
    </w:p>
    <w:p w:rsidR="00EC02E0" w:rsidP="00EB3B62" w14:paraId="29995507" w14:textId="2E94C2EF">
      <w:pPr>
        <w:pStyle w:val="ParaNum"/>
        <w:tabs>
          <w:tab w:val="num" w:pos="1260"/>
        </w:tabs>
        <w:ind w:firstLine="630"/>
      </w:pPr>
      <w:r>
        <w:t xml:space="preserve">Accordingly, </w:t>
      </w:r>
      <w:r>
        <w:rPr>
          <w:b/>
          <w:bCs/>
        </w:rPr>
        <w:t>IT IS ORDERED</w:t>
      </w:r>
      <w:r>
        <w:t xml:space="preserve"> that the </w:t>
      </w:r>
      <w:r w:rsidR="00CA10A5">
        <w:t>r</w:t>
      </w:r>
      <w:r>
        <w:t xml:space="preserve">equest to withdraw the Enforcement Complaint Concerning Retransmission Without Authorization in the above-referenced proceeding </w:t>
      </w:r>
      <w:r>
        <w:rPr>
          <w:b/>
          <w:bCs/>
        </w:rPr>
        <w:t>IS GRANTED.</w:t>
      </w:r>
    </w:p>
    <w:p w:rsidR="00EC02E0" w:rsidP="00EB3B62" w14:paraId="4696561A" w14:textId="36EEE349">
      <w:pPr>
        <w:pStyle w:val="ParaNum"/>
        <w:tabs>
          <w:tab w:val="num" w:pos="1260"/>
        </w:tabs>
        <w:ind w:firstLine="630"/>
      </w:pPr>
      <w:r>
        <w:t xml:space="preserve">It is </w:t>
      </w:r>
      <w:r>
        <w:rPr>
          <w:b/>
          <w:bCs/>
        </w:rPr>
        <w:t>FURTHER ORDERED</w:t>
      </w:r>
      <w:r>
        <w:t xml:space="preserve"> that the complaint in the above-referenced proceeding </w:t>
      </w:r>
      <w:r>
        <w:rPr>
          <w:b/>
          <w:bCs/>
        </w:rPr>
        <w:t>IS DISMISSED WITH PREJUDICE</w:t>
      </w:r>
      <w:r>
        <w:t xml:space="preserve"> and that the above-referenced proceeding is </w:t>
      </w:r>
      <w:r>
        <w:rPr>
          <w:b/>
          <w:bCs/>
        </w:rPr>
        <w:t>TERMINATED</w:t>
      </w:r>
      <w:r>
        <w:t>.</w:t>
      </w:r>
    </w:p>
    <w:p w:rsidR="005D0817" w:rsidP="005D0817" w14:paraId="29A5C987" w14:textId="1288104C">
      <w:pPr>
        <w:pStyle w:val="ParaNum"/>
        <w:tabs>
          <w:tab w:val="num" w:pos="1260"/>
        </w:tabs>
        <w:ind w:firstLine="630"/>
      </w:pPr>
      <w:r>
        <w:t xml:space="preserve">This action is taken pursuant to authority delegated by Section 0.283 of the Commission’s </w:t>
      </w:r>
      <w:r w:rsidR="003B0E82">
        <w:t xml:space="preserve">       </w:t>
      </w:r>
      <w:r>
        <w:t>rule</w:t>
      </w:r>
      <w:r>
        <w:t>s.</w:t>
      </w:r>
    </w:p>
    <w:p w:rsidR="00304267" w:rsidP="005D0817" w14:paraId="43CB6772" w14:textId="6EBD792B"/>
    <w:p w:rsidR="000E56EC" w:rsidP="005D0817" w14:paraId="75DE5D61" w14:textId="77777777"/>
    <w:p w:rsidR="00EC02E0" w:rsidP="00EC02E0" w14:paraId="6D4C463F" w14:textId="77777777">
      <w:pPr>
        <w:pStyle w:val="ParaNum"/>
        <w:numPr>
          <w:ilvl w:val="0"/>
          <w:numId w:val="0"/>
        </w:numPr>
        <w:tabs>
          <w:tab w:val="num" w:pos="1440"/>
        </w:tabs>
        <w:ind w:firstLine="720"/>
      </w:pPr>
      <w:r>
        <w:tab/>
      </w:r>
      <w:r>
        <w:tab/>
      </w:r>
      <w:r>
        <w:tab/>
      </w:r>
      <w:r>
        <w:tab/>
      </w:r>
      <w:r>
        <w:tab/>
        <w:t>FEDERAL COMMUNICATIONS COMMISSION</w:t>
      </w:r>
    </w:p>
    <w:p w:rsidR="00304267" w:rsidP="003B53B3" w14:paraId="1F2FC251" w14:textId="77777777">
      <w:pPr>
        <w:pStyle w:val="ParaNum"/>
        <w:numPr>
          <w:ilvl w:val="0"/>
          <w:numId w:val="0"/>
        </w:numPr>
        <w:tabs>
          <w:tab w:val="num" w:pos="1440"/>
        </w:tabs>
      </w:pPr>
    </w:p>
    <w:p w:rsidR="00D641D3" w:rsidP="005D0817" w14:paraId="6BFA2E9D" w14:textId="7CF56EAC">
      <w:pPr>
        <w:pStyle w:val="ParaNum"/>
        <w:numPr>
          <w:ilvl w:val="0"/>
          <w:numId w:val="0"/>
        </w:numPr>
        <w:tabs>
          <w:tab w:val="num" w:pos="1440"/>
        </w:tabs>
        <w:ind w:left="4320"/>
      </w:pPr>
      <w:r>
        <w:t>Steven A. Broeckaer</w:t>
      </w:r>
      <w:r w:rsidR="00CA10A5">
        <w:t>t</w:t>
      </w:r>
      <w:r w:rsidR="005D0817">
        <w:br/>
      </w:r>
      <w:r w:rsidR="00CA10A5">
        <w:t>Senior Deputy Chief, Policy Division</w:t>
      </w:r>
      <w:r>
        <w:t xml:space="preserve"> </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0BE7" w14:paraId="7CFEC5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0BE7" w14:paraId="0D7445F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0BE7" w14:paraId="6E37CA7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0BE7" w14:paraId="7B292F4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0F1D" w:rsidRPr="00D70F1D" w14:paraId="3825AFF9" w14:textId="039FD4AC">
    <w:pPr>
      <w:pStyle w:val="Header"/>
      <w:rPr>
        <w:b/>
        <w:bCs/>
      </w:rPr>
    </w:pPr>
    <w:r w:rsidRPr="00D70F1D">
      <w:rPr>
        <w:b/>
        <w:bCs/>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D70F1D">
      <w:rPr>
        <w:b/>
        <w:bCs/>
      </w:rPr>
      <w:tab/>
      <w:t>Federal Communications Commission</w:t>
    </w:r>
    <w:r w:rsidRPr="00D70F1D">
      <w:rPr>
        <w:b/>
        <w:bCs/>
      </w:rPr>
      <w:tab/>
    </w:r>
    <w:r w:rsidR="00CA10A5">
      <w:rPr>
        <w:b/>
        <w:bCs/>
        <w:spacing w:val="-2"/>
      </w:rPr>
      <w:t xml:space="preserve">DA </w:t>
    </w:r>
    <w:r w:rsidR="00CA10A5">
      <w:rPr>
        <w:b/>
        <w:bCs/>
        <w:spacing w:val="-2"/>
      </w:rPr>
      <w:t>20-</w:t>
    </w:r>
    <w:r w:rsidR="00D70BE7">
      <w:rPr>
        <w:b/>
        <w:bCs/>
        <w:spacing w:val="-2"/>
      </w:rPr>
      <w:t>215</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0BE7" w14:paraId="23F2C8A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1D"/>
    <w:rsid w:val="000168E6"/>
    <w:rsid w:val="000E56EC"/>
    <w:rsid w:val="00134651"/>
    <w:rsid w:val="0016128B"/>
    <w:rsid w:val="0028589C"/>
    <w:rsid w:val="002C56E1"/>
    <w:rsid w:val="002C675D"/>
    <w:rsid w:val="00304267"/>
    <w:rsid w:val="00335E04"/>
    <w:rsid w:val="00362B71"/>
    <w:rsid w:val="003B0E82"/>
    <w:rsid w:val="003B53B3"/>
    <w:rsid w:val="00484E06"/>
    <w:rsid w:val="004E794B"/>
    <w:rsid w:val="005D0817"/>
    <w:rsid w:val="005F054A"/>
    <w:rsid w:val="00664B6C"/>
    <w:rsid w:val="0070224F"/>
    <w:rsid w:val="007115F7"/>
    <w:rsid w:val="007F4DD3"/>
    <w:rsid w:val="008C25FC"/>
    <w:rsid w:val="0099212A"/>
    <w:rsid w:val="00AD6004"/>
    <w:rsid w:val="00AF69D0"/>
    <w:rsid w:val="00C30D0C"/>
    <w:rsid w:val="00CA10A5"/>
    <w:rsid w:val="00CA16B7"/>
    <w:rsid w:val="00CB20DE"/>
    <w:rsid w:val="00CC37B4"/>
    <w:rsid w:val="00CC6C34"/>
    <w:rsid w:val="00D641D3"/>
    <w:rsid w:val="00D70BE7"/>
    <w:rsid w:val="00D70F1D"/>
    <w:rsid w:val="00E00835"/>
    <w:rsid w:val="00EB3B62"/>
    <w:rsid w:val="00EC02E0"/>
    <w:rsid w:val="00FB71DC"/>
    <w:rsid w:val="00FC56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CDB4BE8-E6BF-4125-A0BF-C530E272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F1D"/>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D70F1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70F1D"/>
    <w:pPr>
      <w:keepNext/>
      <w:numPr>
        <w:ilvl w:val="1"/>
        <w:numId w:val="2"/>
      </w:numPr>
      <w:spacing w:after="120"/>
      <w:outlineLvl w:val="1"/>
    </w:pPr>
    <w:rPr>
      <w:b/>
    </w:rPr>
  </w:style>
  <w:style w:type="paragraph" w:styleId="Heading3">
    <w:name w:val="heading 3"/>
    <w:basedOn w:val="Normal"/>
    <w:next w:val="ParaNum"/>
    <w:link w:val="Heading3Char"/>
    <w:qFormat/>
    <w:rsid w:val="00D70F1D"/>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D70F1D"/>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D70F1D"/>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D70F1D"/>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D70F1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D70F1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70F1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F1D"/>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D70F1D"/>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D70F1D"/>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D70F1D"/>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D70F1D"/>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D70F1D"/>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D70F1D"/>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D70F1D"/>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D70F1D"/>
    <w:rPr>
      <w:rFonts w:ascii="Times New Roman" w:eastAsia="Times New Roman" w:hAnsi="Times New Roman" w:cs="Times New Roman"/>
      <w:b/>
      <w:snapToGrid w:val="0"/>
      <w:kern w:val="28"/>
      <w:szCs w:val="20"/>
    </w:rPr>
  </w:style>
  <w:style w:type="paragraph" w:customStyle="1" w:styleId="ParaNum">
    <w:name w:val="ParaNum"/>
    <w:basedOn w:val="Normal"/>
    <w:link w:val="ParaNumChar1"/>
    <w:rsid w:val="00D70F1D"/>
    <w:pPr>
      <w:numPr>
        <w:numId w:val="1"/>
      </w:numPr>
      <w:tabs>
        <w:tab w:val="clear" w:pos="1080"/>
        <w:tab w:val="num" w:pos="1440"/>
      </w:tabs>
      <w:spacing w:after="120"/>
    </w:p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D70F1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 Char1 Char Char Char,Footnote Text Char1 Char,Footnote Text Char1 Char Char Char Char Char Char,Footnote Text Char2 Char Char Char,Footnote Text Char2 Char Char Char Char Char,fn Char"/>
    <w:basedOn w:val="DefaultParagraphFont"/>
    <w:link w:val="FootnoteText"/>
    <w:rsid w:val="00D70F1D"/>
    <w:rPr>
      <w:rFonts w:ascii="Times New Roman" w:eastAsia="Times New Roman" w:hAnsi="Times New Roman" w:cs="Times New Roman"/>
      <w:sz w:val="20"/>
      <w:szCs w:val="20"/>
    </w:rPr>
  </w:style>
  <w:style w:type="character" w:styleId="FootnoteReference">
    <w:name w:val="footnote reference"/>
    <w:aliases w:val="(NECG) Footnote Reference,Appel note de bas de p,FR,Footnote Reference/,Footnote Reference1,Style 12,Style 124,Style 13,Style 17,Style 3,Style 4,Style 6,Style 7,fr,o"/>
    <w:rsid w:val="00D70F1D"/>
    <w:rPr>
      <w:rFonts w:ascii="Times New Roman" w:hAnsi="Times New Roman"/>
      <w:dstrike w:val="0"/>
      <w:color w:val="auto"/>
      <w:sz w:val="20"/>
      <w:vertAlign w:val="superscript"/>
    </w:rPr>
  </w:style>
  <w:style w:type="paragraph" w:styleId="TOAHeading">
    <w:name w:val="toa heading"/>
    <w:basedOn w:val="Normal"/>
    <w:next w:val="Normal"/>
    <w:semiHidden/>
    <w:rsid w:val="00D70F1D"/>
    <w:pPr>
      <w:tabs>
        <w:tab w:val="right" w:pos="9360"/>
      </w:tabs>
      <w:suppressAutoHyphens/>
    </w:pPr>
  </w:style>
  <w:style w:type="paragraph" w:customStyle="1" w:styleId="StyleBoldCentered">
    <w:name w:val="Style Bold Centered"/>
    <w:basedOn w:val="Normal"/>
    <w:rsid w:val="00D70F1D"/>
    <w:pPr>
      <w:jc w:val="center"/>
    </w:pPr>
    <w:rPr>
      <w:rFonts w:ascii="Times New Roman Bold" w:hAnsi="Times New Roman Bold"/>
      <w:b/>
      <w:bCs/>
      <w:caps/>
      <w:szCs w:val="22"/>
    </w:rPr>
  </w:style>
  <w:style w:type="character" w:customStyle="1" w:styleId="ParaNumChar1">
    <w:name w:val="ParaNum Char1"/>
    <w:link w:val="ParaNum"/>
    <w:locked/>
    <w:rsid w:val="00D70F1D"/>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D70F1D"/>
    <w:pPr>
      <w:tabs>
        <w:tab w:val="center" w:pos="4680"/>
        <w:tab w:val="right" w:pos="9360"/>
      </w:tabs>
    </w:pPr>
  </w:style>
  <w:style w:type="character" w:customStyle="1" w:styleId="HeaderChar">
    <w:name w:val="Header Char"/>
    <w:basedOn w:val="DefaultParagraphFont"/>
    <w:link w:val="Header"/>
    <w:uiPriority w:val="99"/>
    <w:rsid w:val="00D70F1D"/>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D70F1D"/>
    <w:pPr>
      <w:tabs>
        <w:tab w:val="center" w:pos="4680"/>
        <w:tab w:val="right" w:pos="9360"/>
      </w:tabs>
    </w:pPr>
  </w:style>
  <w:style w:type="character" w:customStyle="1" w:styleId="FooterChar">
    <w:name w:val="Footer Char"/>
    <w:basedOn w:val="DefaultParagraphFont"/>
    <w:link w:val="Footer"/>
    <w:uiPriority w:val="99"/>
    <w:rsid w:val="00D70F1D"/>
    <w:rPr>
      <w:rFonts w:ascii="Times New Roman" w:eastAsia="Times New Roman" w:hAnsi="Times New Roman" w:cs="Times New Roman"/>
      <w:snapToGrid w:val="0"/>
      <w:kern w:val="28"/>
      <w:szCs w:val="20"/>
    </w:rPr>
  </w:style>
  <w:style w:type="paragraph" w:styleId="ListParagraph">
    <w:name w:val="List Paragraph"/>
    <w:basedOn w:val="Normal"/>
    <w:uiPriority w:val="34"/>
    <w:qFormat/>
    <w:rsid w:val="00EC0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