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rsidP="00BF2F4A" w14:paraId="075F9541" w14:textId="77777777">
      <w:pPr>
        <w:pStyle w:val="Title"/>
        <w:rPr>
          <w:szCs w:val="22"/>
        </w:rPr>
      </w:pPr>
      <w:r w:rsidRPr="006D5400">
        <w:rPr>
          <w:szCs w:val="22"/>
        </w:rPr>
        <w:t>Before the</w:t>
      </w:r>
    </w:p>
    <w:p w:rsidR="00313EF3" w:rsidRPr="006D5400" w14:paraId="78EDA199" w14:textId="77777777">
      <w:pPr>
        <w:pStyle w:val="Subtitle"/>
        <w:ind w:firstLine="0"/>
        <w:rPr>
          <w:szCs w:val="22"/>
        </w:rPr>
      </w:pPr>
      <w:r w:rsidRPr="006D5400">
        <w:rPr>
          <w:szCs w:val="22"/>
        </w:rPr>
        <w:t>Federal Communications Commission</w:t>
      </w:r>
    </w:p>
    <w:p w:rsidR="00313EF3" w:rsidRPr="00524588" w:rsidP="00524588" w14:paraId="4F5D5342" w14:textId="77777777">
      <w:pPr>
        <w:jc w:val="center"/>
        <w:rPr>
          <w:b/>
          <w:szCs w:val="22"/>
        </w:rPr>
      </w:pPr>
      <w:r w:rsidRPr="006D5400">
        <w:rPr>
          <w:b/>
          <w:szCs w:val="22"/>
        </w:rPr>
        <w:t>Washington, D.C. 20554</w:t>
      </w:r>
    </w:p>
    <w:p w:rsidR="00313EF3" w:rsidRPr="006D5400" w14:paraId="4A4FDB60"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29F65C81" w14:textId="77777777" w:rsidTr="00DE1F08">
        <w:tblPrEx>
          <w:tblW w:w="0" w:type="auto"/>
          <w:tblLayout w:type="fixed"/>
          <w:tblLook w:val="0000"/>
        </w:tblPrEx>
        <w:tc>
          <w:tcPr>
            <w:tcW w:w="4698" w:type="dxa"/>
          </w:tcPr>
          <w:p w:rsidR="00313EF3" w:rsidRPr="006D5400" w14:paraId="749FC7E4"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30C463C0" w14:textId="77777777">
            <w:pPr>
              <w:tabs>
                <w:tab w:val="center" w:pos="4680"/>
              </w:tabs>
              <w:suppressAutoHyphens/>
              <w:rPr>
                <w:spacing w:val="-2"/>
                <w:szCs w:val="22"/>
              </w:rPr>
            </w:pPr>
          </w:p>
          <w:p w:rsidR="00422B9B" w:rsidRPr="006D5400" w:rsidP="00422B9B" w14:paraId="79338235" w14:textId="77777777">
            <w:pPr>
              <w:tabs>
                <w:tab w:val="center" w:pos="4680"/>
              </w:tabs>
              <w:suppressAutoHyphens/>
              <w:rPr>
                <w:szCs w:val="22"/>
              </w:rPr>
            </w:pPr>
            <w:r>
              <w:rPr>
                <w:szCs w:val="22"/>
              </w:rPr>
              <w:t>Telplex Communications</w:t>
            </w:r>
          </w:p>
          <w:p w:rsidR="001C67AE" w:rsidRPr="006D5400" w:rsidP="00422B9B" w14:paraId="481713B4" w14:textId="77777777">
            <w:pPr>
              <w:tabs>
                <w:tab w:val="center" w:pos="4680"/>
              </w:tabs>
              <w:suppressAutoHyphens/>
              <w:rPr>
                <w:szCs w:val="22"/>
              </w:rPr>
            </w:pPr>
          </w:p>
          <w:p w:rsidR="00313EF3" w:rsidRPr="006D5400" w14:paraId="385BC253" w14:textId="77777777">
            <w:pPr>
              <w:pStyle w:val="TOAHeading"/>
              <w:tabs>
                <w:tab w:val="center" w:pos="4680"/>
                <w:tab w:val="clear" w:pos="9360"/>
              </w:tabs>
              <w:rPr>
                <w:szCs w:val="22"/>
              </w:rPr>
            </w:pPr>
            <w:r w:rsidRPr="006D5400">
              <w:rPr>
                <w:szCs w:val="22"/>
              </w:rPr>
              <w:t xml:space="preserve">Complaint Regarding </w:t>
            </w:r>
          </w:p>
          <w:p w:rsidR="00313EF3" w:rsidRPr="006D5400" w14:paraId="333AAD24" w14:textId="77777777">
            <w:pPr>
              <w:pStyle w:val="TOAHeading"/>
              <w:tabs>
                <w:tab w:val="center" w:pos="4680"/>
                <w:tab w:val="clear" w:pos="9360"/>
              </w:tabs>
              <w:rPr>
                <w:szCs w:val="22"/>
              </w:rPr>
            </w:pPr>
            <w:r w:rsidRPr="006D5400">
              <w:rPr>
                <w:szCs w:val="22"/>
              </w:rPr>
              <w:t>Unauthorized Change of</w:t>
            </w:r>
          </w:p>
          <w:p w:rsidR="00313EF3" w:rsidRPr="006D5400" w14:paraId="6D110063"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4048CCA7" w14:textId="77777777">
            <w:pPr>
              <w:tabs>
                <w:tab w:val="center" w:pos="4680"/>
              </w:tabs>
              <w:suppressAutoHyphens/>
              <w:rPr>
                <w:b/>
                <w:spacing w:val="-2"/>
                <w:szCs w:val="22"/>
              </w:rPr>
            </w:pPr>
            <w:r w:rsidRPr="006D5400">
              <w:rPr>
                <w:b/>
                <w:spacing w:val="-2"/>
                <w:szCs w:val="22"/>
              </w:rPr>
              <w:t>)</w:t>
            </w:r>
          </w:p>
          <w:p w:rsidR="00313EF3" w:rsidRPr="006D5400" w14:paraId="43DFF1B8" w14:textId="77777777">
            <w:pPr>
              <w:tabs>
                <w:tab w:val="center" w:pos="4680"/>
              </w:tabs>
              <w:suppressAutoHyphens/>
              <w:rPr>
                <w:b/>
                <w:spacing w:val="-2"/>
                <w:szCs w:val="22"/>
              </w:rPr>
            </w:pPr>
            <w:r w:rsidRPr="006D5400">
              <w:rPr>
                <w:b/>
                <w:spacing w:val="-2"/>
                <w:szCs w:val="22"/>
              </w:rPr>
              <w:t>)</w:t>
            </w:r>
          </w:p>
          <w:p w:rsidR="00313EF3" w:rsidRPr="006D5400" w14:paraId="0148EB87" w14:textId="77777777">
            <w:pPr>
              <w:tabs>
                <w:tab w:val="center" w:pos="4680"/>
              </w:tabs>
              <w:suppressAutoHyphens/>
              <w:rPr>
                <w:b/>
                <w:spacing w:val="-2"/>
                <w:szCs w:val="22"/>
              </w:rPr>
            </w:pPr>
            <w:r w:rsidRPr="006D5400">
              <w:rPr>
                <w:b/>
                <w:spacing w:val="-2"/>
                <w:szCs w:val="22"/>
              </w:rPr>
              <w:t>)</w:t>
            </w:r>
          </w:p>
          <w:p w:rsidR="00313EF3" w:rsidRPr="006D5400" w14:paraId="658038B0" w14:textId="77777777">
            <w:pPr>
              <w:tabs>
                <w:tab w:val="center" w:pos="4680"/>
              </w:tabs>
              <w:suppressAutoHyphens/>
              <w:rPr>
                <w:b/>
                <w:spacing w:val="-2"/>
                <w:szCs w:val="22"/>
              </w:rPr>
            </w:pPr>
            <w:r w:rsidRPr="006D5400">
              <w:rPr>
                <w:b/>
                <w:spacing w:val="-2"/>
                <w:szCs w:val="22"/>
              </w:rPr>
              <w:t>)</w:t>
            </w:r>
          </w:p>
          <w:p w:rsidR="00313EF3" w:rsidRPr="006D5400" w14:paraId="030B9CF2" w14:textId="77777777">
            <w:pPr>
              <w:tabs>
                <w:tab w:val="center" w:pos="4680"/>
              </w:tabs>
              <w:suppressAutoHyphens/>
              <w:rPr>
                <w:b/>
                <w:spacing w:val="-2"/>
                <w:szCs w:val="22"/>
              </w:rPr>
            </w:pPr>
            <w:r w:rsidRPr="006D5400">
              <w:rPr>
                <w:b/>
                <w:spacing w:val="-2"/>
                <w:szCs w:val="22"/>
              </w:rPr>
              <w:t>)</w:t>
            </w:r>
          </w:p>
          <w:p w:rsidR="00313EF3" w:rsidRPr="006D5400" w14:paraId="6F90A928" w14:textId="77777777">
            <w:pPr>
              <w:tabs>
                <w:tab w:val="center" w:pos="4680"/>
              </w:tabs>
              <w:suppressAutoHyphens/>
              <w:rPr>
                <w:b/>
                <w:spacing w:val="-2"/>
                <w:szCs w:val="22"/>
              </w:rPr>
            </w:pPr>
            <w:r w:rsidRPr="006D5400">
              <w:rPr>
                <w:b/>
                <w:spacing w:val="-2"/>
                <w:szCs w:val="22"/>
              </w:rPr>
              <w:t>)</w:t>
            </w:r>
          </w:p>
          <w:p w:rsidR="00313EF3" w:rsidRPr="006D5400" w14:paraId="1BB65B0C" w14:textId="77777777">
            <w:pPr>
              <w:tabs>
                <w:tab w:val="center" w:pos="4680"/>
              </w:tabs>
              <w:suppressAutoHyphens/>
              <w:rPr>
                <w:b/>
                <w:spacing w:val="-2"/>
                <w:szCs w:val="22"/>
              </w:rPr>
            </w:pPr>
            <w:r w:rsidRPr="006D5400">
              <w:rPr>
                <w:b/>
                <w:spacing w:val="-2"/>
                <w:szCs w:val="22"/>
              </w:rPr>
              <w:t>)</w:t>
            </w:r>
          </w:p>
          <w:p w:rsidR="00DE1F08" w:rsidRPr="006D5400" w14:paraId="3DCF9AF9" w14:textId="77777777">
            <w:pPr>
              <w:tabs>
                <w:tab w:val="center" w:pos="4680"/>
              </w:tabs>
              <w:suppressAutoHyphens/>
              <w:rPr>
                <w:b/>
                <w:spacing w:val="-2"/>
                <w:szCs w:val="22"/>
              </w:rPr>
            </w:pPr>
          </w:p>
          <w:p w:rsidR="00E84E6A" w:rsidRPr="006D5400" w14:paraId="60792476" w14:textId="77777777">
            <w:pPr>
              <w:tabs>
                <w:tab w:val="center" w:pos="4680"/>
              </w:tabs>
              <w:suppressAutoHyphens/>
              <w:rPr>
                <w:b/>
                <w:spacing w:val="-2"/>
                <w:szCs w:val="22"/>
              </w:rPr>
            </w:pPr>
          </w:p>
        </w:tc>
        <w:tc>
          <w:tcPr>
            <w:tcW w:w="4248" w:type="dxa"/>
          </w:tcPr>
          <w:p w:rsidR="00313EF3" w:rsidRPr="006D5400" w14:paraId="2278B330" w14:textId="77777777">
            <w:pPr>
              <w:tabs>
                <w:tab w:val="center" w:pos="4680"/>
              </w:tabs>
              <w:suppressAutoHyphens/>
              <w:rPr>
                <w:spacing w:val="-2"/>
                <w:szCs w:val="22"/>
              </w:rPr>
            </w:pPr>
          </w:p>
          <w:p w:rsidR="00313EF3" w:rsidRPr="006D5400" w14:paraId="0B7EF6A2" w14:textId="77777777">
            <w:pPr>
              <w:tabs>
                <w:tab w:val="center" w:pos="4680"/>
              </w:tabs>
              <w:suppressAutoHyphens/>
              <w:rPr>
                <w:spacing w:val="-2"/>
                <w:szCs w:val="22"/>
              </w:rPr>
            </w:pPr>
          </w:p>
          <w:p w:rsidR="00697A80" w:rsidRPr="006D5400" w:rsidP="00C81A17" w14:paraId="20C84F30" w14:textId="77777777">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9C3ADD">
              <w:rPr>
                <w:szCs w:val="22"/>
              </w:rPr>
              <w:t>3</w:t>
            </w:r>
            <w:r w:rsidR="00B11015">
              <w:rPr>
                <w:szCs w:val="22"/>
              </w:rPr>
              <w:t>529341</w:t>
            </w:r>
          </w:p>
          <w:p w:rsidR="00DE1F08" w:rsidRPr="006D5400" w:rsidP="00DE1F08" w14:paraId="3F92AFF7" w14:textId="77777777">
            <w:pPr>
              <w:rPr>
                <w:szCs w:val="22"/>
              </w:rPr>
            </w:pPr>
            <w:r w:rsidRPr="006D5400">
              <w:rPr>
                <w:szCs w:val="22"/>
              </w:rPr>
              <w:t xml:space="preserve">              </w:t>
            </w:r>
            <w:r w:rsidRPr="006D5400" w:rsidR="000715F6">
              <w:rPr>
                <w:szCs w:val="22"/>
              </w:rPr>
              <w:t xml:space="preserve">             </w:t>
            </w:r>
          </w:p>
          <w:p w:rsidR="00E84E6A" w:rsidRPr="006D5400" w:rsidP="00E84E6A" w14:paraId="7975742A" w14:textId="77777777">
            <w:pPr>
              <w:rPr>
                <w:szCs w:val="22"/>
              </w:rPr>
            </w:pPr>
          </w:p>
        </w:tc>
      </w:tr>
    </w:tbl>
    <w:p w:rsidR="00313EF3" w:rsidRPr="006D5400" w:rsidP="00CD6BB8" w14:paraId="6B479468" w14:textId="77777777">
      <w:pPr>
        <w:jc w:val="center"/>
        <w:rPr>
          <w:b/>
          <w:szCs w:val="22"/>
        </w:rPr>
      </w:pPr>
      <w:r w:rsidRPr="006D5400">
        <w:rPr>
          <w:b/>
          <w:szCs w:val="22"/>
        </w:rPr>
        <w:t>O</w:t>
      </w:r>
      <w:r w:rsidRPr="006D5400">
        <w:rPr>
          <w:b/>
          <w:szCs w:val="22"/>
        </w:rPr>
        <w:t>RDER</w:t>
      </w:r>
    </w:p>
    <w:p w:rsidR="00313EF3" w:rsidRPr="006D5400" w14:paraId="341547ED" w14:textId="77777777">
      <w:pPr>
        <w:tabs>
          <w:tab w:val="left" w:pos="-720"/>
        </w:tabs>
        <w:suppressAutoHyphens/>
        <w:spacing w:line="227" w:lineRule="auto"/>
        <w:ind w:left="720"/>
        <w:rPr>
          <w:spacing w:val="-2"/>
          <w:szCs w:val="22"/>
        </w:rPr>
      </w:pPr>
    </w:p>
    <w:p w:rsidR="00313EF3" w:rsidRPr="009C3ADD" w14:paraId="2F75298A" w14:textId="4C0AC8B5">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A52317">
        <w:rPr>
          <w:b/>
          <w:spacing w:val="-2"/>
          <w:szCs w:val="22"/>
        </w:rPr>
        <w:t>March 4</w:t>
      </w:r>
      <w:r w:rsidR="001E68F1">
        <w:rPr>
          <w:b/>
          <w:spacing w:val="-2"/>
          <w:szCs w:val="22"/>
        </w:rPr>
        <w:t>,</w:t>
      </w:r>
      <w:r w:rsidRPr="006D5400" w:rsidR="00236AA1">
        <w:rPr>
          <w:b/>
          <w:spacing w:val="-2"/>
          <w:szCs w:val="22"/>
        </w:rPr>
        <w:t xml:space="preserve"> </w:t>
      </w:r>
      <w:r w:rsidRPr="006D5400" w:rsidR="00454DF3">
        <w:rPr>
          <w:b/>
          <w:spacing w:val="-2"/>
          <w:szCs w:val="22"/>
        </w:rPr>
        <w:t>20</w:t>
      </w:r>
      <w:r w:rsidR="00C12644">
        <w:rPr>
          <w:b/>
          <w:spacing w:val="-2"/>
          <w:szCs w:val="22"/>
        </w:rPr>
        <w:t>20</w:t>
      </w:r>
      <w:r w:rsidRPr="006D5400">
        <w:rPr>
          <w:b/>
          <w:spacing w:val="-2"/>
          <w:szCs w:val="22"/>
        </w:rPr>
        <w:tab/>
      </w:r>
      <w:r w:rsidR="00BF2F4A">
        <w:rPr>
          <w:b/>
          <w:spacing w:val="-2"/>
          <w:szCs w:val="22"/>
        </w:rPr>
        <w:tab/>
      </w:r>
      <w:bookmarkStart w:id="0" w:name="_GoBack"/>
      <w:bookmarkEnd w:id="0"/>
      <w:r w:rsidRPr="006D5400">
        <w:rPr>
          <w:b/>
          <w:spacing w:val="-2"/>
          <w:szCs w:val="22"/>
        </w:rPr>
        <w:t>Released:</w:t>
      </w:r>
      <w:r w:rsidRPr="006D5400" w:rsidR="00676CB9">
        <w:rPr>
          <w:b/>
          <w:spacing w:val="-2"/>
          <w:szCs w:val="22"/>
        </w:rPr>
        <w:t xml:space="preserve"> </w:t>
      </w:r>
      <w:r w:rsidR="001E68F1">
        <w:rPr>
          <w:b/>
          <w:spacing w:val="-2"/>
          <w:szCs w:val="22"/>
        </w:rPr>
        <w:t xml:space="preserve"> </w:t>
      </w:r>
      <w:r w:rsidR="00A52317">
        <w:rPr>
          <w:b/>
          <w:spacing w:val="-2"/>
          <w:szCs w:val="22"/>
        </w:rPr>
        <w:t>March 4</w:t>
      </w:r>
      <w:r w:rsidRPr="006D5400" w:rsidR="00236AA1">
        <w:rPr>
          <w:b/>
          <w:spacing w:val="-2"/>
          <w:szCs w:val="22"/>
        </w:rPr>
        <w:t xml:space="preserve">, </w:t>
      </w:r>
      <w:r w:rsidRPr="006D5400">
        <w:rPr>
          <w:b/>
          <w:spacing w:val="-2"/>
          <w:szCs w:val="22"/>
        </w:rPr>
        <w:t>20</w:t>
      </w:r>
      <w:r w:rsidR="00C12644">
        <w:rPr>
          <w:b/>
          <w:spacing w:val="-2"/>
          <w:szCs w:val="22"/>
        </w:rPr>
        <w:t>20</w:t>
      </w:r>
    </w:p>
    <w:p w:rsidR="00313EF3" w:rsidRPr="006D5400" w14:paraId="3CC74FD3" w14:textId="77777777">
      <w:pPr>
        <w:rPr>
          <w:szCs w:val="22"/>
        </w:rPr>
      </w:pPr>
    </w:p>
    <w:p w:rsidR="00313EF3" w:rsidRPr="006D5400" w:rsidP="0062716E" w14:paraId="454E3070" w14:textId="77777777">
      <w:pPr>
        <w:spacing w:after="120"/>
        <w:rPr>
          <w:szCs w:val="22"/>
        </w:rPr>
      </w:pPr>
      <w:r w:rsidRPr="006D5400">
        <w:rPr>
          <w:szCs w:val="22"/>
        </w:rPr>
        <w:t xml:space="preserve">By the </w:t>
      </w:r>
      <w:r w:rsidRPr="00E82B87" w:rsidR="000B7A45">
        <w:rPr>
          <w:szCs w:val="22"/>
        </w:rPr>
        <w:t xml:space="preserve">Chief, </w:t>
      </w:r>
      <w:r w:rsidRPr="00E82B87" w:rsidR="004914A3">
        <w:rPr>
          <w:szCs w:val="22"/>
        </w:rPr>
        <w:t xml:space="preserve">Consumer Policy Division, </w:t>
      </w:r>
      <w:r w:rsidRPr="00E82B87" w:rsidR="000B7A45">
        <w:rPr>
          <w:szCs w:val="22"/>
        </w:rPr>
        <w:t>Consumer</w:t>
      </w:r>
      <w:r w:rsidRPr="006D5400" w:rsidR="000B7A45">
        <w:rPr>
          <w:szCs w:val="22"/>
        </w:rPr>
        <w:t xml:space="preserve"> </w:t>
      </w:r>
      <w:r w:rsidRPr="006D5400" w:rsidR="0074254C">
        <w:rPr>
          <w:szCs w:val="22"/>
        </w:rPr>
        <w:t>and</w:t>
      </w:r>
      <w:r w:rsidRPr="006D5400" w:rsidR="000B7A45">
        <w:rPr>
          <w:szCs w:val="22"/>
        </w:rPr>
        <w:t xml:space="preserve"> Governmental Affairs Bureau:</w:t>
      </w:r>
    </w:p>
    <w:p w:rsidR="00313EF3" w:rsidRPr="006D5400" w:rsidP="0062716E" w14:paraId="63A509E8" w14:textId="77777777">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DE7276">
        <w:rPr>
          <w:szCs w:val="22"/>
        </w:rPr>
        <w:t>a</w:t>
      </w:r>
      <w:r w:rsidRPr="006D5400">
        <w:rPr>
          <w:szCs w:val="22"/>
        </w:rPr>
        <w:t xml:space="preserve"> complaint alleging that</w:t>
      </w:r>
      <w:r w:rsidRPr="006D5400" w:rsidR="00DD5275">
        <w:rPr>
          <w:szCs w:val="22"/>
        </w:rPr>
        <w:t xml:space="preserve"> </w:t>
      </w:r>
      <w:r w:rsidR="009C3ADD">
        <w:rPr>
          <w:szCs w:val="22"/>
        </w:rPr>
        <w:t xml:space="preserve">Telplex Communications </w:t>
      </w:r>
      <w:r w:rsidRPr="006D5400" w:rsidR="001204B1">
        <w:rPr>
          <w:szCs w:val="22"/>
        </w:rPr>
        <w:t>(</w:t>
      </w:r>
      <w:r w:rsidR="009C3ADD">
        <w:rPr>
          <w:szCs w:val="22"/>
        </w:rPr>
        <w:t>Telplex</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sidR="00DE7276">
        <w:rPr>
          <w:szCs w:val="22"/>
        </w:rPr>
        <w:t>.</w:t>
      </w:r>
      <w:r>
        <w:rPr>
          <w:rStyle w:val="FootnoteReference"/>
          <w:szCs w:val="22"/>
        </w:rPr>
        <w:footnoteReference w:id="3"/>
      </w:r>
      <w:r w:rsidRPr="006D5400">
        <w:rPr>
          <w:szCs w:val="22"/>
        </w:rPr>
        <w:t xml:space="preserve">  We </w:t>
      </w:r>
      <w:r w:rsidR="00DE7276">
        <w:rPr>
          <w:szCs w:val="22"/>
        </w:rPr>
        <w:t>find</w:t>
      </w:r>
      <w:r w:rsidRPr="006D5400">
        <w:rPr>
          <w:szCs w:val="22"/>
        </w:rPr>
        <w:t xml:space="preserve"> that</w:t>
      </w:r>
      <w:r w:rsidRPr="006D5400" w:rsidR="004914A3">
        <w:rPr>
          <w:szCs w:val="22"/>
        </w:rPr>
        <w:t xml:space="preserve"> </w:t>
      </w:r>
      <w:r w:rsidR="009C3ADD">
        <w:rPr>
          <w:szCs w:val="22"/>
        </w:rPr>
        <w:t>Telplex</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D7A0596" w14:textId="2A70B8B2">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also has adopted rules to limit the liability of subscribers when a</w:t>
      </w:r>
      <w:r w:rsidR="00E82B87">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42581" w:rsidP="00242581" w14:paraId="5D353271" w14:textId="77777777">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00664DC0">
        <w:rPr>
          <w:szCs w:val="22"/>
        </w:rPr>
        <w:t xml:space="preserve">In the complaint, Complainant also alleges that </w:t>
      </w:r>
      <w:r w:rsidR="00B11015">
        <w:rPr>
          <w:szCs w:val="22"/>
        </w:rPr>
        <w:t>“Telplex is a company posing as AT&amp;T and has set up internet and phone service in one of my business locations by saying that they were there on behalf of AT&amp;T and the service is due to an upgrade.</w:t>
      </w:r>
      <w:r w:rsidR="00AA1CB8">
        <w:rPr>
          <w:szCs w:val="22"/>
        </w:rPr>
        <w:t>”</w:t>
      </w:r>
      <w:r>
        <w:rPr>
          <w:rStyle w:val="FootnoteReference"/>
          <w:szCs w:val="22"/>
        </w:rPr>
        <w:footnoteReference w:id="9"/>
      </w:r>
      <w:r w:rsidR="00AA1CB8">
        <w:rPr>
          <w:szCs w:val="22"/>
        </w:rPr>
        <w:t xml:space="preserve">  Complainant </w:t>
      </w:r>
      <w:r w:rsidR="00B11015">
        <w:rPr>
          <w:szCs w:val="22"/>
        </w:rPr>
        <w:t xml:space="preserve">further </w:t>
      </w:r>
      <w:r w:rsidR="00AA1CB8">
        <w:rPr>
          <w:szCs w:val="22"/>
        </w:rPr>
        <w:t>state</w:t>
      </w:r>
      <w:r w:rsidR="00B11015">
        <w:rPr>
          <w:szCs w:val="22"/>
        </w:rPr>
        <w:t xml:space="preserve">s, </w:t>
      </w:r>
      <w:r w:rsidR="00560045">
        <w:rPr>
          <w:szCs w:val="22"/>
        </w:rPr>
        <w:t>“</w:t>
      </w:r>
      <w:r w:rsidR="00B11015">
        <w:rPr>
          <w:szCs w:val="22"/>
        </w:rPr>
        <w:t>[w]e have paid several charges for invoices sent by [Telplex] and wh</w:t>
      </w:r>
      <w:r w:rsidR="00BB1CF4">
        <w:rPr>
          <w:szCs w:val="22"/>
        </w:rPr>
        <w:t>en</w:t>
      </w:r>
      <w:r w:rsidR="00B11015">
        <w:rPr>
          <w:szCs w:val="22"/>
        </w:rPr>
        <w:t xml:space="preserve"> we contacted AT&amp;T they stated that this company is no</w:t>
      </w:r>
      <w:r w:rsidR="00BB1CF4">
        <w:rPr>
          <w:szCs w:val="22"/>
        </w:rPr>
        <w:t>t</w:t>
      </w:r>
      <w:r w:rsidR="00B11015">
        <w:rPr>
          <w:szCs w:val="22"/>
        </w:rPr>
        <w:t xml:space="preserve"> associated with them at all.  </w:t>
      </w:r>
      <w:r w:rsidR="00D9412A">
        <w:rPr>
          <w:szCs w:val="22"/>
        </w:rPr>
        <w:t>We are no</w:t>
      </w:r>
      <w:r w:rsidR="00BB1CF4">
        <w:rPr>
          <w:szCs w:val="22"/>
        </w:rPr>
        <w:t>w</w:t>
      </w:r>
      <w:r w:rsidR="00D9412A">
        <w:rPr>
          <w:szCs w:val="22"/>
        </w:rPr>
        <w:t xml:space="preserve"> having our se</w:t>
      </w:r>
      <w:r w:rsidR="00BB1CF4">
        <w:rPr>
          <w:szCs w:val="22"/>
        </w:rPr>
        <w:t>r</w:t>
      </w:r>
      <w:r w:rsidR="00D9412A">
        <w:rPr>
          <w:szCs w:val="22"/>
        </w:rPr>
        <w:t>vice for internet and phone interrupted on a daily basis due to these outstanding invoices with the falsely represented company.”</w:t>
      </w:r>
      <w:r>
        <w:rPr>
          <w:rStyle w:val="FootnoteReference"/>
          <w:szCs w:val="22"/>
        </w:rPr>
        <w:footnoteReference w:id="10"/>
      </w:r>
    </w:p>
    <w:p w:rsidR="00242581" w:rsidRPr="00242581" w:rsidP="00242581" w14:paraId="5CDD08EB" w14:textId="16BBB8C3">
      <w:pPr>
        <w:numPr>
          <w:ilvl w:val="0"/>
          <w:numId w:val="4"/>
        </w:numPr>
        <w:tabs>
          <w:tab w:val="clear" w:pos="1440"/>
        </w:tabs>
        <w:spacing w:after="120"/>
        <w:ind w:left="0" w:firstLine="720"/>
        <w:jc w:val="left"/>
        <w:rPr>
          <w:szCs w:val="22"/>
        </w:rPr>
      </w:pPr>
      <w:r w:rsidRPr="00142D97">
        <w:t>Pursuant t</w:t>
      </w:r>
      <w:r w:rsidR="00AA548C">
        <w:t xml:space="preserve">o </w:t>
      </w:r>
      <w:r w:rsidRPr="00142D97">
        <w:t xml:space="preserve">our rules, we notified </w:t>
      </w:r>
      <w:r w:rsidR="009C3ADD">
        <w:t>Telplex</w:t>
      </w:r>
      <w:r>
        <w:t xml:space="preserve"> of the complaint</w:t>
      </w:r>
      <w:r w:rsidR="00753932">
        <w:t>.</w:t>
      </w:r>
      <w:r>
        <w:rPr>
          <w:rStyle w:val="FootnoteReference"/>
        </w:rPr>
        <w:footnoteReference w:id="11"/>
      </w:r>
      <w:r w:rsidR="00C61A5E">
        <w:t xml:space="preserve">  Telplex responded to the complaint, stating that authorization was received and confirmed </w:t>
      </w:r>
      <w:r>
        <w:t>through</w:t>
      </w:r>
      <w:r w:rsidR="00C61A5E">
        <w:t xml:space="preserve"> a letter of a</w:t>
      </w:r>
      <w:r w:rsidR="00524588">
        <w:t>gency</w:t>
      </w:r>
      <w:r w:rsidR="00C61A5E">
        <w:t xml:space="preserve"> (LOA).</w:t>
      </w:r>
      <w:r>
        <w:rPr>
          <w:rStyle w:val="FootnoteReference"/>
        </w:rPr>
        <w:footnoteReference w:id="12"/>
      </w:r>
      <w:r w:rsidR="00C61A5E">
        <w:t xml:space="preserve">  Telple</w:t>
      </w:r>
      <w:r w:rsidR="00857EA8">
        <w:t xml:space="preserve">x </w:t>
      </w:r>
      <w:r w:rsidR="00BB1CF4">
        <w:t xml:space="preserve">also </w:t>
      </w:r>
      <w:r w:rsidR="00B85C40">
        <w:t>state</w:t>
      </w:r>
      <w:r w:rsidR="00BB1CF4">
        <w:t>s</w:t>
      </w:r>
      <w:r w:rsidR="00B85C40">
        <w:t xml:space="preserve"> that </w:t>
      </w:r>
      <w:r w:rsidR="00BB1CF4">
        <w:t>its sales representative</w:t>
      </w:r>
      <w:r w:rsidR="00B85C40">
        <w:t xml:space="preserve"> c</w:t>
      </w:r>
      <w:r w:rsidR="00CF17C9">
        <w:t>ontacted</w:t>
      </w:r>
      <w:r w:rsidR="00B85C40">
        <w:t xml:space="preserve"> </w:t>
      </w:r>
      <w:r w:rsidR="00646FF8">
        <w:t xml:space="preserve">Complainant “to upgrade (not switch) </w:t>
      </w:r>
      <w:r w:rsidR="005E4431">
        <w:t>[</w:t>
      </w:r>
      <w:r w:rsidR="00646FF8">
        <w:t>Complainant’s</w:t>
      </w:r>
      <w:r w:rsidR="005E4431">
        <w:t>]</w:t>
      </w:r>
      <w:r w:rsidR="00646FF8">
        <w:t xml:space="preserve"> copper </w:t>
      </w:r>
      <w:r w:rsidR="005E4431">
        <w:t xml:space="preserve">telephone </w:t>
      </w:r>
      <w:r w:rsidR="00646FF8">
        <w:t>service to digital VoIP service.”</w:t>
      </w:r>
      <w:r>
        <w:rPr>
          <w:rStyle w:val="FootnoteReference"/>
        </w:rPr>
        <w:footnoteReference w:id="13"/>
      </w:r>
      <w:r w:rsidR="00646FF8">
        <w:t xml:space="preserve">  </w:t>
      </w:r>
      <w:r>
        <w:t xml:space="preserve">Specifically, Telplex </w:t>
      </w:r>
      <w:r w:rsidR="00BB1CF4">
        <w:t>asserts</w:t>
      </w:r>
      <w:r>
        <w:t xml:space="preserve"> that </w:t>
      </w:r>
      <w:r w:rsidRPr="00242581">
        <w:rPr>
          <w:szCs w:val="24"/>
        </w:rPr>
        <w:t xml:space="preserve">the Complainant’s “network, technicians and equipment are still </w:t>
      </w:r>
      <w:r w:rsidR="005E4431">
        <w:rPr>
          <w:szCs w:val="24"/>
        </w:rPr>
        <w:t>provided by</w:t>
      </w:r>
      <w:r w:rsidRPr="00242581">
        <w:rPr>
          <w:szCs w:val="24"/>
        </w:rPr>
        <w:t xml:space="preserve"> AT&amp;T.  Telplex only handles the billing and customer service</w:t>
      </w:r>
      <w:r w:rsidR="005E4431">
        <w:rPr>
          <w:szCs w:val="24"/>
        </w:rPr>
        <w:t>.”</w:t>
      </w:r>
      <w:r>
        <w:rPr>
          <w:rStyle w:val="FootnoteReference"/>
          <w:szCs w:val="24"/>
        </w:rPr>
        <w:footnoteReference w:id="14"/>
      </w:r>
      <w:r w:rsidR="001B2934">
        <w:rPr>
          <w:szCs w:val="24"/>
        </w:rPr>
        <w:t xml:space="preserve">  </w:t>
      </w:r>
      <w:r w:rsidR="00AA1B36">
        <w:rPr>
          <w:szCs w:val="24"/>
        </w:rPr>
        <w:t xml:space="preserve">Telplex disputes Complainant’s claims of misrepresentation, arguing that the purpose of its </w:t>
      </w:r>
      <w:r w:rsidR="006E1544">
        <w:rPr>
          <w:szCs w:val="24"/>
        </w:rPr>
        <w:t xml:space="preserve">sales </w:t>
      </w:r>
      <w:r w:rsidR="00AA1B36">
        <w:rPr>
          <w:szCs w:val="24"/>
        </w:rPr>
        <w:t>call was to upgrade Complainant’</w:t>
      </w:r>
      <w:r w:rsidR="00BB1CF4">
        <w:rPr>
          <w:szCs w:val="24"/>
        </w:rPr>
        <w:t>s</w:t>
      </w:r>
      <w:r w:rsidR="00AA1B36">
        <w:rPr>
          <w:szCs w:val="24"/>
        </w:rPr>
        <w:t xml:space="preserve"> service to AT&amp;T’s VoIP and broadband service</w:t>
      </w:r>
      <w:r w:rsidR="00BB1CF4">
        <w:rPr>
          <w:szCs w:val="24"/>
        </w:rPr>
        <w:t>,</w:t>
      </w:r>
      <w:r w:rsidR="00AA1B36">
        <w:rPr>
          <w:szCs w:val="24"/>
        </w:rPr>
        <w:t xml:space="preserve"> and that the individual </w:t>
      </w:r>
      <w:r w:rsidR="00BB1CF4">
        <w:rPr>
          <w:szCs w:val="24"/>
        </w:rPr>
        <w:t>with whom</w:t>
      </w:r>
      <w:r w:rsidR="00AA1B36">
        <w:rPr>
          <w:szCs w:val="24"/>
        </w:rPr>
        <w:t xml:space="preserve"> Telplex’s sales representative </w:t>
      </w:r>
      <w:r w:rsidR="00BB1CF4">
        <w:rPr>
          <w:szCs w:val="24"/>
        </w:rPr>
        <w:t xml:space="preserve">spoke </w:t>
      </w:r>
      <w:r w:rsidR="00AA1B36">
        <w:rPr>
          <w:szCs w:val="24"/>
        </w:rPr>
        <w:t>agreed to the upgrade.</w:t>
      </w:r>
      <w:r>
        <w:rPr>
          <w:rStyle w:val="FootnoteReference"/>
          <w:szCs w:val="24"/>
        </w:rPr>
        <w:footnoteReference w:id="15"/>
      </w:r>
      <w:r>
        <w:rPr>
          <w:szCs w:val="24"/>
        </w:rPr>
        <w:t xml:space="preserve"> </w:t>
      </w:r>
    </w:p>
    <w:p w:rsidR="002C332E" w:rsidRPr="006D5400" w:rsidP="0062716E" w14:paraId="26AC007B" w14:textId="1CAD52EA">
      <w:pPr>
        <w:numPr>
          <w:ilvl w:val="0"/>
          <w:numId w:val="4"/>
        </w:numPr>
        <w:tabs>
          <w:tab w:val="clear" w:pos="1440"/>
        </w:tabs>
        <w:spacing w:after="120"/>
        <w:ind w:left="0" w:firstLine="720"/>
        <w:jc w:val="left"/>
        <w:rPr>
          <w:szCs w:val="22"/>
        </w:rPr>
      </w:pPr>
      <w:r>
        <w:t xml:space="preserve"> </w:t>
      </w:r>
      <w:r w:rsidR="00242581">
        <w:t xml:space="preserve">After reviewing all the evidence in the record, we </w:t>
      </w:r>
      <w:r w:rsidR="005D1006">
        <w:t>disagree that</w:t>
      </w:r>
      <w:r w:rsidR="00242581">
        <w:t xml:space="preserve"> Telplex was simply handling the billing and customer service </w:t>
      </w:r>
      <w:r w:rsidR="00D05D90">
        <w:t>on behalf of</w:t>
      </w:r>
      <w:r w:rsidR="00242581">
        <w:t xml:space="preserve"> AT&amp;T.  </w:t>
      </w:r>
      <w:r w:rsidR="00D05D90">
        <w:t xml:space="preserve">The evidence shows that Telplex initiated a change in </w:t>
      </w:r>
      <w:r w:rsidR="00160AFE">
        <w:t xml:space="preserve">Complainant’s </w:t>
      </w:r>
      <w:r w:rsidR="00D05D90">
        <w:t xml:space="preserve">service </w:t>
      </w:r>
      <w:r w:rsidR="00160AFE">
        <w:t>and began providing a Voice over Internet Protocol (VoIP) service to Complainant.</w:t>
      </w:r>
      <w:r w:rsidR="00E82B87">
        <w:t xml:space="preserve">  Telplex also bill</w:t>
      </w:r>
      <w:r w:rsidR="00C743EC">
        <w:t>ed</w:t>
      </w:r>
      <w:r w:rsidR="00E82B87">
        <w:t xml:space="preserve"> Complainant for its service.</w:t>
      </w:r>
      <w:r>
        <w:rPr>
          <w:rStyle w:val="FootnoteReference"/>
        </w:rPr>
        <w:footnoteReference w:id="16"/>
      </w:r>
      <w:r w:rsidR="00160AFE">
        <w:t xml:space="preserve">  T</w:t>
      </w:r>
      <w:r w:rsidRPr="00CB0D3D" w:rsidR="00CB0D3D">
        <w:rPr>
          <w:szCs w:val="22"/>
        </w:rPr>
        <w:t>he Commission’s carrier change rules</w:t>
      </w:r>
      <w:r w:rsidR="00160AFE">
        <w:rPr>
          <w:szCs w:val="22"/>
        </w:rPr>
        <w:t>, however,</w:t>
      </w:r>
      <w:r w:rsidRPr="00CB0D3D" w:rsidR="00CB0D3D">
        <w:rPr>
          <w:szCs w:val="22"/>
        </w:rPr>
        <w:t xml:space="preserve"> have not been extended to VoIP service.</w:t>
      </w:r>
      <w:r>
        <w:rPr>
          <w:rStyle w:val="FootnoteReference"/>
        </w:rPr>
        <w:footnoteReference w:id="17"/>
      </w:r>
      <w:r w:rsidR="00CB0D3D">
        <w:rPr>
          <w:sz w:val="24"/>
        </w:rPr>
        <w:t xml:space="preserve"> </w:t>
      </w:r>
      <w:r w:rsidR="00BA241C">
        <w:rPr>
          <w:sz w:val="24"/>
        </w:rPr>
        <w:t xml:space="preserve"> </w:t>
      </w:r>
      <w:r w:rsidR="00C12167">
        <w:t xml:space="preserve">Thus, we conclude that </w:t>
      </w:r>
      <w:r w:rsidR="009C3ADD">
        <w:t>Telplex</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8"/>
      </w:r>
      <w:r w:rsidRPr="006D5400" w:rsidR="00454DF3">
        <w:rPr>
          <w:szCs w:val="22"/>
        </w:rPr>
        <w:t xml:space="preserve">  </w:t>
      </w:r>
    </w:p>
    <w:p w:rsidR="00454DF3" w:rsidRPr="00160AFE" w:rsidP="00560045" w14:paraId="2F9B31BF" w14:textId="77777777">
      <w:pPr>
        <w:widowControl/>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9C3ADD">
        <w:rPr>
          <w:szCs w:val="22"/>
        </w:rPr>
        <w:t>Telplex</w:t>
      </w:r>
      <w:r w:rsidR="005D03A5">
        <w:rPr>
          <w:szCs w:val="22"/>
        </w:rPr>
        <w:t xml:space="preserve"> </w:t>
      </w:r>
      <w:r w:rsidR="009C3ADD">
        <w:rPr>
          <w:szCs w:val="22"/>
        </w:rPr>
        <w:t>Communications</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14:paraId="6FD035AA"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P="00E82B87" w14:paraId="21A7AD53" w14:textId="77777777">
      <w:pPr>
        <w:ind w:left="3600" w:right="270" w:firstLine="720"/>
        <w:rPr>
          <w:szCs w:val="22"/>
        </w:rPr>
      </w:pPr>
      <w:r w:rsidRPr="006D5400">
        <w:rPr>
          <w:szCs w:val="22"/>
        </w:rPr>
        <w:t>FEDERAL COMMUNICATIONS COMMISSION</w:t>
      </w:r>
    </w:p>
    <w:p w:rsidR="00C12644" w:rsidP="00C12644" w14:paraId="38B118A7" w14:textId="77777777">
      <w:pPr>
        <w:ind w:left="3600" w:right="270"/>
        <w:rPr>
          <w:szCs w:val="22"/>
        </w:rPr>
      </w:pPr>
    </w:p>
    <w:p w:rsidR="00C12644" w:rsidP="00C12644" w14:paraId="7D0B8DCA" w14:textId="77777777">
      <w:pPr>
        <w:ind w:left="3600" w:right="270"/>
        <w:rPr>
          <w:szCs w:val="22"/>
        </w:rPr>
      </w:pPr>
    </w:p>
    <w:p w:rsidR="00C12644" w:rsidP="00C12644" w14:paraId="3F4B7764" w14:textId="77777777">
      <w:pPr>
        <w:ind w:left="3600" w:right="270"/>
        <w:rPr>
          <w:szCs w:val="22"/>
        </w:rPr>
      </w:pPr>
    </w:p>
    <w:p w:rsidR="00C12644" w:rsidP="00C12644" w14:paraId="4D301EA7" w14:textId="77777777">
      <w:pPr>
        <w:ind w:left="3600" w:right="270"/>
        <w:rPr>
          <w:szCs w:val="22"/>
        </w:rPr>
      </w:pPr>
    </w:p>
    <w:p w:rsidR="00C12644" w:rsidP="00E82B87" w14:paraId="4A14D904" w14:textId="77777777">
      <w:pPr>
        <w:ind w:left="3600" w:right="270" w:firstLine="720"/>
        <w:rPr>
          <w:szCs w:val="22"/>
        </w:rPr>
      </w:pPr>
      <w:r>
        <w:rPr>
          <w:szCs w:val="22"/>
        </w:rPr>
        <w:t>Kurt A. Schroeder</w:t>
      </w:r>
    </w:p>
    <w:p w:rsidR="00C12644" w:rsidP="00E82B87" w14:paraId="1CD63AF5" w14:textId="77777777">
      <w:pPr>
        <w:ind w:left="3600" w:right="270" w:firstLine="720"/>
        <w:rPr>
          <w:szCs w:val="22"/>
        </w:rPr>
      </w:pPr>
      <w:r>
        <w:rPr>
          <w:szCs w:val="22"/>
        </w:rPr>
        <w:t>Chief</w:t>
      </w:r>
    </w:p>
    <w:p w:rsidR="00C12644" w:rsidP="00E82B87" w14:paraId="61A08DF0" w14:textId="77777777">
      <w:pPr>
        <w:ind w:left="3600" w:right="270" w:firstLine="720"/>
        <w:rPr>
          <w:szCs w:val="22"/>
        </w:rPr>
      </w:pPr>
      <w:r>
        <w:rPr>
          <w:szCs w:val="22"/>
        </w:rPr>
        <w:t>Consumer Policy Division</w:t>
      </w:r>
    </w:p>
    <w:p w:rsidR="00C12644" w:rsidRPr="006D5400" w:rsidP="00E82B87" w14:paraId="67720E38" w14:textId="77777777">
      <w:pPr>
        <w:ind w:left="3600" w:right="270" w:firstLine="720"/>
        <w:rPr>
          <w:szCs w:val="22"/>
        </w:rPr>
      </w:pPr>
      <w:r>
        <w:rPr>
          <w:szCs w:val="22"/>
        </w:rPr>
        <w:t>Consumer and Governmental Affairs Bureau</w:t>
      </w:r>
    </w:p>
    <w:p w:rsidR="0063192B" w:rsidRPr="006D5400" w:rsidP="00C12644" w14:paraId="1D9878FA" w14:textId="77777777">
      <w:pPr>
        <w:ind w:left="2880" w:right="270" w:firstLine="720"/>
        <w:rPr>
          <w:szCs w:val="22"/>
        </w:rPr>
      </w:pPr>
    </w:p>
    <w:p w:rsidR="00313EF3" w:rsidRPr="006D5400" w:rsidP="00C12644" w14:paraId="7D65C13E"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00DA6B88"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565BF2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ED92450"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4B52F863" w14:textId="77777777">
    <w:pPr>
      <w:spacing w:before="140" w:line="100" w:lineRule="exact"/>
      <w:rPr>
        <w:sz w:val="10"/>
      </w:rPr>
    </w:pPr>
  </w:p>
  <w:p w:rsidR="00EC4494" w14:paraId="490FDA5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2F71" w14:paraId="3B8E1503" w14:textId="77777777">
      <w:r>
        <w:separator/>
      </w:r>
    </w:p>
  </w:footnote>
  <w:footnote w:type="continuationSeparator" w:id="1">
    <w:p w:rsidR="00302F71" w14:paraId="38C49302" w14:textId="77777777">
      <w:pPr>
        <w:rPr>
          <w:sz w:val="20"/>
        </w:rPr>
      </w:pPr>
      <w:r>
        <w:rPr>
          <w:sz w:val="20"/>
        </w:rPr>
        <w:t xml:space="preserve">(Continued from previous page)  </w:t>
      </w:r>
      <w:r>
        <w:rPr>
          <w:sz w:val="20"/>
        </w:rPr>
        <w:separator/>
      </w:r>
    </w:p>
  </w:footnote>
  <w:footnote w:type="continuationNotice" w:id="2">
    <w:p w:rsidR="00302F71" w:rsidP="006D5400" w14:paraId="41497269" w14:textId="77777777">
      <w:pPr>
        <w:jc w:val="right"/>
        <w:rPr>
          <w:sz w:val="20"/>
        </w:rPr>
      </w:pPr>
      <w:r>
        <w:rPr>
          <w:sz w:val="20"/>
        </w:rPr>
        <w:t>(continued…)</w:t>
      </w:r>
    </w:p>
  </w:footnote>
  <w:footnote w:id="3">
    <w:p w:rsidR="00DE7276" w:rsidP="00DE7276" w14:paraId="0C8FBC86" w14:textId="77777777">
      <w:pPr>
        <w:pStyle w:val="FootnoteText"/>
        <w:spacing w:after="120"/>
      </w:pPr>
      <w:r>
        <w:rPr>
          <w:rStyle w:val="FootnoteReference"/>
        </w:rPr>
        <w:footnoteRef/>
      </w:r>
      <w:r>
        <w:t xml:space="preserve"> </w:t>
      </w:r>
      <w:r w:rsidRPr="00140317">
        <w:rPr>
          <w:i/>
        </w:rPr>
        <w:t xml:space="preserve">See </w:t>
      </w:r>
      <w:r>
        <w:t xml:space="preserve">Informal Complaint No. </w:t>
      </w:r>
      <w:r w:rsidR="00AA1CB8">
        <w:t>3</w:t>
      </w:r>
      <w:r w:rsidR="00CF16F3">
        <w:t>529341</w:t>
      </w:r>
      <w:r>
        <w:t xml:space="preserve"> (filed </w:t>
      </w:r>
      <w:r w:rsidR="00B11015">
        <w:t>Sept. 12</w:t>
      </w:r>
      <w:r w:rsidR="00DD34BB">
        <w:t>, 2019</w:t>
      </w:r>
      <w:r>
        <w:t xml:space="preserve">); </w:t>
      </w:r>
      <w:r w:rsidRPr="00DE7276">
        <w:rPr>
          <w:i/>
        </w:rPr>
        <w:t>see also</w:t>
      </w:r>
      <w:r>
        <w:t xml:space="preserve"> 47 CFR §§ 64.1100 – 64.1190.</w:t>
      </w:r>
    </w:p>
  </w:footnote>
  <w:footnote w:id="4">
    <w:p w:rsidR="00EC4494" w:rsidP="005D03A5" w14:paraId="0140223F" w14:textId="77777777">
      <w:pPr>
        <w:pStyle w:val="FootnoteText"/>
        <w:spacing w:after="120"/>
      </w:pPr>
      <w:r>
        <w:rPr>
          <w:rStyle w:val="FootnoteReference"/>
        </w:rPr>
        <w:footnoteRef/>
      </w:r>
      <w:r>
        <w:t xml:space="preserve"> 47 U.S.C. § 258(a).</w:t>
      </w:r>
    </w:p>
  </w:footnote>
  <w:footnote w:id="5">
    <w:p w:rsidR="00EC4494" w:rsidP="005D03A5" w14:paraId="146E7BE5"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6D93ABB9"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6A7E1F" w14:paraId="552FD201" w14:textId="77777777">
      <w:pPr>
        <w:pStyle w:val="FootnoteText"/>
        <w:spacing w:after="120"/>
      </w:pPr>
      <w:r>
        <w:rPr>
          <w:rStyle w:val="FootnoteReference"/>
        </w:rPr>
        <w:footnoteRef/>
      </w:r>
      <w:r>
        <w:t xml:space="preserve"> </w:t>
      </w:r>
      <w:r w:rsidRPr="00142D97">
        <w:t>These rules require the</w:t>
      </w:r>
      <w:r w:rsidR="00DE7276">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664DC0" w:rsidP="00824059" w14:paraId="269840EA" w14:textId="77777777">
      <w:pPr>
        <w:pStyle w:val="FootnoteText"/>
        <w:spacing w:after="120"/>
      </w:pPr>
      <w:r>
        <w:rPr>
          <w:rStyle w:val="FootnoteReference"/>
        </w:rPr>
        <w:footnoteRef/>
      </w:r>
      <w:r>
        <w:t xml:space="preserve"> </w:t>
      </w:r>
      <w:r w:rsidRPr="00664DC0">
        <w:rPr>
          <w:i/>
        </w:rPr>
        <w:t>See</w:t>
      </w:r>
      <w:r>
        <w:t xml:space="preserve"> Informal Complaint No. </w:t>
      </w:r>
      <w:r w:rsidR="00B11015">
        <w:t>3529341</w:t>
      </w:r>
      <w:r>
        <w:t>.</w:t>
      </w:r>
    </w:p>
  </w:footnote>
  <w:footnote w:id="9">
    <w:p w:rsidR="00AA1CB8" w:rsidP="00824059" w14:paraId="39FF0E99" w14:textId="77777777">
      <w:pPr>
        <w:pStyle w:val="FootnoteText"/>
        <w:spacing w:after="120"/>
      </w:pPr>
      <w:r>
        <w:rPr>
          <w:rStyle w:val="FootnoteReference"/>
        </w:rPr>
        <w:footnoteRef/>
      </w:r>
      <w:r>
        <w:t xml:space="preserve"> </w:t>
      </w:r>
      <w:r w:rsidRPr="00AA1CB8">
        <w:rPr>
          <w:i/>
        </w:rPr>
        <w:t>Id</w:t>
      </w:r>
      <w:r>
        <w:t>.</w:t>
      </w:r>
    </w:p>
  </w:footnote>
  <w:footnote w:id="10">
    <w:p w:rsidR="00AA1CB8" w:rsidP="00824059" w14:paraId="08DFE943" w14:textId="77777777">
      <w:pPr>
        <w:pStyle w:val="FootnoteText"/>
        <w:spacing w:after="120"/>
      </w:pPr>
      <w:r>
        <w:rPr>
          <w:rStyle w:val="FootnoteReference"/>
        </w:rPr>
        <w:footnoteRef/>
      </w:r>
      <w:r>
        <w:t xml:space="preserve"> </w:t>
      </w:r>
      <w:r w:rsidRPr="00AA1CB8">
        <w:rPr>
          <w:i/>
        </w:rPr>
        <w:t>Id</w:t>
      </w:r>
      <w:r>
        <w:t>.</w:t>
      </w:r>
    </w:p>
  </w:footnote>
  <w:footnote w:id="11">
    <w:p w:rsidR="00C335BA" w:rsidP="00824059" w14:paraId="1104757A" w14:textId="5BD3F7BA">
      <w:pPr>
        <w:pStyle w:val="FootnoteText"/>
        <w:spacing w:after="120"/>
      </w:pPr>
      <w:r>
        <w:rPr>
          <w:rStyle w:val="FootnoteReference"/>
        </w:rPr>
        <w:footnoteRef/>
      </w:r>
      <w:r>
        <w:t xml:space="preserve"> </w:t>
      </w:r>
      <w:r w:rsidR="00225606">
        <w:t>47 CF</w:t>
      </w:r>
      <w:r w:rsidR="00824059">
        <w:t>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2">
    <w:p w:rsidR="00C61A5E" w:rsidP="00824059" w14:paraId="731B7D65" w14:textId="77777777">
      <w:pPr>
        <w:pStyle w:val="FootnoteText"/>
        <w:spacing w:after="120"/>
      </w:pPr>
      <w:r>
        <w:rPr>
          <w:rStyle w:val="FootnoteReference"/>
        </w:rPr>
        <w:footnoteRef/>
      </w:r>
      <w:r>
        <w:t xml:space="preserve"> </w:t>
      </w:r>
      <w:r w:rsidRPr="005D03A5">
        <w:rPr>
          <w:i/>
        </w:rPr>
        <w:t>See</w:t>
      </w:r>
      <w:r>
        <w:t xml:space="preserve"> Telplex Response to Informal Complaint No. </w:t>
      </w:r>
      <w:r w:rsidR="003164ED">
        <w:t>3529341</w:t>
      </w:r>
      <w:r>
        <w:rPr>
          <w:szCs w:val="22"/>
        </w:rPr>
        <w:t xml:space="preserve"> (filed </w:t>
      </w:r>
      <w:r w:rsidR="003164ED">
        <w:rPr>
          <w:szCs w:val="22"/>
        </w:rPr>
        <w:t>Oct. 11</w:t>
      </w:r>
      <w:r>
        <w:t>, 2019).</w:t>
      </w:r>
    </w:p>
  </w:footnote>
  <w:footnote w:id="13">
    <w:p w:rsidR="00160AFE" w:rsidP="00824059" w14:paraId="00A66EC0" w14:textId="77777777">
      <w:pPr>
        <w:pStyle w:val="FootnoteText"/>
        <w:spacing w:after="120"/>
      </w:pPr>
      <w:r>
        <w:rPr>
          <w:rStyle w:val="FootnoteReference"/>
        </w:rPr>
        <w:footnoteRef/>
      </w:r>
      <w:r>
        <w:t xml:space="preserve"> </w:t>
      </w:r>
      <w:r w:rsidRPr="00160AFE">
        <w:rPr>
          <w:i/>
        </w:rPr>
        <w:t>Id</w:t>
      </w:r>
      <w:r>
        <w:t>.</w:t>
      </w:r>
    </w:p>
  </w:footnote>
  <w:footnote w:id="14">
    <w:p w:rsidR="00160AFE" w:rsidP="00824059" w14:paraId="0BF37453" w14:textId="77777777">
      <w:pPr>
        <w:pStyle w:val="FootnoteText"/>
        <w:spacing w:after="120"/>
      </w:pPr>
      <w:r>
        <w:rPr>
          <w:rStyle w:val="FootnoteReference"/>
        </w:rPr>
        <w:footnoteRef/>
      </w:r>
      <w:r>
        <w:t xml:space="preserve"> </w:t>
      </w:r>
      <w:r w:rsidRPr="00160AFE">
        <w:rPr>
          <w:i/>
        </w:rPr>
        <w:t>Id</w:t>
      </w:r>
      <w:r>
        <w:t>.</w:t>
      </w:r>
    </w:p>
  </w:footnote>
  <w:footnote w:id="15">
    <w:p w:rsidR="00CF17C9" w:rsidP="00824059" w14:paraId="15C24CF4" w14:textId="77777777">
      <w:pPr>
        <w:pStyle w:val="FootnoteText"/>
        <w:spacing w:after="120"/>
      </w:pPr>
      <w:r>
        <w:rPr>
          <w:rStyle w:val="FootnoteReference"/>
        </w:rPr>
        <w:footnoteRef/>
      </w:r>
      <w:r>
        <w:t xml:space="preserve"> </w:t>
      </w:r>
      <w:r w:rsidRPr="00CF17C9">
        <w:rPr>
          <w:i/>
        </w:rPr>
        <w:t>Id</w:t>
      </w:r>
      <w:r>
        <w:t>.</w:t>
      </w:r>
    </w:p>
  </w:footnote>
  <w:footnote w:id="16">
    <w:p w:rsidR="008B624C" w:rsidP="00824059" w14:paraId="6ED2D857" w14:textId="5497ABDB">
      <w:pPr>
        <w:pStyle w:val="FootnoteText"/>
        <w:spacing w:after="120"/>
      </w:pPr>
      <w:r>
        <w:rPr>
          <w:rStyle w:val="FootnoteReference"/>
        </w:rPr>
        <w:footnoteRef/>
      </w:r>
      <w:r>
        <w:t xml:space="preserve"> The bill Telplex issued to Complainant states, “[t]hank you for choosing Telplex Communications as your local and/or long distance phone company.”</w:t>
      </w:r>
    </w:p>
  </w:footnote>
  <w:footnote w:id="17">
    <w:p w:rsidR="00CB0D3D" w:rsidP="00824059" w14:paraId="5A0EDF7A" w14:textId="35680FBC">
      <w:pPr>
        <w:pStyle w:val="FootnoteText"/>
        <w:spacing w:after="120"/>
      </w:pPr>
      <w:r>
        <w:rPr>
          <w:rStyle w:val="FootnoteReference"/>
        </w:rPr>
        <w:footnoteRef/>
      </w:r>
      <w:r w:rsidR="006173F3">
        <w:t xml:space="preserve"> </w:t>
      </w:r>
      <w:r w:rsidRPr="005B27B1" w:rsidR="005B27B1">
        <w:rPr>
          <w:i/>
          <w:snapToGrid w:val="0"/>
        </w:rPr>
        <w:t>See</w:t>
      </w:r>
      <w:r w:rsidR="005B27B1">
        <w:rPr>
          <w:snapToGrid w:val="0"/>
        </w:rPr>
        <w:t xml:space="preserve"> </w:t>
      </w:r>
      <w:r w:rsidR="00524588">
        <w:rPr>
          <w:snapToGrid w:val="0"/>
        </w:rPr>
        <w:t xml:space="preserve">47 CFR § 64.1120.  </w:t>
      </w:r>
      <w:r>
        <w:t xml:space="preserve">We note that the Commission has sought comment on whether to extend slamming regulations to VoIP or other IP-enabled service providers.  </w:t>
      </w:r>
      <w:r>
        <w:rPr>
          <w:i/>
        </w:rPr>
        <w:t xml:space="preserve">See Enabled Services, </w:t>
      </w:r>
      <w:r>
        <w:t>WC Docket No. 04-36, Notice of Proposed Rulemaking, 19 FCC Rcd 4863, 4910-11</w:t>
      </w:r>
      <w:r w:rsidR="00375DAB">
        <w:t>,</w:t>
      </w:r>
      <w:r>
        <w:t xml:space="preserve"> paras. 71-72 (2004).   </w:t>
      </w:r>
    </w:p>
  </w:footnote>
  <w:footnote w:id="18">
    <w:p w:rsidR="00EC4494" w:rsidP="00824059" w14:paraId="07A041AC" w14:textId="77777777">
      <w:pPr>
        <w:pStyle w:val="FootnoteText"/>
        <w:tabs>
          <w:tab w:val="left" w:pos="0"/>
          <w:tab w:val="clear" w:pos="720"/>
        </w:tabs>
        <w:spacing w:after="120"/>
      </w:pPr>
      <w:r>
        <w:rPr>
          <w:rStyle w:val="FootnoteReference"/>
        </w:rPr>
        <w:footnoteRef/>
      </w:r>
      <w:r>
        <w:t xml:space="preserve"> </w:t>
      </w:r>
      <w:r w:rsidR="00DE7276">
        <w:t>47 CFR</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C561945" w14:textId="39865527">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C12644">
      <w:rPr>
        <w:b/>
        <w:spacing w:val="-2"/>
      </w:rPr>
      <w:t>20</w:t>
    </w:r>
    <w:r>
      <w:rPr>
        <w:b/>
        <w:spacing w:val="-2"/>
      </w:rPr>
      <w:t>-</w:t>
    </w:r>
    <w:r w:rsidR="00A52317">
      <w:rPr>
        <w:b/>
        <w:spacing w:val="-2"/>
      </w:rPr>
      <w:t>221</w:t>
    </w:r>
  </w:p>
  <w:p w:rsidR="00EC4494" w14:paraId="6E144CCC"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1BD31B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85DAE9C" w14:textId="50F8C2FA">
    <w:pPr>
      <w:pStyle w:val="Header"/>
      <w:pBdr>
        <w:bottom w:val="single" w:sz="12" w:space="1" w:color="auto"/>
      </w:pBdr>
      <w:rPr>
        <w:b w:val="0"/>
      </w:rPr>
    </w:pPr>
    <w:r>
      <w:tab/>
      <w:t>Federal</w:t>
    </w:r>
    <w:r w:rsidR="00385691">
      <w:t xml:space="preserve"> Communications Commission</w:t>
    </w:r>
    <w:r w:rsidR="00385691">
      <w:tab/>
      <w:t xml:space="preserve">DA </w:t>
    </w:r>
    <w:r w:rsidR="00C12644">
      <w:t>20</w:t>
    </w:r>
    <w:r>
      <w:t>-</w:t>
    </w:r>
    <w:r w:rsidR="00A52317">
      <w:t>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B7A45"/>
    <w:rsid w:val="000D6FF3"/>
    <w:rsid w:val="000E6D51"/>
    <w:rsid w:val="00113639"/>
    <w:rsid w:val="001204B1"/>
    <w:rsid w:val="00120529"/>
    <w:rsid w:val="00127725"/>
    <w:rsid w:val="00140317"/>
    <w:rsid w:val="001414E3"/>
    <w:rsid w:val="00142D97"/>
    <w:rsid w:val="00155E02"/>
    <w:rsid w:val="00160AFE"/>
    <w:rsid w:val="00162727"/>
    <w:rsid w:val="001717CE"/>
    <w:rsid w:val="00190163"/>
    <w:rsid w:val="00195161"/>
    <w:rsid w:val="001A0861"/>
    <w:rsid w:val="001A7A2C"/>
    <w:rsid w:val="001B2934"/>
    <w:rsid w:val="001C36B6"/>
    <w:rsid w:val="001C67AE"/>
    <w:rsid w:val="001E4CAB"/>
    <w:rsid w:val="001E68F1"/>
    <w:rsid w:val="001F2E5C"/>
    <w:rsid w:val="001F4128"/>
    <w:rsid w:val="00206248"/>
    <w:rsid w:val="002137D1"/>
    <w:rsid w:val="0021434E"/>
    <w:rsid w:val="00225606"/>
    <w:rsid w:val="002354D5"/>
    <w:rsid w:val="002357D3"/>
    <w:rsid w:val="00236AA1"/>
    <w:rsid w:val="00236EDD"/>
    <w:rsid w:val="00237BAA"/>
    <w:rsid w:val="00242581"/>
    <w:rsid w:val="002431FD"/>
    <w:rsid w:val="002439C1"/>
    <w:rsid w:val="002479AB"/>
    <w:rsid w:val="00265A91"/>
    <w:rsid w:val="00283DF4"/>
    <w:rsid w:val="002A3B0B"/>
    <w:rsid w:val="002C14BA"/>
    <w:rsid w:val="002C332E"/>
    <w:rsid w:val="002F4B88"/>
    <w:rsid w:val="00302F71"/>
    <w:rsid w:val="00310BAA"/>
    <w:rsid w:val="00313EF3"/>
    <w:rsid w:val="003164ED"/>
    <w:rsid w:val="003427C1"/>
    <w:rsid w:val="00353700"/>
    <w:rsid w:val="00360D54"/>
    <w:rsid w:val="00375DAB"/>
    <w:rsid w:val="00385691"/>
    <w:rsid w:val="003A1EBA"/>
    <w:rsid w:val="003B1201"/>
    <w:rsid w:val="003C5092"/>
    <w:rsid w:val="003D14B8"/>
    <w:rsid w:val="003D32F8"/>
    <w:rsid w:val="003E5B69"/>
    <w:rsid w:val="003F7602"/>
    <w:rsid w:val="003F7D44"/>
    <w:rsid w:val="00403483"/>
    <w:rsid w:val="00422B9B"/>
    <w:rsid w:val="00454DF3"/>
    <w:rsid w:val="0047594E"/>
    <w:rsid w:val="004914A3"/>
    <w:rsid w:val="004A1686"/>
    <w:rsid w:val="004C104C"/>
    <w:rsid w:val="004C3D84"/>
    <w:rsid w:val="004C7040"/>
    <w:rsid w:val="004E5EFB"/>
    <w:rsid w:val="00510F6C"/>
    <w:rsid w:val="00524588"/>
    <w:rsid w:val="005265B9"/>
    <w:rsid w:val="005561FD"/>
    <w:rsid w:val="00560045"/>
    <w:rsid w:val="00563A90"/>
    <w:rsid w:val="00566D7F"/>
    <w:rsid w:val="005772B2"/>
    <w:rsid w:val="00586E06"/>
    <w:rsid w:val="005A6A46"/>
    <w:rsid w:val="005B27B1"/>
    <w:rsid w:val="005B2F11"/>
    <w:rsid w:val="005B796C"/>
    <w:rsid w:val="005C203E"/>
    <w:rsid w:val="005C4098"/>
    <w:rsid w:val="005D03A5"/>
    <w:rsid w:val="005D1006"/>
    <w:rsid w:val="005D78D7"/>
    <w:rsid w:val="005E2064"/>
    <w:rsid w:val="005E4431"/>
    <w:rsid w:val="005E456F"/>
    <w:rsid w:val="005E78CA"/>
    <w:rsid w:val="006173F3"/>
    <w:rsid w:val="00622CD2"/>
    <w:rsid w:val="00623693"/>
    <w:rsid w:val="00623E7A"/>
    <w:rsid w:val="0062716E"/>
    <w:rsid w:val="0063192B"/>
    <w:rsid w:val="00646FF8"/>
    <w:rsid w:val="00664DC0"/>
    <w:rsid w:val="00676CB9"/>
    <w:rsid w:val="00685FD6"/>
    <w:rsid w:val="00697A80"/>
    <w:rsid w:val="006A7E1F"/>
    <w:rsid w:val="006B0F44"/>
    <w:rsid w:val="006D5400"/>
    <w:rsid w:val="006E1544"/>
    <w:rsid w:val="006E4C47"/>
    <w:rsid w:val="00727230"/>
    <w:rsid w:val="007368C0"/>
    <w:rsid w:val="0074254C"/>
    <w:rsid w:val="00750DAE"/>
    <w:rsid w:val="00753932"/>
    <w:rsid w:val="007546EE"/>
    <w:rsid w:val="00774600"/>
    <w:rsid w:val="0077536C"/>
    <w:rsid w:val="00775878"/>
    <w:rsid w:val="00780927"/>
    <w:rsid w:val="007831C1"/>
    <w:rsid w:val="00795CE2"/>
    <w:rsid w:val="007B65C8"/>
    <w:rsid w:val="007B67D3"/>
    <w:rsid w:val="007D2B0E"/>
    <w:rsid w:val="007D7FBB"/>
    <w:rsid w:val="007E0B90"/>
    <w:rsid w:val="007E5AF2"/>
    <w:rsid w:val="008101C7"/>
    <w:rsid w:val="00816066"/>
    <w:rsid w:val="00824059"/>
    <w:rsid w:val="0083033B"/>
    <w:rsid w:val="00831E67"/>
    <w:rsid w:val="00854DB7"/>
    <w:rsid w:val="00857EA8"/>
    <w:rsid w:val="00870845"/>
    <w:rsid w:val="00876880"/>
    <w:rsid w:val="008B624C"/>
    <w:rsid w:val="008E6C8C"/>
    <w:rsid w:val="008F1B97"/>
    <w:rsid w:val="008F47DB"/>
    <w:rsid w:val="008F4E04"/>
    <w:rsid w:val="00901A56"/>
    <w:rsid w:val="00916312"/>
    <w:rsid w:val="00927544"/>
    <w:rsid w:val="00941EA5"/>
    <w:rsid w:val="00964BC8"/>
    <w:rsid w:val="0097045E"/>
    <w:rsid w:val="0097482E"/>
    <w:rsid w:val="00983C4E"/>
    <w:rsid w:val="009848B2"/>
    <w:rsid w:val="009A1060"/>
    <w:rsid w:val="009C3ADD"/>
    <w:rsid w:val="009C46EC"/>
    <w:rsid w:val="009C6B1F"/>
    <w:rsid w:val="009C732D"/>
    <w:rsid w:val="009D3461"/>
    <w:rsid w:val="009D5C63"/>
    <w:rsid w:val="009E4E88"/>
    <w:rsid w:val="009F49B4"/>
    <w:rsid w:val="00A029BD"/>
    <w:rsid w:val="00A15D6E"/>
    <w:rsid w:val="00A17B73"/>
    <w:rsid w:val="00A25B67"/>
    <w:rsid w:val="00A36B33"/>
    <w:rsid w:val="00A42E60"/>
    <w:rsid w:val="00A52236"/>
    <w:rsid w:val="00A52317"/>
    <w:rsid w:val="00A574EA"/>
    <w:rsid w:val="00A6088E"/>
    <w:rsid w:val="00A728EC"/>
    <w:rsid w:val="00A75410"/>
    <w:rsid w:val="00A75458"/>
    <w:rsid w:val="00A841B1"/>
    <w:rsid w:val="00A94888"/>
    <w:rsid w:val="00AA1B36"/>
    <w:rsid w:val="00AA1CB8"/>
    <w:rsid w:val="00AA548C"/>
    <w:rsid w:val="00AD583F"/>
    <w:rsid w:val="00AE2D7C"/>
    <w:rsid w:val="00B0254C"/>
    <w:rsid w:val="00B030B5"/>
    <w:rsid w:val="00B11015"/>
    <w:rsid w:val="00B25D8D"/>
    <w:rsid w:val="00B329ED"/>
    <w:rsid w:val="00B46EF1"/>
    <w:rsid w:val="00B46FCC"/>
    <w:rsid w:val="00B47339"/>
    <w:rsid w:val="00B85C40"/>
    <w:rsid w:val="00BA0244"/>
    <w:rsid w:val="00BA241C"/>
    <w:rsid w:val="00BB1CF4"/>
    <w:rsid w:val="00BC643E"/>
    <w:rsid w:val="00BD2451"/>
    <w:rsid w:val="00BE1976"/>
    <w:rsid w:val="00BF2F4A"/>
    <w:rsid w:val="00C04D95"/>
    <w:rsid w:val="00C12167"/>
    <w:rsid w:val="00C12644"/>
    <w:rsid w:val="00C335BA"/>
    <w:rsid w:val="00C3654F"/>
    <w:rsid w:val="00C403BC"/>
    <w:rsid w:val="00C447BD"/>
    <w:rsid w:val="00C47746"/>
    <w:rsid w:val="00C5129C"/>
    <w:rsid w:val="00C53380"/>
    <w:rsid w:val="00C56B29"/>
    <w:rsid w:val="00C61A5E"/>
    <w:rsid w:val="00C743EC"/>
    <w:rsid w:val="00C81A17"/>
    <w:rsid w:val="00CA575D"/>
    <w:rsid w:val="00CB0D3D"/>
    <w:rsid w:val="00CB11F0"/>
    <w:rsid w:val="00CB1F6D"/>
    <w:rsid w:val="00CD65A9"/>
    <w:rsid w:val="00CD6BB8"/>
    <w:rsid w:val="00CF10D8"/>
    <w:rsid w:val="00CF16F3"/>
    <w:rsid w:val="00CF17C9"/>
    <w:rsid w:val="00D042D4"/>
    <w:rsid w:val="00D05D90"/>
    <w:rsid w:val="00D07B67"/>
    <w:rsid w:val="00D12F96"/>
    <w:rsid w:val="00D20C3C"/>
    <w:rsid w:val="00D31805"/>
    <w:rsid w:val="00D32700"/>
    <w:rsid w:val="00D612CA"/>
    <w:rsid w:val="00D67F06"/>
    <w:rsid w:val="00D74200"/>
    <w:rsid w:val="00D7613F"/>
    <w:rsid w:val="00D820D6"/>
    <w:rsid w:val="00D8360E"/>
    <w:rsid w:val="00D85AC6"/>
    <w:rsid w:val="00D9412A"/>
    <w:rsid w:val="00DB373D"/>
    <w:rsid w:val="00DB40D9"/>
    <w:rsid w:val="00DB4EAF"/>
    <w:rsid w:val="00DC450D"/>
    <w:rsid w:val="00DD26EF"/>
    <w:rsid w:val="00DD34BB"/>
    <w:rsid w:val="00DD5275"/>
    <w:rsid w:val="00DE04F2"/>
    <w:rsid w:val="00DE1F08"/>
    <w:rsid w:val="00DE60CD"/>
    <w:rsid w:val="00DE7276"/>
    <w:rsid w:val="00E0746D"/>
    <w:rsid w:val="00E12641"/>
    <w:rsid w:val="00E12DF2"/>
    <w:rsid w:val="00E35C29"/>
    <w:rsid w:val="00E430A7"/>
    <w:rsid w:val="00E53AD1"/>
    <w:rsid w:val="00E54D57"/>
    <w:rsid w:val="00E62B5D"/>
    <w:rsid w:val="00E67930"/>
    <w:rsid w:val="00E82B87"/>
    <w:rsid w:val="00E84E6A"/>
    <w:rsid w:val="00E961F6"/>
    <w:rsid w:val="00EA795E"/>
    <w:rsid w:val="00EB38E9"/>
    <w:rsid w:val="00EC408A"/>
    <w:rsid w:val="00EC4494"/>
    <w:rsid w:val="00EC75FC"/>
    <w:rsid w:val="00ED65C0"/>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