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rsidP="00BF2F4A" w14:paraId="2670B355" w14:textId="77777777">
      <w:pPr>
        <w:pStyle w:val="Title"/>
        <w:rPr>
          <w:szCs w:val="22"/>
        </w:rPr>
      </w:pPr>
      <w:r w:rsidRPr="006D5400">
        <w:rPr>
          <w:szCs w:val="22"/>
        </w:rPr>
        <w:t>Before the</w:t>
      </w:r>
    </w:p>
    <w:p w:rsidR="00313EF3" w:rsidRPr="006D5400" w14:paraId="4C9C958D" w14:textId="77777777">
      <w:pPr>
        <w:pStyle w:val="Subtitle"/>
        <w:ind w:firstLine="0"/>
        <w:rPr>
          <w:szCs w:val="22"/>
        </w:rPr>
      </w:pPr>
      <w:r w:rsidRPr="006D5400">
        <w:rPr>
          <w:szCs w:val="22"/>
        </w:rPr>
        <w:t>Federal Communications Commission</w:t>
      </w:r>
    </w:p>
    <w:p w:rsidR="00313EF3" w:rsidRPr="00524588" w:rsidP="00524588" w14:paraId="2E221B9D" w14:textId="77777777">
      <w:pPr>
        <w:jc w:val="center"/>
        <w:rPr>
          <w:b/>
          <w:szCs w:val="22"/>
        </w:rPr>
      </w:pPr>
      <w:r w:rsidRPr="006D5400">
        <w:rPr>
          <w:b/>
          <w:szCs w:val="22"/>
        </w:rPr>
        <w:t>Washington, D.C. 20554</w:t>
      </w:r>
    </w:p>
    <w:p w:rsidR="00313EF3" w:rsidRPr="006D5400" w14:paraId="6D8A2442"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201D91BD" w14:textId="77777777" w:rsidTr="00DE1F08">
        <w:tblPrEx>
          <w:tblW w:w="0" w:type="auto"/>
          <w:tblLayout w:type="fixed"/>
          <w:tblLook w:val="0000"/>
        </w:tblPrEx>
        <w:tc>
          <w:tcPr>
            <w:tcW w:w="4698" w:type="dxa"/>
          </w:tcPr>
          <w:p w:rsidR="00313EF3" w:rsidRPr="006D5400" w14:paraId="679DEA17"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302A66C6" w14:textId="77777777">
            <w:pPr>
              <w:tabs>
                <w:tab w:val="center" w:pos="4680"/>
              </w:tabs>
              <w:suppressAutoHyphens/>
              <w:rPr>
                <w:spacing w:val="-2"/>
                <w:szCs w:val="22"/>
              </w:rPr>
            </w:pPr>
          </w:p>
          <w:p w:rsidR="00422B9B" w:rsidRPr="006D5400" w:rsidP="00422B9B" w14:paraId="65B57B6A" w14:textId="77777777">
            <w:pPr>
              <w:tabs>
                <w:tab w:val="center" w:pos="4680"/>
              </w:tabs>
              <w:suppressAutoHyphens/>
              <w:rPr>
                <w:szCs w:val="22"/>
              </w:rPr>
            </w:pPr>
            <w:r>
              <w:rPr>
                <w:szCs w:val="22"/>
              </w:rPr>
              <w:t>Telplex Communications</w:t>
            </w:r>
          </w:p>
          <w:p w:rsidR="001C67AE" w:rsidRPr="006D5400" w:rsidP="00422B9B" w14:paraId="7E4C8844" w14:textId="77777777">
            <w:pPr>
              <w:tabs>
                <w:tab w:val="center" w:pos="4680"/>
              </w:tabs>
              <w:suppressAutoHyphens/>
              <w:rPr>
                <w:szCs w:val="22"/>
              </w:rPr>
            </w:pPr>
          </w:p>
          <w:p w:rsidR="00313EF3" w:rsidRPr="006D5400" w14:paraId="59149515" w14:textId="77777777">
            <w:pPr>
              <w:pStyle w:val="TOAHeading"/>
              <w:tabs>
                <w:tab w:val="center" w:pos="4680"/>
                <w:tab w:val="clear" w:pos="9360"/>
              </w:tabs>
              <w:rPr>
                <w:szCs w:val="22"/>
              </w:rPr>
            </w:pPr>
            <w:r w:rsidRPr="006D5400">
              <w:rPr>
                <w:szCs w:val="22"/>
              </w:rPr>
              <w:t xml:space="preserve">Complaint Regarding </w:t>
            </w:r>
          </w:p>
          <w:p w:rsidR="00313EF3" w:rsidRPr="006D5400" w14:paraId="05A8348D" w14:textId="77777777">
            <w:pPr>
              <w:pStyle w:val="TOAHeading"/>
              <w:tabs>
                <w:tab w:val="center" w:pos="4680"/>
                <w:tab w:val="clear" w:pos="9360"/>
              </w:tabs>
              <w:rPr>
                <w:szCs w:val="22"/>
              </w:rPr>
            </w:pPr>
            <w:r w:rsidRPr="006D5400">
              <w:rPr>
                <w:szCs w:val="22"/>
              </w:rPr>
              <w:t>Unauthorized Change of</w:t>
            </w:r>
          </w:p>
          <w:p w:rsidR="00313EF3" w:rsidRPr="006D5400" w14:paraId="20F4CA9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6A0D7DCA" w14:textId="77777777">
            <w:pPr>
              <w:tabs>
                <w:tab w:val="center" w:pos="4680"/>
              </w:tabs>
              <w:suppressAutoHyphens/>
              <w:rPr>
                <w:b/>
                <w:spacing w:val="-2"/>
                <w:szCs w:val="22"/>
              </w:rPr>
            </w:pPr>
            <w:r w:rsidRPr="006D5400">
              <w:rPr>
                <w:b/>
                <w:spacing w:val="-2"/>
                <w:szCs w:val="22"/>
              </w:rPr>
              <w:t>)</w:t>
            </w:r>
          </w:p>
          <w:p w:rsidR="00313EF3" w:rsidRPr="006D5400" w14:paraId="229F944A" w14:textId="77777777">
            <w:pPr>
              <w:tabs>
                <w:tab w:val="center" w:pos="4680"/>
              </w:tabs>
              <w:suppressAutoHyphens/>
              <w:rPr>
                <w:b/>
                <w:spacing w:val="-2"/>
                <w:szCs w:val="22"/>
              </w:rPr>
            </w:pPr>
            <w:r w:rsidRPr="006D5400">
              <w:rPr>
                <w:b/>
                <w:spacing w:val="-2"/>
                <w:szCs w:val="22"/>
              </w:rPr>
              <w:t>)</w:t>
            </w:r>
          </w:p>
          <w:p w:rsidR="00313EF3" w:rsidRPr="006D5400" w14:paraId="5F088F8E" w14:textId="77777777">
            <w:pPr>
              <w:tabs>
                <w:tab w:val="center" w:pos="4680"/>
              </w:tabs>
              <w:suppressAutoHyphens/>
              <w:rPr>
                <w:b/>
                <w:spacing w:val="-2"/>
                <w:szCs w:val="22"/>
              </w:rPr>
            </w:pPr>
            <w:r w:rsidRPr="006D5400">
              <w:rPr>
                <w:b/>
                <w:spacing w:val="-2"/>
                <w:szCs w:val="22"/>
              </w:rPr>
              <w:t>)</w:t>
            </w:r>
          </w:p>
          <w:p w:rsidR="00313EF3" w:rsidRPr="006D5400" w14:paraId="66782F06" w14:textId="77777777">
            <w:pPr>
              <w:tabs>
                <w:tab w:val="center" w:pos="4680"/>
              </w:tabs>
              <w:suppressAutoHyphens/>
              <w:rPr>
                <w:b/>
                <w:spacing w:val="-2"/>
                <w:szCs w:val="22"/>
              </w:rPr>
            </w:pPr>
            <w:r w:rsidRPr="006D5400">
              <w:rPr>
                <w:b/>
                <w:spacing w:val="-2"/>
                <w:szCs w:val="22"/>
              </w:rPr>
              <w:t>)</w:t>
            </w:r>
          </w:p>
          <w:p w:rsidR="00313EF3" w:rsidRPr="006D5400" w14:paraId="2BB0DD5C" w14:textId="77777777">
            <w:pPr>
              <w:tabs>
                <w:tab w:val="center" w:pos="4680"/>
              </w:tabs>
              <w:suppressAutoHyphens/>
              <w:rPr>
                <w:b/>
                <w:spacing w:val="-2"/>
                <w:szCs w:val="22"/>
              </w:rPr>
            </w:pPr>
            <w:r w:rsidRPr="006D5400">
              <w:rPr>
                <w:b/>
                <w:spacing w:val="-2"/>
                <w:szCs w:val="22"/>
              </w:rPr>
              <w:t>)</w:t>
            </w:r>
          </w:p>
          <w:p w:rsidR="00313EF3" w:rsidRPr="006D5400" w14:paraId="3B28E6A4" w14:textId="77777777">
            <w:pPr>
              <w:tabs>
                <w:tab w:val="center" w:pos="4680"/>
              </w:tabs>
              <w:suppressAutoHyphens/>
              <w:rPr>
                <w:b/>
                <w:spacing w:val="-2"/>
                <w:szCs w:val="22"/>
              </w:rPr>
            </w:pPr>
            <w:r w:rsidRPr="006D5400">
              <w:rPr>
                <w:b/>
                <w:spacing w:val="-2"/>
                <w:szCs w:val="22"/>
              </w:rPr>
              <w:t>)</w:t>
            </w:r>
          </w:p>
          <w:p w:rsidR="00313EF3" w:rsidRPr="006D5400" w14:paraId="2B2501B6" w14:textId="77777777">
            <w:pPr>
              <w:tabs>
                <w:tab w:val="center" w:pos="4680"/>
              </w:tabs>
              <w:suppressAutoHyphens/>
              <w:rPr>
                <w:b/>
                <w:spacing w:val="-2"/>
                <w:szCs w:val="22"/>
              </w:rPr>
            </w:pPr>
            <w:r w:rsidRPr="006D5400">
              <w:rPr>
                <w:b/>
                <w:spacing w:val="-2"/>
                <w:szCs w:val="22"/>
              </w:rPr>
              <w:t>)</w:t>
            </w:r>
          </w:p>
          <w:p w:rsidR="00DE1F08" w:rsidRPr="006D5400" w14:paraId="45BF7EAE" w14:textId="77777777">
            <w:pPr>
              <w:tabs>
                <w:tab w:val="center" w:pos="4680"/>
              </w:tabs>
              <w:suppressAutoHyphens/>
              <w:rPr>
                <w:b/>
                <w:spacing w:val="-2"/>
                <w:szCs w:val="22"/>
              </w:rPr>
            </w:pPr>
          </w:p>
          <w:p w:rsidR="00E84E6A" w:rsidRPr="006D5400" w14:paraId="5E6BB1B3" w14:textId="77777777">
            <w:pPr>
              <w:tabs>
                <w:tab w:val="center" w:pos="4680"/>
              </w:tabs>
              <w:suppressAutoHyphens/>
              <w:rPr>
                <w:b/>
                <w:spacing w:val="-2"/>
                <w:szCs w:val="22"/>
              </w:rPr>
            </w:pPr>
          </w:p>
        </w:tc>
        <w:tc>
          <w:tcPr>
            <w:tcW w:w="4248" w:type="dxa"/>
          </w:tcPr>
          <w:p w:rsidR="00313EF3" w:rsidRPr="006D5400" w14:paraId="648D0DB8" w14:textId="77777777">
            <w:pPr>
              <w:tabs>
                <w:tab w:val="center" w:pos="4680"/>
              </w:tabs>
              <w:suppressAutoHyphens/>
              <w:rPr>
                <w:spacing w:val="-2"/>
                <w:szCs w:val="22"/>
              </w:rPr>
            </w:pPr>
          </w:p>
          <w:p w:rsidR="00313EF3" w:rsidRPr="006D5400" w14:paraId="1254490D" w14:textId="77777777">
            <w:pPr>
              <w:tabs>
                <w:tab w:val="center" w:pos="4680"/>
              </w:tabs>
              <w:suppressAutoHyphens/>
              <w:rPr>
                <w:spacing w:val="-2"/>
                <w:szCs w:val="22"/>
              </w:rPr>
            </w:pPr>
          </w:p>
          <w:p w:rsidR="00697A80" w:rsidRPr="006D5400" w:rsidP="00C81A17" w14:paraId="46833F34" w14:textId="4424B3AC">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w:t>
            </w:r>
            <w:r w:rsidR="00CE7A1D">
              <w:rPr>
                <w:szCs w:val="22"/>
              </w:rPr>
              <w:t>657907</w:t>
            </w:r>
          </w:p>
          <w:p w:rsidR="00DE1F08" w:rsidRPr="006D5400" w:rsidP="00DE1F08" w14:paraId="341C92AC" w14:textId="77777777">
            <w:pPr>
              <w:rPr>
                <w:szCs w:val="22"/>
              </w:rPr>
            </w:pPr>
            <w:r w:rsidRPr="006D5400">
              <w:rPr>
                <w:szCs w:val="22"/>
              </w:rPr>
              <w:t xml:space="preserve">              </w:t>
            </w:r>
            <w:r w:rsidRPr="006D5400" w:rsidR="000715F6">
              <w:rPr>
                <w:szCs w:val="22"/>
              </w:rPr>
              <w:t xml:space="preserve">             </w:t>
            </w:r>
          </w:p>
          <w:p w:rsidR="00E84E6A" w:rsidRPr="006D5400" w:rsidP="00E84E6A" w14:paraId="47338FB9" w14:textId="77777777">
            <w:pPr>
              <w:rPr>
                <w:szCs w:val="22"/>
              </w:rPr>
            </w:pPr>
          </w:p>
        </w:tc>
      </w:tr>
    </w:tbl>
    <w:p w:rsidR="00313EF3" w:rsidRPr="006D5400" w:rsidP="00CD6BB8" w14:paraId="296CB7DC" w14:textId="77777777">
      <w:pPr>
        <w:jc w:val="center"/>
        <w:rPr>
          <w:b/>
          <w:szCs w:val="22"/>
        </w:rPr>
      </w:pPr>
      <w:r w:rsidRPr="006D5400">
        <w:rPr>
          <w:b/>
          <w:szCs w:val="22"/>
        </w:rPr>
        <w:t>O</w:t>
      </w:r>
      <w:r w:rsidRPr="006D5400">
        <w:rPr>
          <w:b/>
          <w:szCs w:val="22"/>
        </w:rPr>
        <w:t>RDER</w:t>
      </w:r>
    </w:p>
    <w:p w:rsidR="00313EF3" w:rsidRPr="006D5400" w14:paraId="4AD62F3D" w14:textId="77777777">
      <w:pPr>
        <w:tabs>
          <w:tab w:val="left" w:pos="-720"/>
        </w:tabs>
        <w:suppressAutoHyphens/>
        <w:spacing w:line="227" w:lineRule="auto"/>
        <w:ind w:left="720"/>
        <w:rPr>
          <w:spacing w:val="-2"/>
          <w:szCs w:val="22"/>
        </w:rPr>
      </w:pPr>
    </w:p>
    <w:p w:rsidR="00313EF3" w:rsidRPr="009C3ADD" w14:paraId="15DF1978" w14:textId="297030CB">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780827">
        <w:rPr>
          <w:b/>
          <w:spacing w:val="-2"/>
          <w:szCs w:val="22"/>
        </w:rPr>
        <w:t>March 4</w:t>
      </w:r>
      <w:r w:rsidR="001E68F1">
        <w:rPr>
          <w:b/>
          <w:spacing w:val="-2"/>
          <w:szCs w:val="22"/>
        </w:rPr>
        <w:t>,</w:t>
      </w:r>
      <w:r w:rsidRPr="006D5400" w:rsidR="00236AA1">
        <w:rPr>
          <w:b/>
          <w:spacing w:val="-2"/>
          <w:szCs w:val="22"/>
        </w:rPr>
        <w:t xml:space="preserve"> </w:t>
      </w:r>
      <w:r w:rsidRPr="006D5400" w:rsidR="00454DF3">
        <w:rPr>
          <w:b/>
          <w:spacing w:val="-2"/>
          <w:szCs w:val="22"/>
        </w:rPr>
        <w:t>20</w:t>
      </w:r>
      <w:r w:rsidR="00EF5ABE">
        <w:rPr>
          <w:b/>
          <w:spacing w:val="-2"/>
          <w:szCs w:val="22"/>
        </w:rPr>
        <w:t>20</w:t>
      </w:r>
      <w:r w:rsidRPr="006D5400">
        <w:rPr>
          <w:b/>
          <w:spacing w:val="-2"/>
          <w:szCs w:val="22"/>
        </w:rPr>
        <w:tab/>
      </w:r>
      <w:r w:rsidR="00BF2F4A">
        <w:rPr>
          <w:b/>
          <w:spacing w:val="-2"/>
          <w:szCs w:val="22"/>
        </w:rPr>
        <w:tab/>
      </w:r>
      <w:bookmarkStart w:id="0" w:name="_GoBack"/>
      <w:bookmarkEnd w:id="0"/>
      <w:r w:rsidRPr="006D5400">
        <w:rPr>
          <w:b/>
          <w:spacing w:val="-2"/>
          <w:szCs w:val="22"/>
        </w:rPr>
        <w:t>Released:</w:t>
      </w:r>
      <w:r w:rsidRPr="006D5400" w:rsidR="00676CB9">
        <w:rPr>
          <w:b/>
          <w:spacing w:val="-2"/>
          <w:szCs w:val="22"/>
        </w:rPr>
        <w:t xml:space="preserve"> </w:t>
      </w:r>
      <w:r w:rsidR="001E68F1">
        <w:rPr>
          <w:b/>
          <w:spacing w:val="-2"/>
          <w:szCs w:val="22"/>
        </w:rPr>
        <w:t xml:space="preserve"> </w:t>
      </w:r>
      <w:r w:rsidR="00780827">
        <w:rPr>
          <w:b/>
          <w:spacing w:val="-2"/>
          <w:szCs w:val="22"/>
        </w:rPr>
        <w:t>March 4</w:t>
      </w:r>
      <w:r w:rsidRPr="006D5400" w:rsidR="00236AA1">
        <w:rPr>
          <w:b/>
          <w:spacing w:val="-2"/>
          <w:szCs w:val="22"/>
        </w:rPr>
        <w:t xml:space="preserve">, </w:t>
      </w:r>
      <w:r w:rsidRPr="006D5400">
        <w:rPr>
          <w:b/>
          <w:spacing w:val="-2"/>
          <w:szCs w:val="22"/>
        </w:rPr>
        <w:t>20</w:t>
      </w:r>
      <w:r w:rsidR="00EF5ABE">
        <w:rPr>
          <w:b/>
          <w:spacing w:val="-2"/>
          <w:szCs w:val="22"/>
        </w:rPr>
        <w:t>20</w:t>
      </w:r>
    </w:p>
    <w:p w:rsidR="00313EF3" w:rsidRPr="006D5400" w14:paraId="2AE0D00F" w14:textId="77777777">
      <w:pPr>
        <w:rPr>
          <w:szCs w:val="22"/>
        </w:rPr>
      </w:pPr>
    </w:p>
    <w:p w:rsidR="00313EF3" w:rsidRPr="006D5400" w:rsidP="0062716E" w14:paraId="0D9AA386" w14:textId="77777777">
      <w:pPr>
        <w:spacing w:after="120"/>
        <w:rPr>
          <w:szCs w:val="22"/>
        </w:rPr>
      </w:pPr>
      <w:r w:rsidRPr="006D5400">
        <w:rPr>
          <w:szCs w:val="22"/>
        </w:rPr>
        <w:t xml:space="preserve">By the </w:t>
      </w:r>
      <w:r w:rsidRPr="005264A8" w:rsidR="000B7A45">
        <w:rPr>
          <w:szCs w:val="22"/>
        </w:rPr>
        <w:t xml:space="preserve">Chief, </w:t>
      </w:r>
      <w:r w:rsidRPr="005264A8" w:rsidR="004914A3">
        <w:rPr>
          <w:szCs w:val="22"/>
        </w:rPr>
        <w:t xml:space="preserve">Consumer Policy Division, </w:t>
      </w:r>
      <w:r w:rsidRPr="005264A8"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CE7A1D" w:rsidP="00CE7A1D" w14:paraId="007FF784" w14:textId="15314630">
      <w:pPr>
        <w:numPr>
          <w:ilvl w:val="0"/>
          <w:numId w:val="5"/>
        </w:numPr>
        <w:tabs>
          <w:tab w:val="num" w:pos="0"/>
        </w:tabs>
        <w:snapToGrid w:val="0"/>
        <w:spacing w:after="120"/>
        <w:ind w:left="0" w:firstLine="720"/>
        <w:jc w:val="left"/>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C3ADD">
        <w:rPr>
          <w:szCs w:val="22"/>
        </w:rPr>
        <w:t xml:space="preserve">Telplex Communications </w:t>
      </w:r>
      <w:r w:rsidRPr="006D5400" w:rsidR="001204B1">
        <w:rPr>
          <w:szCs w:val="22"/>
        </w:rPr>
        <w:t>(</w:t>
      </w:r>
      <w:r w:rsidR="009C3ADD">
        <w:rPr>
          <w:szCs w:val="22"/>
        </w:rPr>
        <w:t>Telplex</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t>
      </w:r>
      <w:r w:rsidR="00CE7A1D">
        <w:t>We find that Telplex has responded to the Complainant’s complaint and has taken action to resolve the complaint.</w:t>
      </w:r>
    </w:p>
    <w:p w:rsidR="007546EE" w:rsidRPr="006D5400" w:rsidP="0062716E" w14:paraId="48474065" w14:textId="5218ADE0">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also has adopted rules to limit the liability of subscribers when a</w:t>
      </w:r>
      <w:r w:rsidR="00F81B78">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242581" w14:paraId="707E3A6E" w14:textId="491695E1">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In the complaint, Complainant</w:t>
      </w:r>
      <w:r w:rsidR="00CE7A1D">
        <w:rPr>
          <w:szCs w:val="22"/>
        </w:rPr>
        <w:t xml:space="preserve"> states that his restaurant</w:t>
      </w:r>
      <w:r w:rsidR="001A63BB">
        <w:rPr>
          <w:szCs w:val="22"/>
        </w:rPr>
        <w:t>’s</w:t>
      </w:r>
      <w:r w:rsidR="00CE7A1D">
        <w:rPr>
          <w:szCs w:val="22"/>
        </w:rPr>
        <w:t xml:space="preserve"> phone line was damaged in an earthquake several months earlier.  Complainant</w:t>
      </w:r>
      <w:r w:rsidR="00664DC0">
        <w:rPr>
          <w:szCs w:val="22"/>
        </w:rPr>
        <w:t xml:space="preserve"> </w:t>
      </w:r>
      <w:r w:rsidR="00545B00">
        <w:rPr>
          <w:szCs w:val="22"/>
        </w:rPr>
        <w:t xml:space="preserve">also </w:t>
      </w:r>
      <w:r w:rsidR="00664DC0">
        <w:rPr>
          <w:szCs w:val="22"/>
        </w:rPr>
        <w:t xml:space="preserve">alleges that </w:t>
      </w:r>
      <w:r w:rsidR="00CE7A1D">
        <w:rPr>
          <w:szCs w:val="22"/>
        </w:rPr>
        <w:t>Telplex came into his restaurant</w:t>
      </w:r>
      <w:r w:rsidR="00545B00">
        <w:rPr>
          <w:szCs w:val="22"/>
        </w:rPr>
        <w:t xml:space="preserve">, </w:t>
      </w:r>
      <w:r w:rsidR="00CE7A1D">
        <w:rPr>
          <w:szCs w:val="22"/>
        </w:rPr>
        <w:t>misrepresented themselves a</w:t>
      </w:r>
      <w:r w:rsidR="005F7472">
        <w:rPr>
          <w:szCs w:val="22"/>
        </w:rPr>
        <w:t>s</w:t>
      </w:r>
      <w:r w:rsidR="00CE7A1D">
        <w:rPr>
          <w:szCs w:val="22"/>
        </w:rPr>
        <w:t xml:space="preserve"> AT&amp;T</w:t>
      </w:r>
      <w:r w:rsidR="00545B00">
        <w:rPr>
          <w:szCs w:val="22"/>
        </w:rPr>
        <w:t>,</w:t>
      </w:r>
      <w:r w:rsidR="00CE7A1D">
        <w:rPr>
          <w:szCs w:val="22"/>
        </w:rPr>
        <w:t xml:space="preserve"> and </w:t>
      </w:r>
      <w:r w:rsidR="00BC43F4">
        <w:rPr>
          <w:szCs w:val="22"/>
        </w:rPr>
        <w:t>“</w:t>
      </w:r>
      <w:r w:rsidR="00CE7A1D">
        <w:rPr>
          <w:szCs w:val="22"/>
        </w:rPr>
        <w:t>had an employee sign a paper stating that they were approving work to be done to get his service back up.</w:t>
      </w:r>
      <w:r w:rsidR="00BC43F4">
        <w:rPr>
          <w:szCs w:val="22"/>
        </w:rPr>
        <w:t>”</w:t>
      </w:r>
      <w:r>
        <w:rPr>
          <w:rStyle w:val="FootnoteReference"/>
          <w:szCs w:val="22"/>
        </w:rPr>
        <w:footnoteReference w:id="9"/>
      </w:r>
      <w:r w:rsidR="00CE7A1D">
        <w:rPr>
          <w:szCs w:val="22"/>
        </w:rPr>
        <w:t xml:space="preserve">  He</w:t>
      </w:r>
      <w:r w:rsidR="001A63BB">
        <w:rPr>
          <w:szCs w:val="22"/>
        </w:rPr>
        <w:t xml:space="preserve"> did not realize his service had been switched to Telplex and states that</w:t>
      </w:r>
      <w:r w:rsidR="00CE7A1D">
        <w:rPr>
          <w:szCs w:val="22"/>
        </w:rPr>
        <w:t xml:space="preserve"> he never approved a change of his carrier.</w:t>
      </w:r>
      <w:r>
        <w:rPr>
          <w:rStyle w:val="FootnoteReference"/>
          <w:szCs w:val="22"/>
        </w:rPr>
        <w:footnoteReference w:id="10"/>
      </w:r>
      <w:r w:rsidR="00CE7A1D">
        <w:rPr>
          <w:szCs w:val="22"/>
        </w:rPr>
        <w:t xml:space="preserve">   </w:t>
      </w:r>
    </w:p>
    <w:p w:rsidR="00F208BD" w:rsidRPr="00F208BD" w:rsidP="00242581" w14:paraId="34DE424C" w14:textId="72FD004B">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9C3ADD">
        <w:t>Telplex</w:t>
      </w:r>
      <w:r>
        <w:t xml:space="preserve"> of the complaint</w:t>
      </w:r>
      <w:r w:rsidR="00753932">
        <w:t>.</w:t>
      </w:r>
      <w:r>
        <w:rPr>
          <w:rStyle w:val="FootnoteReference"/>
        </w:rPr>
        <w:footnoteReference w:id="11"/>
      </w:r>
      <w:r w:rsidR="00C61A5E">
        <w:t xml:space="preserve">  Telplex responded to the complaint, stating that authorization was received and confirmed </w:t>
      </w:r>
      <w:r w:rsidR="00242581">
        <w:t>through</w:t>
      </w:r>
      <w:r w:rsidR="00C61A5E">
        <w:t xml:space="preserve"> a </w:t>
      </w:r>
      <w:r>
        <w:t>third-party verification</w:t>
      </w:r>
      <w:r w:rsidR="00C61A5E">
        <w:t xml:space="preserve"> (</w:t>
      </w:r>
      <w:r>
        <w:t>TPV</w:t>
      </w:r>
      <w:r w:rsidR="00C61A5E">
        <w:t>)</w:t>
      </w:r>
      <w:r>
        <w:t xml:space="preserve"> recording</w:t>
      </w:r>
      <w:r w:rsidR="00C61A5E">
        <w:t>.</w:t>
      </w:r>
      <w:r>
        <w:rPr>
          <w:rStyle w:val="FootnoteReference"/>
        </w:rPr>
        <w:footnoteReference w:id="12"/>
      </w:r>
      <w:r w:rsidR="00C61A5E">
        <w:t xml:space="preserve">  Telplex provided a copy of the </w:t>
      </w:r>
      <w:r>
        <w:t>TPV</w:t>
      </w:r>
      <w:r w:rsidR="00242581">
        <w:t xml:space="preserve"> and </w:t>
      </w:r>
      <w:r w:rsidR="006B0C4B">
        <w:t xml:space="preserve">asserts that the </w:t>
      </w:r>
      <w:r>
        <w:t>TPV shows that Complainant’s employee agreed to switch to Telplex</w:t>
      </w:r>
      <w:r w:rsidR="001A63BB">
        <w:t xml:space="preserve"> and that “the real crux of the complaint . . . is that the employee was not authorized to switch service to Telplex.”</w:t>
      </w:r>
      <w:r>
        <w:rPr>
          <w:rStyle w:val="FootnoteReference"/>
        </w:rPr>
        <w:footnoteReference w:id="13"/>
      </w:r>
      <w:r w:rsidR="001A63BB">
        <w:t xml:space="preserve"> </w:t>
      </w:r>
      <w:r>
        <w:t xml:space="preserve"> Telplex states that Complainant’s service has been ported back to AT&amp;T.</w:t>
      </w:r>
      <w:r>
        <w:rPr>
          <w:rStyle w:val="FootnoteReference"/>
          <w:szCs w:val="24"/>
        </w:rPr>
        <w:footnoteReference w:id="14"/>
      </w:r>
      <w:r w:rsidR="00242581">
        <w:rPr>
          <w:szCs w:val="24"/>
        </w:rPr>
        <w:t xml:space="preserve"> </w:t>
      </w:r>
    </w:p>
    <w:p w:rsidR="002C332E" w:rsidRPr="00F208BD" w:rsidP="00F208BD" w14:paraId="1F1EB302" w14:textId="55D85706">
      <w:pPr>
        <w:numPr>
          <w:ilvl w:val="0"/>
          <w:numId w:val="4"/>
        </w:numPr>
        <w:tabs>
          <w:tab w:val="clear" w:pos="1440"/>
        </w:tabs>
        <w:spacing w:after="120"/>
        <w:ind w:left="0" w:firstLine="720"/>
        <w:jc w:val="left"/>
        <w:rPr>
          <w:szCs w:val="22"/>
        </w:rPr>
      </w:pPr>
      <w:r>
        <w:t>Based on the information provided by Telplex, it appears that Telplex has fully absolved Complainant of all charges assessed by Telplex in a manner consistent with the Commission’s liability rules.</w:t>
      </w:r>
      <w:r>
        <w:rPr>
          <w:rStyle w:val="FootnoteReference"/>
        </w:rPr>
        <w:footnoteReference w:id="15"/>
      </w:r>
      <w:r>
        <w:t xml:space="preserve">  We therefore find that the complaint referenced herein has been resolved.</w:t>
      </w:r>
      <w:r>
        <w:rPr>
          <w:rStyle w:val="FootnoteReference"/>
        </w:rPr>
        <w:footnoteReference w:id="16"/>
      </w:r>
      <w:r w:rsidR="00242581">
        <w:rPr>
          <w:szCs w:val="24"/>
        </w:rPr>
        <w:t xml:space="preserve"> </w:t>
      </w:r>
    </w:p>
    <w:p w:rsidR="00545B00" w:rsidP="00E90AD3" w14:paraId="77C60DB8" w14:textId="6B2CF6F8">
      <w:pPr>
        <w:widowControl/>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Pr="006D5400" w:rsidR="00E84E6A">
        <w:rPr>
          <w:szCs w:val="22"/>
        </w:rPr>
        <w:t xml:space="preserve"> </w:t>
      </w:r>
      <w:r w:rsidRPr="006D5400" w:rsidR="002137D1">
        <w:rPr>
          <w:szCs w:val="22"/>
        </w:rPr>
        <w:t>IS</w:t>
      </w:r>
      <w:r w:rsidRPr="006D5400">
        <w:rPr>
          <w:szCs w:val="22"/>
        </w:rPr>
        <w:t xml:space="preserve"> </w:t>
      </w:r>
      <w:r w:rsidR="00F208BD">
        <w:rPr>
          <w:szCs w:val="22"/>
        </w:rPr>
        <w:t>RESOLVED</w:t>
      </w:r>
      <w:r w:rsidRPr="006D5400">
        <w:rPr>
          <w:szCs w:val="22"/>
        </w:rPr>
        <w:t>.</w:t>
      </w:r>
    </w:p>
    <w:p w:rsidR="00454DF3" w:rsidRPr="00160AFE" w:rsidP="00545B00" w14:paraId="51E577AD" w14:textId="77777777">
      <w:pPr>
        <w:widowControl/>
        <w:spacing w:after="120"/>
        <w:jc w:val="left"/>
        <w:rPr>
          <w:szCs w:val="22"/>
        </w:rPr>
      </w:pPr>
      <w:r>
        <w:rPr>
          <w:szCs w:val="22"/>
        </w:rPr>
        <w:br w:type="page"/>
      </w:r>
    </w:p>
    <w:p w:rsidR="00313EF3" w:rsidRPr="0062716E" w:rsidP="0062716E" w14:paraId="04093C51"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5264A8" w14:paraId="715B9543" w14:textId="77777777">
      <w:pPr>
        <w:ind w:left="3600" w:right="270" w:firstLine="720"/>
        <w:rPr>
          <w:szCs w:val="22"/>
        </w:rPr>
      </w:pPr>
      <w:r w:rsidRPr="006D5400">
        <w:rPr>
          <w:szCs w:val="22"/>
        </w:rPr>
        <w:t>FEDERAL COMMUNICATIONS COMMISSION</w:t>
      </w:r>
    </w:p>
    <w:p w:rsidR="00EF5ABE" w:rsidP="00EF5ABE" w14:paraId="617A2120" w14:textId="77777777">
      <w:pPr>
        <w:ind w:left="3600" w:right="270"/>
        <w:rPr>
          <w:szCs w:val="22"/>
        </w:rPr>
      </w:pPr>
    </w:p>
    <w:p w:rsidR="00EF5ABE" w:rsidP="00EF5ABE" w14:paraId="2555B725" w14:textId="77777777">
      <w:pPr>
        <w:ind w:left="3600" w:right="270"/>
        <w:rPr>
          <w:szCs w:val="22"/>
        </w:rPr>
      </w:pPr>
    </w:p>
    <w:p w:rsidR="00EF5ABE" w:rsidP="00EF5ABE" w14:paraId="645FDD35" w14:textId="77777777">
      <w:pPr>
        <w:ind w:left="3600" w:right="270"/>
        <w:rPr>
          <w:szCs w:val="22"/>
        </w:rPr>
      </w:pPr>
    </w:p>
    <w:p w:rsidR="00EF5ABE" w:rsidRPr="006D5400" w:rsidP="00EF5ABE" w14:paraId="4CB62121" w14:textId="77777777">
      <w:pPr>
        <w:ind w:left="3600" w:right="270"/>
        <w:rPr>
          <w:szCs w:val="22"/>
        </w:rPr>
      </w:pPr>
    </w:p>
    <w:p w:rsidR="0063192B" w:rsidP="005264A8" w14:paraId="0221D7E4" w14:textId="77777777">
      <w:pPr>
        <w:ind w:left="2880" w:right="270" w:firstLine="1440"/>
        <w:rPr>
          <w:szCs w:val="22"/>
        </w:rPr>
      </w:pPr>
      <w:r>
        <w:rPr>
          <w:szCs w:val="22"/>
        </w:rPr>
        <w:t>Kurt A. Schroeder</w:t>
      </w:r>
    </w:p>
    <w:p w:rsidR="00EF5ABE" w:rsidP="005264A8" w14:paraId="676404B1" w14:textId="77777777">
      <w:pPr>
        <w:ind w:left="2880" w:right="270" w:firstLine="1440"/>
        <w:rPr>
          <w:szCs w:val="22"/>
        </w:rPr>
      </w:pPr>
      <w:r>
        <w:rPr>
          <w:szCs w:val="22"/>
        </w:rPr>
        <w:t>Chief</w:t>
      </w:r>
    </w:p>
    <w:p w:rsidR="00EF5ABE" w:rsidP="005264A8" w14:paraId="0314E35B" w14:textId="77777777">
      <w:pPr>
        <w:ind w:left="2880" w:right="270" w:firstLine="1440"/>
        <w:rPr>
          <w:szCs w:val="22"/>
        </w:rPr>
      </w:pPr>
      <w:r>
        <w:rPr>
          <w:szCs w:val="22"/>
        </w:rPr>
        <w:t>Consumer Policy Division</w:t>
      </w:r>
    </w:p>
    <w:p w:rsidR="00EF5ABE" w:rsidRPr="006D5400" w:rsidP="005264A8" w14:paraId="5362D780" w14:textId="77777777">
      <w:pPr>
        <w:ind w:left="2880" w:right="270" w:firstLine="1440"/>
        <w:rPr>
          <w:szCs w:val="22"/>
        </w:rPr>
      </w:pPr>
      <w:r>
        <w:rPr>
          <w:szCs w:val="22"/>
        </w:rPr>
        <w:t>Consumer and Governmental Affairs Bureau</w:t>
      </w:r>
    </w:p>
    <w:p w:rsidR="00313EF3" w:rsidRPr="006D5400" w:rsidP="00EF5ABE" w14:paraId="11F2213F"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F9C2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60ABC2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CCFEE64"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2FF95FE0" w14:textId="77777777">
    <w:pPr>
      <w:spacing w:before="140" w:line="100" w:lineRule="exact"/>
      <w:rPr>
        <w:sz w:val="10"/>
      </w:rPr>
    </w:pPr>
  </w:p>
  <w:p w:rsidR="00EC4494" w14:paraId="0CDFDD4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58A2" w14:paraId="7CBB6932" w14:textId="77777777">
      <w:r>
        <w:separator/>
      </w:r>
    </w:p>
  </w:footnote>
  <w:footnote w:type="continuationSeparator" w:id="1">
    <w:p w:rsidR="00C358A2" w14:paraId="20806C96" w14:textId="77777777">
      <w:pPr>
        <w:rPr>
          <w:sz w:val="20"/>
        </w:rPr>
      </w:pPr>
      <w:r>
        <w:rPr>
          <w:sz w:val="20"/>
        </w:rPr>
        <w:t xml:space="preserve">(Continued from previous page)  </w:t>
      </w:r>
      <w:r>
        <w:rPr>
          <w:sz w:val="20"/>
        </w:rPr>
        <w:separator/>
      </w:r>
    </w:p>
  </w:footnote>
  <w:footnote w:type="continuationNotice" w:id="2">
    <w:p w:rsidR="00C358A2" w:rsidP="006D5400" w14:paraId="1D0F0907" w14:textId="77777777">
      <w:pPr>
        <w:jc w:val="right"/>
        <w:rPr>
          <w:sz w:val="20"/>
        </w:rPr>
      </w:pPr>
      <w:r>
        <w:rPr>
          <w:sz w:val="20"/>
        </w:rPr>
        <w:t>(continued…)</w:t>
      </w:r>
    </w:p>
  </w:footnote>
  <w:footnote w:id="3">
    <w:p w:rsidR="00DE7276" w:rsidP="00DE7276" w14:paraId="0BF05539" w14:textId="53443CDE">
      <w:pPr>
        <w:pStyle w:val="FootnoteText"/>
        <w:spacing w:after="120"/>
      </w:pPr>
      <w:r>
        <w:rPr>
          <w:rStyle w:val="FootnoteReference"/>
        </w:rPr>
        <w:footnoteRef/>
      </w:r>
      <w:r>
        <w:t xml:space="preserve"> </w:t>
      </w:r>
      <w:r w:rsidRPr="00140317">
        <w:rPr>
          <w:i/>
        </w:rPr>
        <w:t xml:space="preserve">See </w:t>
      </w:r>
      <w:r>
        <w:t xml:space="preserve">Informal Complaint No. </w:t>
      </w:r>
      <w:r w:rsidR="00ED15EC">
        <w:t>3</w:t>
      </w:r>
      <w:r w:rsidR="00CE7A1D">
        <w:t>657907</w:t>
      </w:r>
      <w:r>
        <w:t xml:space="preserve"> (filed </w:t>
      </w:r>
      <w:r w:rsidR="00CE7A1D">
        <w:t>Nov. 13</w:t>
      </w:r>
      <w:r w:rsidR="00DD34BB">
        <w:t>, 2019</w:t>
      </w:r>
      <w:r>
        <w:t xml:space="preserve">); </w:t>
      </w:r>
      <w:r w:rsidRPr="00DE7276">
        <w:rPr>
          <w:i/>
        </w:rPr>
        <w:t>see also</w:t>
      </w:r>
      <w:r>
        <w:t xml:space="preserve"> 47 CFR §§ 64.1100 – 64.1190.</w:t>
      </w:r>
    </w:p>
  </w:footnote>
  <w:footnote w:id="4">
    <w:p w:rsidR="00EC4494" w:rsidP="005D03A5" w14:paraId="1E02166B" w14:textId="77777777">
      <w:pPr>
        <w:pStyle w:val="FootnoteText"/>
        <w:spacing w:after="120"/>
      </w:pPr>
      <w:r>
        <w:rPr>
          <w:rStyle w:val="FootnoteReference"/>
        </w:rPr>
        <w:footnoteRef/>
      </w:r>
      <w:r>
        <w:t xml:space="preserve"> 47 U.S.C. § 258(a).</w:t>
      </w:r>
    </w:p>
  </w:footnote>
  <w:footnote w:id="5">
    <w:p w:rsidR="00EC4494" w:rsidP="005D03A5" w14:paraId="5122CEE0"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3F675692"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6A7E1F" w14:paraId="7A70E7CB" w14:textId="77777777">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8B004B" w14:paraId="58793EE5" w14:textId="308F6AC3">
      <w:pPr>
        <w:pStyle w:val="FootnoteText"/>
        <w:spacing w:after="120"/>
      </w:pPr>
      <w:r>
        <w:rPr>
          <w:rStyle w:val="FootnoteReference"/>
        </w:rPr>
        <w:footnoteRef/>
      </w:r>
      <w:r>
        <w:t xml:space="preserve"> </w:t>
      </w:r>
      <w:r w:rsidRPr="00664DC0">
        <w:rPr>
          <w:i/>
        </w:rPr>
        <w:t>See</w:t>
      </w:r>
      <w:r>
        <w:t xml:space="preserve"> Informal Complaint No. </w:t>
      </w:r>
      <w:r w:rsidR="00ED15EC">
        <w:t>3</w:t>
      </w:r>
      <w:r w:rsidR="00CE7A1D">
        <w:t>657907</w:t>
      </w:r>
      <w:r>
        <w:t>.</w:t>
      </w:r>
    </w:p>
  </w:footnote>
  <w:footnote w:id="9">
    <w:p w:rsidR="001A63BB" w:rsidP="008B004B" w14:paraId="63AA6A01" w14:textId="136DEE95">
      <w:pPr>
        <w:pStyle w:val="FootnoteText"/>
        <w:spacing w:after="120"/>
      </w:pPr>
      <w:r>
        <w:rPr>
          <w:rStyle w:val="FootnoteReference"/>
        </w:rPr>
        <w:footnoteRef/>
      </w:r>
      <w:r>
        <w:t xml:space="preserve"> </w:t>
      </w:r>
      <w:r w:rsidRPr="001A63BB">
        <w:rPr>
          <w:i/>
          <w:iCs/>
        </w:rPr>
        <w:t>Id</w:t>
      </w:r>
      <w:r>
        <w:t>.</w:t>
      </w:r>
    </w:p>
  </w:footnote>
  <w:footnote w:id="10">
    <w:p w:rsidR="001A63BB" w:rsidP="008B004B" w14:paraId="2A42E7EB" w14:textId="59564E42">
      <w:pPr>
        <w:pStyle w:val="FootnoteText"/>
        <w:spacing w:after="120"/>
      </w:pPr>
      <w:r>
        <w:rPr>
          <w:rStyle w:val="FootnoteReference"/>
        </w:rPr>
        <w:footnoteRef/>
      </w:r>
      <w:r>
        <w:t xml:space="preserve"> </w:t>
      </w:r>
      <w:r w:rsidRPr="001A63BB">
        <w:rPr>
          <w:i/>
          <w:iCs/>
        </w:rPr>
        <w:t>Id</w:t>
      </w:r>
      <w:r>
        <w:t>.</w:t>
      </w:r>
    </w:p>
  </w:footnote>
  <w:footnote w:id="11">
    <w:p w:rsidR="00C335BA" w:rsidP="008B004B" w14:paraId="042AA30C" w14:textId="7C8CE99F">
      <w:pPr>
        <w:pStyle w:val="FootnoteText"/>
        <w:spacing w:after="120"/>
      </w:pPr>
      <w:r>
        <w:rPr>
          <w:rStyle w:val="FootnoteReference"/>
        </w:rPr>
        <w:footnoteRef/>
      </w:r>
      <w:r>
        <w:t xml:space="preserve"> </w:t>
      </w:r>
      <w:r w:rsidR="00225606">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2">
    <w:p w:rsidR="00C61A5E" w:rsidP="008B004B" w14:paraId="72BDB1BD" w14:textId="7590C1E2">
      <w:pPr>
        <w:pStyle w:val="FootnoteText"/>
        <w:spacing w:after="120"/>
      </w:pPr>
      <w:r>
        <w:rPr>
          <w:rStyle w:val="FootnoteReference"/>
        </w:rPr>
        <w:footnoteRef/>
      </w:r>
      <w:r>
        <w:t xml:space="preserve"> </w:t>
      </w:r>
      <w:r w:rsidRPr="005D03A5">
        <w:rPr>
          <w:i/>
        </w:rPr>
        <w:t>See</w:t>
      </w:r>
      <w:r>
        <w:t xml:space="preserve"> Telplex Response to Informal Complaint No. 3</w:t>
      </w:r>
      <w:r w:rsidR="00CE7A1D">
        <w:t>657907</w:t>
      </w:r>
      <w:r>
        <w:rPr>
          <w:szCs w:val="22"/>
        </w:rPr>
        <w:t xml:space="preserve"> (filed </w:t>
      </w:r>
      <w:r w:rsidR="00CE7A1D">
        <w:rPr>
          <w:szCs w:val="22"/>
        </w:rPr>
        <w:t>Dec. 24</w:t>
      </w:r>
      <w:r>
        <w:t>, 2019).</w:t>
      </w:r>
    </w:p>
  </w:footnote>
  <w:footnote w:id="13">
    <w:p w:rsidR="001A63BB" w:rsidRPr="00D32D0B" w:rsidP="008B004B" w14:paraId="6F013A26" w14:textId="01710CC7">
      <w:pPr>
        <w:pStyle w:val="FootnoteText"/>
        <w:spacing w:after="120"/>
      </w:pPr>
      <w:r>
        <w:rPr>
          <w:rStyle w:val="FootnoteReference"/>
        </w:rPr>
        <w:footnoteRef/>
      </w:r>
      <w:r>
        <w:t xml:space="preserve"> </w:t>
      </w:r>
      <w:r w:rsidRPr="001A63BB">
        <w:rPr>
          <w:i/>
          <w:iCs/>
        </w:rPr>
        <w:t>Id.</w:t>
      </w:r>
      <w:r w:rsidR="00D32D0B">
        <w:rPr>
          <w:i/>
          <w:iCs/>
        </w:rPr>
        <w:t xml:space="preserve"> </w:t>
      </w:r>
      <w:r w:rsidR="00545B00">
        <w:rPr>
          <w:i/>
          <w:iCs/>
        </w:rPr>
        <w:t xml:space="preserve"> </w:t>
      </w:r>
      <w:r w:rsidR="00D32D0B">
        <w:t xml:space="preserve">Telplex argues that it “is not required to guarantee the actual authority of every person claiming to have the authority to authorize a service change.” </w:t>
      </w:r>
    </w:p>
  </w:footnote>
  <w:footnote w:id="14">
    <w:p w:rsidR="00160AFE" w:rsidP="008B004B" w14:paraId="49BAF87B" w14:textId="77777777">
      <w:pPr>
        <w:pStyle w:val="FootnoteText"/>
        <w:spacing w:after="120"/>
      </w:pPr>
      <w:r>
        <w:rPr>
          <w:rStyle w:val="FootnoteReference"/>
        </w:rPr>
        <w:footnoteRef/>
      </w:r>
      <w:r>
        <w:t xml:space="preserve"> </w:t>
      </w:r>
      <w:r w:rsidRPr="00160AFE">
        <w:rPr>
          <w:i/>
        </w:rPr>
        <w:t>Id</w:t>
      </w:r>
      <w:r>
        <w:t>.</w:t>
      </w:r>
    </w:p>
  </w:footnote>
  <w:footnote w:id="15">
    <w:p w:rsidR="00F208BD" w:rsidP="008B004B" w14:paraId="635B66C4" w14:textId="65DA9670">
      <w:pPr>
        <w:pStyle w:val="FootnoteText"/>
        <w:spacing w:after="120"/>
      </w:pPr>
      <w:r>
        <w:rPr>
          <w:rStyle w:val="FootnoteReference"/>
        </w:rPr>
        <w:footnoteRef/>
      </w:r>
      <w:r w:rsidR="008B004B">
        <w:rPr>
          <w:i/>
        </w:rPr>
        <w:t xml:space="preserve"> See</w:t>
      </w:r>
      <w:r>
        <w:rPr>
          <w:i/>
        </w:rPr>
        <w:t xml:space="preserve"> </w:t>
      </w:r>
      <w:r w:rsidR="005F7472">
        <w:rPr>
          <w:iCs/>
        </w:rPr>
        <w:t>47 CFR</w:t>
      </w:r>
      <w:r>
        <w:t xml:space="preserve"> § 64.1160.  </w:t>
      </w:r>
    </w:p>
  </w:footnote>
  <w:footnote w:id="16">
    <w:p w:rsidR="00F208BD" w:rsidP="008B004B" w14:paraId="44825DBF" w14:textId="77777777">
      <w:pPr>
        <w:pStyle w:val="FootnoteText"/>
        <w:tabs>
          <w:tab w:val="left" w:pos="0"/>
        </w:tabs>
        <w:spacing w:after="120"/>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p w:rsidR="00F208BD" w:rsidP="00F208BD" w14:paraId="58533B7B"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7CE4E46" w14:textId="23F44DC5">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EF5ABE">
      <w:rPr>
        <w:b/>
        <w:spacing w:val="-2"/>
      </w:rPr>
      <w:t>20</w:t>
    </w:r>
    <w:r>
      <w:rPr>
        <w:b/>
        <w:spacing w:val="-2"/>
      </w:rPr>
      <w:t>-</w:t>
    </w:r>
    <w:r w:rsidR="00780827">
      <w:rPr>
        <w:b/>
        <w:spacing w:val="-2"/>
      </w:rPr>
      <w:t>222</w:t>
    </w:r>
  </w:p>
  <w:p w:rsidR="00EC4494" w14:paraId="309D8E79"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276F96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64B5C5" w14:textId="12FC585F">
    <w:pPr>
      <w:pStyle w:val="Header"/>
      <w:pBdr>
        <w:bottom w:val="single" w:sz="12" w:space="1" w:color="auto"/>
      </w:pBdr>
      <w:rPr>
        <w:b w:val="0"/>
      </w:rPr>
    </w:pPr>
    <w:r>
      <w:tab/>
      <w:t>Federal</w:t>
    </w:r>
    <w:r w:rsidR="00385691">
      <w:t xml:space="preserve"> Communications Commission</w:t>
    </w:r>
    <w:r w:rsidR="00385691">
      <w:tab/>
      <w:t xml:space="preserve">DA </w:t>
    </w:r>
    <w:r w:rsidR="00EF5ABE">
      <w:t>20</w:t>
    </w:r>
    <w:r w:rsidR="00780827">
      <w:t>-222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 w:numId="5">
    <w:abstractNumId w:val="3"/>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D6FF3"/>
    <w:rsid w:val="000E6D51"/>
    <w:rsid w:val="00113639"/>
    <w:rsid w:val="001204B1"/>
    <w:rsid w:val="00120529"/>
    <w:rsid w:val="001348A7"/>
    <w:rsid w:val="00140317"/>
    <w:rsid w:val="001414E3"/>
    <w:rsid w:val="00142D97"/>
    <w:rsid w:val="00155E02"/>
    <w:rsid w:val="00160AFE"/>
    <w:rsid w:val="00162727"/>
    <w:rsid w:val="001717CE"/>
    <w:rsid w:val="001849AA"/>
    <w:rsid w:val="00190163"/>
    <w:rsid w:val="00195161"/>
    <w:rsid w:val="001A0861"/>
    <w:rsid w:val="001A43D8"/>
    <w:rsid w:val="001A63BB"/>
    <w:rsid w:val="001A7A2C"/>
    <w:rsid w:val="001C36B6"/>
    <w:rsid w:val="001C67AE"/>
    <w:rsid w:val="001E4CAB"/>
    <w:rsid w:val="001E68F1"/>
    <w:rsid w:val="001F2E5C"/>
    <w:rsid w:val="001F4128"/>
    <w:rsid w:val="00206248"/>
    <w:rsid w:val="002137D1"/>
    <w:rsid w:val="0021434E"/>
    <w:rsid w:val="00225606"/>
    <w:rsid w:val="002354D5"/>
    <w:rsid w:val="002357D3"/>
    <w:rsid w:val="00236AA1"/>
    <w:rsid w:val="00236EDD"/>
    <w:rsid w:val="00237BAA"/>
    <w:rsid w:val="00242581"/>
    <w:rsid w:val="002431FD"/>
    <w:rsid w:val="002439C1"/>
    <w:rsid w:val="002479AB"/>
    <w:rsid w:val="0025262D"/>
    <w:rsid w:val="00265A91"/>
    <w:rsid w:val="00283DF4"/>
    <w:rsid w:val="002A3B0B"/>
    <w:rsid w:val="002C332E"/>
    <w:rsid w:val="002F4B88"/>
    <w:rsid w:val="00310BAA"/>
    <w:rsid w:val="00313EF3"/>
    <w:rsid w:val="003427C1"/>
    <w:rsid w:val="003473A7"/>
    <w:rsid w:val="00353700"/>
    <w:rsid w:val="00360D54"/>
    <w:rsid w:val="00385691"/>
    <w:rsid w:val="0039622B"/>
    <w:rsid w:val="003A1EBA"/>
    <w:rsid w:val="003B1201"/>
    <w:rsid w:val="003B39A5"/>
    <w:rsid w:val="003C5092"/>
    <w:rsid w:val="003D14B8"/>
    <w:rsid w:val="003D32F8"/>
    <w:rsid w:val="003E5B69"/>
    <w:rsid w:val="003F75CF"/>
    <w:rsid w:val="003F7602"/>
    <w:rsid w:val="003F7D44"/>
    <w:rsid w:val="00403483"/>
    <w:rsid w:val="00422B9B"/>
    <w:rsid w:val="004334F6"/>
    <w:rsid w:val="00454DF3"/>
    <w:rsid w:val="0047594E"/>
    <w:rsid w:val="004914A3"/>
    <w:rsid w:val="004A1686"/>
    <w:rsid w:val="004C104C"/>
    <w:rsid w:val="004C3D84"/>
    <w:rsid w:val="004C7040"/>
    <w:rsid w:val="004D2792"/>
    <w:rsid w:val="004E5EFB"/>
    <w:rsid w:val="00510F6C"/>
    <w:rsid w:val="00524588"/>
    <w:rsid w:val="005264A8"/>
    <w:rsid w:val="005265B9"/>
    <w:rsid w:val="00545B00"/>
    <w:rsid w:val="005561FD"/>
    <w:rsid w:val="00563A90"/>
    <w:rsid w:val="00566D7F"/>
    <w:rsid w:val="005772B2"/>
    <w:rsid w:val="00586E06"/>
    <w:rsid w:val="005A6A46"/>
    <w:rsid w:val="005B27B1"/>
    <w:rsid w:val="005B2BD1"/>
    <w:rsid w:val="005B2F11"/>
    <w:rsid w:val="005B796C"/>
    <w:rsid w:val="005C203E"/>
    <w:rsid w:val="005C4098"/>
    <w:rsid w:val="005D03A5"/>
    <w:rsid w:val="005D1006"/>
    <w:rsid w:val="005D78D7"/>
    <w:rsid w:val="005E456F"/>
    <w:rsid w:val="005E78CA"/>
    <w:rsid w:val="005F7472"/>
    <w:rsid w:val="006173F3"/>
    <w:rsid w:val="00622CD2"/>
    <w:rsid w:val="00623693"/>
    <w:rsid w:val="00623E7A"/>
    <w:rsid w:val="0062716E"/>
    <w:rsid w:val="0063192B"/>
    <w:rsid w:val="00646FF8"/>
    <w:rsid w:val="00664DC0"/>
    <w:rsid w:val="00676CB9"/>
    <w:rsid w:val="00685FD6"/>
    <w:rsid w:val="00697A80"/>
    <w:rsid w:val="006A7E1F"/>
    <w:rsid w:val="006B0C4B"/>
    <w:rsid w:val="006B0F44"/>
    <w:rsid w:val="006D5400"/>
    <w:rsid w:val="006E4C47"/>
    <w:rsid w:val="00727230"/>
    <w:rsid w:val="007368C0"/>
    <w:rsid w:val="0074254C"/>
    <w:rsid w:val="00750DAE"/>
    <w:rsid w:val="00753932"/>
    <w:rsid w:val="007546EE"/>
    <w:rsid w:val="00774600"/>
    <w:rsid w:val="0077536C"/>
    <w:rsid w:val="00775878"/>
    <w:rsid w:val="00780827"/>
    <w:rsid w:val="00780927"/>
    <w:rsid w:val="007831C1"/>
    <w:rsid w:val="00795CE2"/>
    <w:rsid w:val="007B65C8"/>
    <w:rsid w:val="007B67D3"/>
    <w:rsid w:val="007D2B0E"/>
    <w:rsid w:val="007D7FBB"/>
    <w:rsid w:val="007E0B90"/>
    <w:rsid w:val="007E5AF2"/>
    <w:rsid w:val="008101C7"/>
    <w:rsid w:val="00816066"/>
    <w:rsid w:val="0083033B"/>
    <w:rsid w:val="00831E67"/>
    <w:rsid w:val="00843CA0"/>
    <w:rsid w:val="00854DB7"/>
    <w:rsid w:val="00870845"/>
    <w:rsid w:val="00876880"/>
    <w:rsid w:val="008B004B"/>
    <w:rsid w:val="008E2D1A"/>
    <w:rsid w:val="008E6C8C"/>
    <w:rsid w:val="008F1B97"/>
    <w:rsid w:val="008F47DB"/>
    <w:rsid w:val="008F4E04"/>
    <w:rsid w:val="00901A56"/>
    <w:rsid w:val="00916312"/>
    <w:rsid w:val="00927544"/>
    <w:rsid w:val="00940F17"/>
    <w:rsid w:val="00941EA5"/>
    <w:rsid w:val="00964BC8"/>
    <w:rsid w:val="0097045E"/>
    <w:rsid w:val="0097482E"/>
    <w:rsid w:val="00983C4E"/>
    <w:rsid w:val="009848B2"/>
    <w:rsid w:val="009A1060"/>
    <w:rsid w:val="009C3ADD"/>
    <w:rsid w:val="009C46EC"/>
    <w:rsid w:val="009C6B1F"/>
    <w:rsid w:val="009C732D"/>
    <w:rsid w:val="009D3461"/>
    <w:rsid w:val="009E4E88"/>
    <w:rsid w:val="009E74BE"/>
    <w:rsid w:val="009F49B4"/>
    <w:rsid w:val="00A029BD"/>
    <w:rsid w:val="00A15D6E"/>
    <w:rsid w:val="00A17B73"/>
    <w:rsid w:val="00A25B67"/>
    <w:rsid w:val="00A36B33"/>
    <w:rsid w:val="00A42E60"/>
    <w:rsid w:val="00A52236"/>
    <w:rsid w:val="00A574EA"/>
    <w:rsid w:val="00A6088E"/>
    <w:rsid w:val="00A728EC"/>
    <w:rsid w:val="00A75410"/>
    <w:rsid w:val="00A75458"/>
    <w:rsid w:val="00A841B1"/>
    <w:rsid w:val="00AA548C"/>
    <w:rsid w:val="00AD583F"/>
    <w:rsid w:val="00AE2D7C"/>
    <w:rsid w:val="00B0254C"/>
    <w:rsid w:val="00B030B5"/>
    <w:rsid w:val="00B25D8D"/>
    <w:rsid w:val="00B329ED"/>
    <w:rsid w:val="00B46EF1"/>
    <w:rsid w:val="00B46FCC"/>
    <w:rsid w:val="00B47339"/>
    <w:rsid w:val="00B47A3A"/>
    <w:rsid w:val="00B85C40"/>
    <w:rsid w:val="00BA0244"/>
    <w:rsid w:val="00BA241C"/>
    <w:rsid w:val="00BC43F4"/>
    <w:rsid w:val="00BC643E"/>
    <w:rsid w:val="00BD2451"/>
    <w:rsid w:val="00BE1976"/>
    <w:rsid w:val="00BF2F4A"/>
    <w:rsid w:val="00C04D95"/>
    <w:rsid w:val="00C12167"/>
    <w:rsid w:val="00C22E1D"/>
    <w:rsid w:val="00C335BA"/>
    <w:rsid w:val="00C358A2"/>
    <w:rsid w:val="00C3654F"/>
    <w:rsid w:val="00C403BC"/>
    <w:rsid w:val="00C447BD"/>
    <w:rsid w:val="00C47746"/>
    <w:rsid w:val="00C5129C"/>
    <w:rsid w:val="00C53380"/>
    <w:rsid w:val="00C61A5E"/>
    <w:rsid w:val="00C81A17"/>
    <w:rsid w:val="00CA0F5A"/>
    <w:rsid w:val="00CA575D"/>
    <w:rsid w:val="00CB0D3D"/>
    <w:rsid w:val="00CB11F0"/>
    <w:rsid w:val="00CB1F6D"/>
    <w:rsid w:val="00CD65A9"/>
    <w:rsid w:val="00CD6BB8"/>
    <w:rsid w:val="00CE7A1D"/>
    <w:rsid w:val="00CF10D8"/>
    <w:rsid w:val="00D042D4"/>
    <w:rsid w:val="00D07B67"/>
    <w:rsid w:val="00D12F96"/>
    <w:rsid w:val="00D20C3C"/>
    <w:rsid w:val="00D31805"/>
    <w:rsid w:val="00D32700"/>
    <w:rsid w:val="00D32D0B"/>
    <w:rsid w:val="00D612CA"/>
    <w:rsid w:val="00D67F06"/>
    <w:rsid w:val="00D74200"/>
    <w:rsid w:val="00D7613F"/>
    <w:rsid w:val="00D820D6"/>
    <w:rsid w:val="00D8360E"/>
    <w:rsid w:val="00D85AC6"/>
    <w:rsid w:val="00DB373D"/>
    <w:rsid w:val="00DB40D9"/>
    <w:rsid w:val="00DB4EAF"/>
    <w:rsid w:val="00DC450D"/>
    <w:rsid w:val="00DD26EF"/>
    <w:rsid w:val="00DD34BB"/>
    <w:rsid w:val="00DD5275"/>
    <w:rsid w:val="00DE04F2"/>
    <w:rsid w:val="00DE1F08"/>
    <w:rsid w:val="00DE60CD"/>
    <w:rsid w:val="00DE7276"/>
    <w:rsid w:val="00E0746D"/>
    <w:rsid w:val="00E12641"/>
    <w:rsid w:val="00E12DF2"/>
    <w:rsid w:val="00E35C29"/>
    <w:rsid w:val="00E430A7"/>
    <w:rsid w:val="00E53AD1"/>
    <w:rsid w:val="00E54D57"/>
    <w:rsid w:val="00E62B5D"/>
    <w:rsid w:val="00E67930"/>
    <w:rsid w:val="00E76BB5"/>
    <w:rsid w:val="00E84E6A"/>
    <w:rsid w:val="00E90AD3"/>
    <w:rsid w:val="00E961F6"/>
    <w:rsid w:val="00EA795E"/>
    <w:rsid w:val="00EB38E9"/>
    <w:rsid w:val="00EC408A"/>
    <w:rsid w:val="00EC4494"/>
    <w:rsid w:val="00EC75FC"/>
    <w:rsid w:val="00ED15EC"/>
    <w:rsid w:val="00ED65C0"/>
    <w:rsid w:val="00EF15C3"/>
    <w:rsid w:val="00EF5ABE"/>
    <w:rsid w:val="00F208BD"/>
    <w:rsid w:val="00F21FE8"/>
    <w:rsid w:val="00F416D5"/>
    <w:rsid w:val="00F7752B"/>
    <w:rsid w:val="00F81B78"/>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fn Ch,fn Char"/>
    <w:link w:val="FootnoteTextChar"/>
    <w:pPr>
      <w:tabs>
        <w:tab w:val="left" w:pos="720"/>
        <w:tab w:val="left" w:pos="1440"/>
      </w:tabs>
      <w:spacing w:after="200"/>
      <w:ind w:right="144"/>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fn Char1"/>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