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13EF3" w:rsidRPr="006D5400" w:rsidP="00BF2F4A" w14:paraId="4FF0411C" w14:textId="77777777">
      <w:pPr>
        <w:pStyle w:val="Title"/>
        <w:rPr>
          <w:szCs w:val="22"/>
        </w:rPr>
      </w:pPr>
      <w:r w:rsidRPr="006D5400">
        <w:rPr>
          <w:szCs w:val="22"/>
        </w:rPr>
        <w:t>Before the</w:t>
      </w:r>
    </w:p>
    <w:p w:rsidR="00313EF3" w:rsidRPr="006D5400" w14:paraId="4EFEB5D3" w14:textId="77777777">
      <w:pPr>
        <w:pStyle w:val="Subtitle"/>
        <w:ind w:firstLine="0"/>
        <w:rPr>
          <w:szCs w:val="22"/>
        </w:rPr>
      </w:pPr>
      <w:r w:rsidRPr="006D5400">
        <w:rPr>
          <w:szCs w:val="22"/>
        </w:rPr>
        <w:t>Federal Communications Commission</w:t>
      </w:r>
    </w:p>
    <w:p w:rsidR="00313EF3" w:rsidRPr="00524588" w:rsidP="00524588" w14:paraId="1C9233A6" w14:textId="77777777">
      <w:pPr>
        <w:jc w:val="center"/>
        <w:rPr>
          <w:b/>
          <w:szCs w:val="22"/>
        </w:rPr>
      </w:pPr>
      <w:r w:rsidRPr="006D5400">
        <w:rPr>
          <w:b/>
          <w:szCs w:val="22"/>
        </w:rPr>
        <w:t>Washington, D.C. 20554</w:t>
      </w:r>
    </w:p>
    <w:p w:rsidR="00313EF3" w:rsidRPr="006D5400" w14:paraId="2FD43289" w14:textId="77777777">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14:paraId="61E6896B" w14:textId="77777777" w:rsidTr="00DE1F08">
        <w:tblPrEx>
          <w:tblW w:w="0" w:type="auto"/>
          <w:tblLayout w:type="fixed"/>
          <w:tblLook w:val="0000"/>
        </w:tblPrEx>
        <w:tc>
          <w:tcPr>
            <w:tcW w:w="4698" w:type="dxa"/>
          </w:tcPr>
          <w:p w:rsidR="00313EF3" w:rsidRPr="006D5400" w14:paraId="7AA37354" w14:textId="77777777">
            <w:pPr>
              <w:pStyle w:val="TOAHeading"/>
              <w:tabs>
                <w:tab w:val="center" w:pos="4680"/>
                <w:tab w:val="clear" w:pos="9360"/>
              </w:tabs>
              <w:rPr>
                <w:spacing w:val="-2"/>
                <w:szCs w:val="22"/>
              </w:rPr>
            </w:pPr>
            <w:r w:rsidRPr="006D5400">
              <w:rPr>
                <w:spacing w:val="-2"/>
                <w:szCs w:val="22"/>
              </w:rPr>
              <w:t>In the Matter of</w:t>
            </w:r>
          </w:p>
          <w:p w:rsidR="00313EF3" w:rsidRPr="006D5400" w14:paraId="6B8C5B3E" w14:textId="77777777">
            <w:pPr>
              <w:tabs>
                <w:tab w:val="center" w:pos="4680"/>
              </w:tabs>
              <w:suppressAutoHyphens/>
              <w:rPr>
                <w:spacing w:val="-2"/>
                <w:szCs w:val="22"/>
              </w:rPr>
            </w:pPr>
          </w:p>
          <w:p w:rsidR="00422B9B" w:rsidRPr="006D5400" w:rsidP="00422B9B" w14:paraId="029551F0" w14:textId="77777777">
            <w:pPr>
              <w:tabs>
                <w:tab w:val="center" w:pos="4680"/>
              </w:tabs>
              <w:suppressAutoHyphens/>
              <w:rPr>
                <w:szCs w:val="22"/>
              </w:rPr>
            </w:pPr>
            <w:r>
              <w:rPr>
                <w:szCs w:val="22"/>
              </w:rPr>
              <w:t>Telplex</w:t>
            </w:r>
            <w:r>
              <w:rPr>
                <w:szCs w:val="22"/>
              </w:rPr>
              <w:t xml:space="preserve"> Communications</w:t>
            </w:r>
          </w:p>
          <w:p w:rsidR="001C67AE" w:rsidRPr="006D5400" w:rsidP="00422B9B" w14:paraId="357513C5" w14:textId="77777777">
            <w:pPr>
              <w:tabs>
                <w:tab w:val="center" w:pos="4680"/>
              </w:tabs>
              <w:suppressAutoHyphens/>
              <w:rPr>
                <w:szCs w:val="22"/>
              </w:rPr>
            </w:pPr>
          </w:p>
          <w:p w:rsidR="00313EF3" w:rsidRPr="006D5400" w14:paraId="67842D28" w14:textId="77777777">
            <w:pPr>
              <w:pStyle w:val="TOAHeading"/>
              <w:tabs>
                <w:tab w:val="center" w:pos="4680"/>
                <w:tab w:val="clear" w:pos="9360"/>
              </w:tabs>
              <w:rPr>
                <w:szCs w:val="22"/>
              </w:rPr>
            </w:pPr>
            <w:r w:rsidRPr="006D5400">
              <w:rPr>
                <w:szCs w:val="22"/>
              </w:rPr>
              <w:t xml:space="preserve">Complaint Regarding </w:t>
            </w:r>
          </w:p>
          <w:p w:rsidR="00313EF3" w:rsidRPr="006D5400" w14:paraId="54C5380A" w14:textId="77777777">
            <w:pPr>
              <w:pStyle w:val="TOAHeading"/>
              <w:tabs>
                <w:tab w:val="center" w:pos="4680"/>
                <w:tab w:val="clear" w:pos="9360"/>
              </w:tabs>
              <w:rPr>
                <w:szCs w:val="22"/>
              </w:rPr>
            </w:pPr>
            <w:r w:rsidRPr="006D5400">
              <w:rPr>
                <w:szCs w:val="22"/>
              </w:rPr>
              <w:t>Unauthorized Change of</w:t>
            </w:r>
          </w:p>
          <w:p w:rsidR="00313EF3" w:rsidRPr="006D5400" w14:paraId="2D03AFAD" w14:textId="77777777">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14:paraId="017743BD" w14:textId="77777777">
            <w:pPr>
              <w:tabs>
                <w:tab w:val="center" w:pos="4680"/>
              </w:tabs>
              <w:suppressAutoHyphens/>
              <w:rPr>
                <w:b/>
                <w:spacing w:val="-2"/>
                <w:szCs w:val="22"/>
              </w:rPr>
            </w:pPr>
            <w:r w:rsidRPr="006D5400">
              <w:rPr>
                <w:b/>
                <w:spacing w:val="-2"/>
                <w:szCs w:val="22"/>
              </w:rPr>
              <w:t>)</w:t>
            </w:r>
          </w:p>
          <w:p w:rsidR="00313EF3" w:rsidRPr="006D5400" w14:paraId="576E4C80" w14:textId="77777777">
            <w:pPr>
              <w:tabs>
                <w:tab w:val="center" w:pos="4680"/>
              </w:tabs>
              <w:suppressAutoHyphens/>
              <w:rPr>
                <w:b/>
                <w:spacing w:val="-2"/>
                <w:szCs w:val="22"/>
              </w:rPr>
            </w:pPr>
            <w:r w:rsidRPr="006D5400">
              <w:rPr>
                <w:b/>
                <w:spacing w:val="-2"/>
                <w:szCs w:val="22"/>
              </w:rPr>
              <w:t>)</w:t>
            </w:r>
          </w:p>
          <w:p w:rsidR="00313EF3" w:rsidRPr="006D5400" w14:paraId="3D79B619" w14:textId="77777777">
            <w:pPr>
              <w:tabs>
                <w:tab w:val="center" w:pos="4680"/>
              </w:tabs>
              <w:suppressAutoHyphens/>
              <w:rPr>
                <w:b/>
                <w:spacing w:val="-2"/>
                <w:szCs w:val="22"/>
              </w:rPr>
            </w:pPr>
            <w:r w:rsidRPr="006D5400">
              <w:rPr>
                <w:b/>
                <w:spacing w:val="-2"/>
                <w:szCs w:val="22"/>
              </w:rPr>
              <w:t>)</w:t>
            </w:r>
          </w:p>
          <w:p w:rsidR="00313EF3" w:rsidRPr="006D5400" w14:paraId="014BBC18" w14:textId="77777777">
            <w:pPr>
              <w:tabs>
                <w:tab w:val="center" w:pos="4680"/>
              </w:tabs>
              <w:suppressAutoHyphens/>
              <w:rPr>
                <w:b/>
                <w:spacing w:val="-2"/>
                <w:szCs w:val="22"/>
              </w:rPr>
            </w:pPr>
            <w:r w:rsidRPr="006D5400">
              <w:rPr>
                <w:b/>
                <w:spacing w:val="-2"/>
                <w:szCs w:val="22"/>
              </w:rPr>
              <w:t>)</w:t>
            </w:r>
          </w:p>
          <w:p w:rsidR="00313EF3" w:rsidRPr="006D5400" w14:paraId="517BA47B" w14:textId="77777777">
            <w:pPr>
              <w:tabs>
                <w:tab w:val="center" w:pos="4680"/>
              </w:tabs>
              <w:suppressAutoHyphens/>
              <w:rPr>
                <w:b/>
                <w:spacing w:val="-2"/>
                <w:szCs w:val="22"/>
              </w:rPr>
            </w:pPr>
            <w:r w:rsidRPr="006D5400">
              <w:rPr>
                <w:b/>
                <w:spacing w:val="-2"/>
                <w:szCs w:val="22"/>
              </w:rPr>
              <w:t>)</w:t>
            </w:r>
          </w:p>
          <w:p w:rsidR="00313EF3" w:rsidRPr="006D5400" w14:paraId="0F61F2A2" w14:textId="77777777">
            <w:pPr>
              <w:tabs>
                <w:tab w:val="center" w:pos="4680"/>
              </w:tabs>
              <w:suppressAutoHyphens/>
              <w:rPr>
                <w:b/>
                <w:spacing w:val="-2"/>
                <w:szCs w:val="22"/>
              </w:rPr>
            </w:pPr>
            <w:r w:rsidRPr="006D5400">
              <w:rPr>
                <w:b/>
                <w:spacing w:val="-2"/>
                <w:szCs w:val="22"/>
              </w:rPr>
              <w:t>)</w:t>
            </w:r>
          </w:p>
          <w:p w:rsidR="00313EF3" w:rsidRPr="006D5400" w14:paraId="3BA5D7AA" w14:textId="77777777">
            <w:pPr>
              <w:tabs>
                <w:tab w:val="center" w:pos="4680"/>
              </w:tabs>
              <w:suppressAutoHyphens/>
              <w:rPr>
                <w:b/>
                <w:spacing w:val="-2"/>
                <w:szCs w:val="22"/>
              </w:rPr>
            </w:pPr>
            <w:r w:rsidRPr="006D5400">
              <w:rPr>
                <w:b/>
                <w:spacing w:val="-2"/>
                <w:szCs w:val="22"/>
              </w:rPr>
              <w:t>)</w:t>
            </w:r>
          </w:p>
          <w:p w:rsidR="00DE1F08" w:rsidRPr="006D5400" w14:paraId="644F720B" w14:textId="77777777">
            <w:pPr>
              <w:tabs>
                <w:tab w:val="center" w:pos="4680"/>
              </w:tabs>
              <w:suppressAutoHyphens/>
              <w:rPr>
                <w:b/>
                <w:spacing w:val="-2"/>
                <w:szCs w:val="22"/>
              </w:rPr>
            </w:pPr>
          </w:p>
          <w:p w:rsidR="00E84E6A" w:rsidRPr="006D5400" w14:paraId="56D6EF4E" w14:textId="77777777">
            <w:pPr>
              <w:tabs>
                <w:tab w:val="center" w:pos="4680"/>
              </w:tabs>
              <w:suppressAutoHyphens/>
              <w:rPr>
                <w:b/>
                <w:spacing w:val="-2"/>
                <w:szCs w:val="22"/>
              </w:rPr>
            </w:pPr>
          </w:p>
        </w:tc>
        <w:tc>
          <w:tcPr>
            <w:tcW w:w="4248" w:type="dxa"/>
          </w:tcPr>
          <w:p w:rsidR="00313EF3" w:rsidRPr="006D5400" w14:paraId="0EA75EFA" w14:textId="77777777">
            <w:pPr>
              <w:tabs>
                <w:tab w:val="center" w:pos="4680"/>
              </w:tabs>
              <w:suppressAutoHyphens/>
              <w:rPr>
                <w:spacing w:val="-2"/>
                <w:szCs w:val="22"/>
              </w:rPr>
            </w:pPr>
          </w:p>
          <w:p w:rsidR="00313EF3" w:rsidRPr="006D5400" w14:paraId="45F355EA" w14:textId="77777777">
            <w:pPr>
              <w:tabs>
                <w:tab w:val="center" w:pos="4680"/>
              </w:tabs>
              <w:suppressAutoHyphens/>
              <w:rPr>
                <w:spacing w:val="-2"/>
                <w:szCs w:val="22"/>
              </w:rPr>
            </w:pPr>
          </w:p>
          <w:p w:rsidR="00697A80" w:rsidRPr="006D5400" w:rsidP="00C81A17" w14:paraId="2333DB95" w14:textId="0446A69A">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009C3ADD">
              <w:rPr>
                <w:szCs w:val="22"/>
              </w:rPr>
              <w:t>3</w:t>
            </w:r>
            <w:r w:rsidR="00013046">
              <w:rPr>
                <w:szCs w:val="22"/>
              </w:rPr>
              <w:t>657024</w:t>
            </w:r>
          </w:p>
          <w:p w:rsidR="00DE1F08" w:rsidRPr="006D5400" w:rsidP="00DE1F08" w14:paraId="177BBA59" w14:textId="77777777">
            <w:pPr>
              <w:rPr>
                <w:szCs w:val="22"/>
              </w:rPr>
            </w:pPr>
            <w:r w:rsidRPr="006D5400">
              <w:rPr>
                <w:szCs w:val="22"/>
              </w:rPr>
              <w:t xml:space="preserve">              </w:t>
            </w:r>
            <w:r w:rsidRPr="006D5400" w:rsidR="000715F6">
              <w:rPr>
                <w:szCs w:val="22"/>
              </w:rPr>
              <w:t xml:space="preserve">             </w:t>
            </w:r>
          </w:p>
          <w:p w:rsidR="00E84E6A" w:rsidRPr="006D5400" w:rsidP="00E84E6A" w14:paraId="00A8AC4C" w14:textId="77777777">
            <w:pPr>
              <w:rPr>
                <w:szCs w:val="22"/>
              </w:rPr>
            </w:pPr>
          </w:p>
        </w:tc>
      </w:tr>
    </w:tbl>
    <w:p w:rsidR="00313EF3" w:rsidRPr="006D5400" w:rsidP="00CD6BB8" w14:paraId="6432B559" w14:textId="77777777">
      <w:pPr>
        <w:jc w:val="center"/>
        <w:rPr>
          <w:b/>
          <w:szCs w:val="22"/>
        </w:rPr>
      </w:pPr>
      <w:r w:rsidRPr="006D5400">
        <w:rPr>
          <w:b/>
          <w:szCs w:val="22"/>
        </w:rPr>
        <w:t>O</w:t>
      </w:r>
      <w:r w:rsidRPr="006D5400">
        <w:rPr>
          <w:b/>
          <w:szCs w:val="22"/>
        </w:rPr>
        <w:t>RDER</w:t>
      </w:r>
    </w:p>
    <w:p w:rsidR="00313EF3" w:rsidRPr="006D5400" w14:paraId="0863F6B8" w14:textId="77777777">
      <w:pPr>
        <w:tabs>
          <w:tab w:val="left" w:pos="-720"/>
        </w:tabs>
        <w:suppressAutoHyphens/>
        <w:spacing w:line="227" w:lineRule="auto"/>
        <w:ind w:left="720"/>
        <w:rPr>
          <w:spacing w:val="-2"/>
          <w:szCs w:val="22"/>
        </w:rPr>
      </w:pPr>
    </w:p>
    <w:p w:rsidR="00313EF3" w:rsidRPr="009C3ADD" w14:paraId="7DFCAD15" w14:textId="7271D71E">
      <w:pPr>
        <w:tabs>
          <w:tab w:val="left" w:pos="0"/>
          <w:tab w:val="left" w:pos="5760"/>
        </w:tabs>
        <w:suppressAutoHyphens/>
        <w:spacing w:line="227" w:lineRule="auto"/>
        <w:jc w:val="left"/>
        <w:rPr>
          <w:b/>
          <w:spacing w:val="-2"/>
          <w:szCs w:val="22"/>
        </w:rPr>
      </w:pPr>
      <w:r w:rsidRPr="006D5400">
        <w:rPr>
          <w:b/>
          <w:spacing w:val="-2"/>
          <w:szCs w:val="22"/>
        </w:rPr>
        <w:t xml:space="preserve">Adopted: </w:t>
      </w:r>
      <w:r w:rsidR="004E0015">
        <w:rPr>
          <w:b/>
          <w:spacing w:val="-2"/>
          <w:szCs w:val="22"/>
        </w:rPr>
        <w:t>March 3</w:t>
      </w:r>
      <w:r w:rsidR="001E68F1">
        <w:rPr>
          <w:b/>
          <w:spacing w:val="-2"/>
          <w:szCs w:val="22"/>
        </w:rPr>
        <w:t>,</w:t>
      </w:r>
      <w:r w:rsidRPr="006D5400" w:rsidR="00236AA1">
        <w:rPr>
          <w:b/>
          <w:spacing w:val="-2"/>
          <w:szCs w:val="22"/>
        </w:rPr>
        <w:t xml:space="preserve"> </w:t>
      </w:r>
      <w:r w:rsidRPr="006D5400" w:rsidR="00454DF3">
        <w:rPr>
          <w:b/>
          <w:spacing w:val="-2"/>
          <w:szCs w:val="22"/>
        </w:rPr>
        <w:t>20</w:t>
      </w:r>
      <w:r w:rsidR="00ED48F5">
        <w:rPr>
          <w:b/>
          <w:spacing w:val="-2"/>
          <w:szCs w:val="22"/>
        </w:rPr>
        <w:t>20</w:t>
      </w:r>
      <w:r w:rsidR="00BF2F4A">
        <w:rPr>
          <w:b/>
          <w:spacing w:val="-2"/>
          <w:szCs w:val="22"/>
        </w:rPr>
        <w:tab/>
      </w:r>
      <w:r w:rsidRPr="006D5400">
        <w:rPr>
          <w:b/>
          <w:spacing w:val="-2"/>
          <w:szCs w:val="22"/>
        </w:rPr>
        <w:t>Released:</w:t>
      </w:r>
      <w:r w:rsidRPr="006D5400" w:rsidR="00676CB9">
        <w:rPr>
          <w:b/>
          <w:spacing w:val="-2"/>
          <w:szCs w:val="22"/>
        </w:rPr>
        <w:t xml:space="preserve"> </w:t>
      </w:r>
      <w:r w:rsidR="004E0015">
        <w:rPr>
          <w:b/>
          <w:spacing w:val="-2"/>
          <w:szCs w:val="22"/>
        </w:rPr>
        <w:t>March 4</w:t>
      </w:r>
      <w:r w:rsidRPr="006D5400" w:rsidR="00236AA1">
        <w:rPr>
          <w:b/>
          <w:spacing w:val="-2"/>
          <w:szCs w:val="22"/>
        </w:rPr>
        <w:t xml:space="preserve">, </w:t>
      </w:r>
      <w:r w:rsidRPr="006D5400">
        <w:rPr>
          <w:b/>
          <w:spacing w:val="-2"/>
          <w:szCs w:val="22"/>
        </w:rPr>
        <w:t>20</w:t>
      </w:r>
      <w:r w:rsidR="00ED48F5">
        <w:rPr>
          <w:b/>
          <w:spacing w:val="-2"/>
          <w:szCs w:val="22"/>
        </w:rPr>
        <w:t>20</w:t>
      </w:r>
    </w:p>
    <w:p w:rsidR="00313EF3" w:rsidRPr="006D5400" w14:paraId="61890054" w14:textId="77777777">
      <w:pPr>
        <w:rPr>
          <w:szCs w:val="22"/>
        </w:rPr>
      </w:pPr>
    </w:p>
    <w:p w:rsidR="00313EF3" w:rsidRPr="006D5400" w:rsidP="0062716E" w14:paraId="5FDE808A" w14:textId="77777777">
      <w:pPr>
        <w:spacing w:after="120"/>
        <w:rPr>
          <w:szCs w:val="22"/>
        </w:rPr>
      </w:pPr>
      <w:r w:rsidRPr="006D5400">
        <w:rPr>
          <w:szCs w:val="22"/>
        </w:rPr>
        <w:t xml:space="preserve">By </w:t>
      </w:r>
      <w:r w:rsidRPr="0074578D">
        <w:rPr>
          <w:szCs w:val="22"/>
        </w:rPr>
        <w:t xml:space="preserve">the </w:t>
      </w:r>
      <w:r w:rsidRPr="0074578D" w:rsidR="000B7A45">
        <w:rPr>
          <w:szCs w:val="22"/>
        </w:rPr>
        <w:t xml:space="preserve">Chief, </w:t>
      </w:r>
      <w:r w:rsidRPr="0074578D" w:rsidR="004914A3">
        <w:rPr>
          <w:szCs w:val="22"/>
        </w:rPr>
        <w:t xml:space="preserve">Consumer Policy Division, </w:t>
      </w:r>
      <w:r w:rsidRPr="0074578D" w:rsidR="000B7A45">
        <w:rPr>
          <w:szCs w:val="22"/>
        </w:rPr>
        <w:t>Consumer</w:t>
      </w:r>
      <w:r w:rsidRPr="006D5400" w:rsidR="000B7A45">
        <w:rPr>
          <w:szCs w:val="22"/>
        </w:rPr>
        <w:t xml:space="preserve"> </w:t>
      </w:r>
      <w:r w:rsidRPr="006D5400" w:rsidR="0074254C">
        <w:rPr>
          <w:szCs w:val="22"/>
        </w:rPr>
        <w:t>and</w:t>
      </w:r>
      <w:r w:rsidRPr="006D5400" w:rsidR="000B7A45">
        <w:rPr>
          <w:szCs w:val="22"/>
        </w:rPr>
        <w:t xml:space="preserve"> Governmental Affairs Bureau:</w:t>
      </w:r>
    </w:p>
    <w:p w:rsidR="00313EF3" w:rsidRPr="006D5400" w:rsidP="0062716E" w14:paraId="75F608CB" w14:textId="77777777">
      <w:pPr>
        <w:numPr>
          <w:ilvl w:val="0"/>
          <w:numId w:val="4"/>
        </w:numPr>
        <w:tabs>
          <w:tab w:val="num" w:pos="0"/>
          <w:tab w:val="clear" w:pos="1440"/>
        </w:tabs>
        <w:spacing w:after="120"/>
        <w:ind w:left="0" w:firstLine="720"/>
        <w:jc w:val="left"/>
        <w:rPr>
          <w:szCs w:val="22"/>
        </w:rPr>
      </w:pPr>
      <w:r w:rsidRPr="006D5400">
        <w:rPr>
          <w:szCs w:val="22"/>
        </w:rPr>
        <w:t xml:space="preserve">In this Order, we consider </w:t>
      </w:r>
      <w:r w:rsidR="00DE7276">
        <w:rPr>
          <w:szCs w:val="22"/>
        </w:rPr>
        <w:t>a</w:t>
      </w:r>
      <w:r w:rsidRPr="006D5400">
        <w:rPr>
          <w:szCs w:val="22"/>
        </w:rPr>
        <w:t xml:space="preserve"> complaint alleging that</w:t>
      </w:r>
      <w:r w:rsidRPr="006D5400" w:rsidR="00DD5275">
        <w:rPr>
          <w:szCs w:val="22"/>
        </w:rPr>
        <w:t xml:space="preserve"> </w:t>
      </w:r>
      <w:r w:rsidR="009C3ADD">
        <w:rPr>
          <w:szCs w:val="22"/>
        </w:rPr>
        <w:t>Telplex</w:t>
      </w:r>
      <w:r w:rsidR="009C3ADD">
        <w:rPr>
          <w:szCs w:val="22"/>
        </w:rPr>
        <w:t xml:space="preserve"> Communications </w:t>
      </w:r>
      <w:r w:rsidRPr="006D5400" w:rsidR="001204B1">
        <w:rPr>
          <w:szCs w:val="22"/>
        </w:rPr>
        <w:t>(</w:t>
      </w:r>
      <w:r w:rsidR="009C3ADD">
        <w:rPr>
          <w:szCs w:val="22"/>
        </w:rPr>
        <w:t>Telplex</w:t>
      </w:r>
      <w:r w:rsidRPr="006D5400" w:rsidR="001204B1">
        <w:rPr>
          <w:szCs w:val="22"/>
        </w:rPr>
        <w:t xml:space="preserve">) </w:t>
      </w:r>
      <w:r w:rsidRPr="006D5400">
        <w:rPr>
          <w:szCs w:val="22"/>
        </w:rPr>
        <w:t>changed Complainant</w:t>
      </w:r>
      <w:r w:rsidRPr="006D5400" w:rsidR="00DE1F08">
        <w:rPr>
          <w:szCs w:val="22"/>
        </w:rPr>
        <w:t>’</w:t>
      </w:r>
      <w:r w:rsidRPr="006D5400">
        <w:rPr>
          <w:szCs w:val="22"/>
        </w:rPr>
        <w:t>s telecommun</w:t>
      </w:r>
      <w:bookmarkStart w:id="0" w:name="_GoBack"/>
      <w:bookmarkEnd w:id="0"/>
      <w:r w:rsidRPr="006D5400">
        <w:rPr>
          <w:szCs w:val="22"/>
        </w:rPr>
        <w:t>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sidR="00DE7276">
        <w:rPr>
          <w:szCs w:val="22"/>
        </w:rPr>
        <w:t>.</w:t>
      </w:r>
      <w:r>
        <w:rPr>
          <w:rStyle w:val="FootnoteReference"/>
          <w:szCs w:val="22"/>
        </w:rPr>
        <w:footnoteReference w:id="3"/>
      </w:r>
      <w:r w:rsidRPr="006D5400">
        <w:rPr>
          <w:szCs w:val="22"/>
        </w:rPr>
        <w:t xml:space="preserve">  We </w:t>
      </w:r>
      <w:r w:rsidR="00DE7276">
        <w:rPr>
          <w:szCs w:val="22"/>
        </w:rPr>
        <w:t>find</w:t>
      </w:r>
      <w:r w:rsidRPr="006D5400">
        <w:rPr>
          <w:szCs w:val="22"/>
        </w:rPr>
        <w:t xml:space="preserve"> that</w:t>
      </w:r>
      <w:r w:rsidRPr="006D5400" w:rsidR="004914A3">
        <w:rPr>
          <w:szCs w:val="22"/>
        </w:rPr>
        <w:t xml:space="preserve"> </w:t>
      </w:r>
      <w:r w:rsidR="009C3ADD">
        <w:rPr>
          <w:szCs w:val="22"/>
        </w:rPr>
        <w:t>Telplex</w:t>
      </w:r>
      <w:r w:rsidRPr="006D5400" w:rsidR="003A1EBA">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2716E" w14:paraId="7ABC4BB4" w14:textId="4C8BAEA5">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4"/>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5"/>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6"/>
      </w:r>
      <w:r w:rsidRPr="006D5400" w:rsidR="00775878">
        <w:rPr>
          <w:szCs w:val="22"/>
        </w:rPr>
        <w:t xml:space="preserve">  The Commission also has adopted rules to limit the liability of subscribers when a</w:t>
      </w:r>
      <w:r w:rsidR="0074578D">
        <w:rPr>
          <w:szCs w:val="22"/>
        </w:rPr>
        <w:t>n unauthorized</w:t>
      </w:r>
      <w:r w:rsidRPr="006D5400" w:rsidR="00775878">
        <w:rPr>
          <w:szCs w:val="22"/>
        </w:rPr>
        <w:t xml:space="preserve"> carrier change occurs, and to require carriers involved in slamming practices to compensate subscribers whose carriers were changed without authorization.</w:t>
      </w:r>
      <w:r>
        <w:rPr>
          <w:rStyle w:val="FootnoteReference"/>
          <w:szCs w:val="22"/>
        </w:rPr>
        <w:footnoteReference w:id="7"/>
      </w:r>
      <w:r w:rsidRPr="006D5400" w:rsidR="00775878">
        <w:rPr>
          <w:szCs w:val="22"/>
        </w:rPr>
        <w:t xml:space="preserve"> </w:t>
      </w:r>
      <w:r w:rsidRPr="006D5400">
        <w:rPr>
          <w:szCs w:val="22"/>
        </w:rPr>
        <w:t xml:space="preserve">  </w:t>
      </w:r>
    </w:p>
    <w:p w:rsidR="00242581" w:rsidP="00242581" w14:paraId="24B13141" w14:textId="656B4077">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w:t>
      </w:r>
      <w:r>
        <w:rPr>
          <w:rStyle w:val="FootnoteReference"/>
          <w:szCs w:val="22"/>
        </w:rPr>
        <w:footnoteReference w:id="8"/>
      </w:r>
      <w:r w:rsidRPr="006D5400">
        <w:rPr>
          <w:szCs w:val="22"/>
        </w:rPr>
        <w:t xml:space="preserve">  </w:t>
      </w:r>
      <w:r w:rsidR="00664DC0">
        <w:rPr>
          <w:szCs w:val="22"/>
        </w:rPr>
        <w:t xml:space="preserve">In the complaint, Complainant also alleges that </w:t>
      </w:r>
      <w:r w:rsidR="004A208D">
        <w:rPr>
          <w:szCs w:val="22"/>
        </w:rPr>
        <w:t>his business started receiving calls and emails from what he believed was AT&amp;T</w:t>
      </w:r>
      <w:r w:rsidR="00F8793B">
        <w:rPr>
          <w:szCs w:val="22"/>
        </w:rPr>
        <w:t>, his current service provider</w:t>
      </w:r>
      <w:r w:rsidR="004A208D">
        <w:rPr>
          <w:szCs w:val="22"/>
        </w:rPr>
        <w:t>.  “They told me that they were discontinuing our landlines and that I must switch to a digital system . . . I asked them if they were AT&amp;T and they said yes they were.”</w:t>
      </w:r>
      <w:r>
        <w:rPr>
          <w:rStyle w:val="FootnoteReference"/>
          <w:szCs w:val="22"/>
        </w:rPr>
        <w:footnoteReference w:id="9"/>
      </w:r>
      <w:r w:rsidR="004A208D">
        <w:rPr>
          <w:szCs w:val="22"/>
        </w:rPr>
        <w:t xml:space="preserve">  Complainant states that he was </w:t>
      </w:r>
      <w:r w:rsidR="00DB73E3">
        <w:rPr>
          <w:szCs w:val="22"/>
        </w:rPr>
        <w:t xml:space="preserve">also </w:t>
      </w:r>
      <w:r w:rsidR="004A208D">
        <w:rPr>
          <w:szCs w:val="22"/>
        </w:rPr>
        <w:t>told tha</w:t>
      </w:r>
      <w:r w:rsidR="00DB73E3">
        <w:rPr>
          <w:szCs w:val="22"/>
        </w:rPr>
        <w:t xml:space="preserve">t </w:t>
      </w:r>
      <w:r w:rsidR="004A208D">
        <w:rPr>
          <w:szCs w:val="22"/>
        </w:rPr>
        <w:t>Telplex</w:t>
      </w:r>
      <w:r w:rsidR="004A208D">
        <w:rPr>
          <w:szCs w:val="22"/>
        </w:rPr>
        <w:t xml:space="preserve"> “would be billing for AT&amp;T.”  </w:t>
      </w:r>
      <w:r w:rsidR="00FB118B">
        <w:rPr>
          <w:szCs w:val="22"/>
        </w:rPr>
        <w:t xml:space="preserve">After he received a bill that was twice what he had been paying, he called </w:t>
      </w:r>
      <w:r w:rsidR="004A208D">
        <w:rPr>
          <w:szCs w:val="22"/>
        </w:rPr>
        <w:t xml:space="preserve">AT&amp;T and was told that </w:t>
      </w:r>
      <w:r w:rsidR="00F8793B">
        <w:rPr>
          <w:szCs w:val="22"/>
        </w:rPr>
        <w:t>“</w:t>
      </w:r>
      <w:r w:rsidR="004A208D">
        <w:rPr>
          <w:szCs w:val="22"/>
        </w:rPr>
        <w:t>Telplex</w:t>
      </w:r>
      <w:r w:rsidR="004A208D">
        <w:rPr>
          <w:szCs w:val="22"/>
        </w:rPr>
        <w:t xml:space="preserve"> was not AT&amp;T and that I was mi</w:t>
      </w:r>
      <w:r w:rsidR="00F8793B">
        <w:rPr>
          <w:szCs w:val="22"/>
        </w:rPr>
        <w:t>s</w:t>
      </w:r>
      <w:r w:rsidR="004A208D">
        <w:rPr>
          <w:szCs w:val="22"/>
        </w:rPr>
        <w:t>led.</w:t>
      </w:r>
      <w:r w:rsidR="00F8793B">
        <w:rPr>
          <w:szCs w:val="22"/>
        </w:rPr>
        <w:t>”</w:t>
      </w:r>
      <w:r>
        <w:rPr>
          <w:rStyle w:val="FootnoteReference"/>
          <w:szCs w:val="22"/>
        </w:rPr>
        <w:footnoteReference w:id="10"/>
      </w:r>
      <w:r w:rsidR="004A208D">
        <w:rPr>
          <w:szCs w:val="22"/>
        </w:rPr>
        <w:t xml:space="preserve">  </w:t>
      </w:r>
    </w:p>
    <w:p w:rsidR="00242581" w:rsidRPr="00242581" w:rsidP="00242581" w14:paraId="3CBB3DA4" w14:textId="4E2B3FD2">
      <w:pPr>
        <w:numPr>
          <w:ilvl w:val="0"/>
          <w:numId w:val="4"/>
        </w:numPr>
        <w:tabs>
          <w:tab w:val="clear" w:pos="1440"/>
        </w:tabs>
        <w:spacing w:after="120"/>
        <w:ind w:left="0" w:firstLine="720"/>
        <w:jc w:val="left"/>
        <w:rPr>
          <w:szCs w:val="22"/>
        </w:rPr>
      </w:pPr>
      <w:r w:rsidRPr="00142D97">
        <w:t>Pursuant t</w:t>
      </w:r>
      <w:r w:rsidR="00AA548C">
        <w:t xml:space="preserve">o </w:t>
      </w:r>
      <w:r w:rsidRPr="00142D97">
        <w:t xml:space="preserve">our rules, we notified </w:t>
      </w:r>
      <w:r w:rsidR="009C3ADD">
        <w:t>Telplex</w:t>
      </w:r>
      <w:r>
        <w:t xml:space="preserve"> of the complaint</w:t>
      </w:r>
      <w:r w:rsidR="00753932">
        <w:t>.</w:t>
      </w:r>
      <w:r>
        <w:rPr>
          <w:rStyle w:val="FootnoteReference"/>
        </w:rPr>
        <w:footnoteReference w:id="11"/>
      </w:r>
      <w:r w:rsidR="00C61A5E">
        <w:t xml:space="preserve">  </w:t>
      </w:r>
      <w:r w:rsidR="00C61A5E">
        <w:t>Telplex</w:t>
      </w:r>
      <w:r w:rsidR="00C61A5E">
        <w:t xml:space="preserve"> responded to the complaint, stating that authorization was received and confirmed </w:t>
      </w:r>
      <w:r>
        <w:t>through</w:t>
      </w:r>
      <w:r w:rsidR="00C61A5E">
        <w:t xml:space="preserve"> a letter of a</w:t>
      </w:r>
      <w:r w:rsidR="00524588">
        <w:t>gency</w:t>
      </w:r>
      <w:r w:rsidR="00C61A5E">
        <w:t xml:space="preserve"> (LOA).</w:t>
      </w:r>
      <w:r>
        <w:rPr>
          <w:rStyle w:val="FootnoteReference"/>
        </w:rPr>
        <w:footnoteReference w:id="12"/>
      </w:r>
      <w:r w:rsidR="00C61A5E">
        <w:t xml:space="preserve">  </w:t>
      </w:r>
      <w:r w:rsidR="00C61A5E">
        <w:t>Telplex</w:t>
      </w:r>
      <w:r w:rsidR="00C61A5E">
        <w:t xml:space="preserve"> provided a copy of the LOA</w:t>
      </w:r>
      <w:r w:rsidR="00DB73E3">
        <w:t xml:space="preserve">, </w:t>
      </w:r>
      <w:r w:rsidR="00B90201">
        <w:t xml:space="preserve">and argues </w:t>
      </w:r>
      <w:r w:rsidR="00B85C40">
        <w:t xml:space="preserve">that </w:t>
      </w:r>
      <w:r w:rsidR="00F8793B">
        <w:t xml:space="preserve">the LOA discloses that </w:t>
      </w:r>
      <w:r w:rsidR="00F8793B">
        <w:t>T</w:t>
      </w:r>
      <w:r w:rsidR="00FB118B">
        <w:t>e</w:t>
      </w:r>
      <w:r w:rsidR="00F8793B">
        <w:t>lplex</w:t>
      </w:r>
      <w:r w:rsidR="00F8793B">
        <w:t xml:space="preserve"> resells voice and data service on behalf of AT&amp;T</w:t>
      </w:r>
      <w:r w:rsidR="00FB118B">
        <w:t xml:space="preserve">.  </w:t>
      </w:r>
      <w:r w:rsidR="00DB73E3">
        <w:t>“</w:t>
      </w:r>
      <w:r w:rsidR="00FB118B">
        <w:t xml:space="preserve">A customer upgrading from AT&amp;T copper service to AT&amp;T’s APEX VoIP and broadband service remains as an AT&amp;T customer. </w:t>
      </w:r>
      <w:r w:rsidR="00DB73E3">
        <w:t xml:space="preserve">. . </w:t>
      </w:r>
      <w:r w:rsidR="00FB118B">
        <w:t>Telplex</w:t>
      </w:r>
      <w:r w:rsidR="00FB118B">
        <w:t xml:space="preserve"> simply handles the billing and fields customer service calls.</w:t>
      </w:r>
      <w:r w:rsidR="00DB73E3">
        <w:t>”</w:t>
      </w:r>
      <w:r>
        <w:rPr>
          <w:rStyle w:val="FootnoteReference"/>
        </w:rPr>
        <w:footnoteReference w:id="13"/>
      </w:r>
      <w:r w:rsidR="00F8793B">
        <w:t xml:space="preserve"> </w:t>
      </w:r>
      <w:r w:rsidR="00DB73E3">
        <w:t xml:space="preserve"> </w:t>
      </w:r>
      <w:r w:rsidR="00FB118B">
        <w:t>Telplex</w:t>
      </w:r>
      <w:r w:rsidR="00FB118B">
        <w:t xml:space="preserve"> state</w:t>
      </w:r>
      <w:r w:rsidR="00DB73E3">
        <w:t>s</w:t>
      </w:r>
      <w:r w:rsidR="00FB118B">
        <w:t xml:space="preserve"> that the LOA </w:t>
      </w:r>
      <w:r w:rsidR="00DB73E3">
        <w:t xml:space="preserve">also </w:t>
      </w:r>
      <w:r w:rsidR="00FB118B">
        <w:t xml:space="preserve">shows that Complainant </w:t>
      </w:r>
      <w:r w:rsidR="00B90201">
        <w:t>knew</w:t>
      </w:r>
      <w:r w:rsidR="00FB118B">
        <w:t xml:space="preserve"> he was contacted by </w:t>
      </w:r>
      <w:r w:rsidR="00FB118B">
        <w:t>Telplex</w:t>
      </w:r>
      <w:r w:rsidR="00FB118B">
        <w:t>, and not AT&amp;T</w:t>
      </w:r>
      <w:r w:rsidR="00DB73E3">
        <w:t>,</w:t>
      </w:r>
      <w:r w:rsidR="00FB118B">
        <w:t xml:space="preserve"> and that he understood the relationship between </w:t>
      </w:r>
      <w:r w:rsidR="00B90201">
        <w:t>Telplex</w:t>
      </w:r>
      <w:r w:rsidR="00B90201">
        <w:t xml:space="preserve"> and </w:t>
      </w:r>
      <w:r w:rsidR="00FB118B">
        <w:t xml:space="preserve">AT&amp;T.  </w:t>
      </w:r>
      <w:r w:rsidR="00DB73E3">
        <w:t xml:space="preserve">Finally, </w:t>
      </w:r>
      <w:r w:rsidR="001B2934">
        <w:rPr>
          <w:szCs w:val="24"/>
        </w:rPr>
        <w:t>Telplex</w:t>
      </w:r>
      <w:r w:rsidR="001B2934">
        <w:rPr>
          <w:szCs w:val="24"/>
        </w:rPr>
        <w:t xml:space="preserve"> asserts that any confusion over the amount</w:t>
      </w:r>
      <w:r w:rsidR="00AB53ED">
        <w:rPr>
          <w:szCs w:val="24"/>
        </w:rPr>
        <w:t xml:space="preserve"> of </w:t>
      </w:r>
      <w:r w:rsidR="00CF17C9">
        <w:rPr>
          <w:szCs w:val="24"/>
        </w:rPr>
        <w:t>Complainant’s</w:t>
      </w:r>
      <w:r w:rsidR="001B2934">
        <w:rPr>
          <w:szCs w:val="24"/>
        </w:rPr>
        <w:t xml:space="preserve"> bill was related to the fact that </w:t>
      </w:r>
      <w:r w:rsidR="001B2934">
        <w:rPr>
          <w:szCs w:val="24"/>
        </w:rPr>
        <w:t>Telplex’s</w:t>
      </w:r>
      <w:r w:rsidR="001B2934">
        <w:rPr>
          <w:szCs w:val="24"/>
        </w:rPr>
        <w:t xml:space="preserve"> first bill was pro-rated</w:t>
      </w:r>
      <w:r w:rsidR="00CF17C9">
        <w:rPr>
          <w:szCs w:val="24"/>
        </w:rPr>
        <w:t>,</w:t>
      </w:r>
      <w:r w:rsidR="001B2934">
        <w:rPr>
          <w:szCs w:val="24"/>
        </w:rPr>
        <w:t xml:space="preserve"> and Complainant was billed one month in advance.</w:t>
      </w:r>
      <w:r>
        <w:rPr>
          <w:rStyle w:val="FootnoteReference"/>
          <w:szCs w:val="24"/>
        </w:rPr>
        <w:footnoteReference w:id="14"/>
      </w:r>
      <w:r>
        <w:rPr>
          <w:szCs w:val="24"/>
        </w:rPr>
        <w:t xml:space="preserve"> </w:t>
      </w:r>
    </w:p>
    <w:p w:rsidR="002C332E" w:rsidRPr="006D5400" w:rsidP="0062716E" w14:paraId="76388ACD" w14:textId="5BD08B72">
      <w:pPr>
        <w:numPr>
          <w:ilvl w:val="0"/>
          <w:numId w:val="4"/>
        </w:numPr>
        <w:tabs>
          <w:tab w:val="clear" w:pos="1440"/>
        </w:tabs>
        <w:spacing w:after="120"/>
        <w:ind w:left="0" w:firstLine="720"/>
        <w:jc w:val="left"/>
        <w:rPr>
          <w:szCs w:val="22"/>
        </w:rPr>
      </w:pPr>
      <w:r>
        <w:t xml:space="preserve"> </w:t>
      </w:r>
      <w:r w:rsidR="00242581">
        <w:t xml:space="preserve">After reviewing all the evidence in the record, we </w:t>
      </w:r>
      <w:r w:rsidR="005D1006">
        <w:t>disagree that</w:t>
      </w:r>
      <w:r w:rsidR="00242581">
        <w:t xml:space="preserve"> </w:t>
      </w:r>
      <w:r w:rsidR="00242581">
        <w:t>Telplex</w:t>
      </w:r>
      <w:r w:rsidR="00242581">
        <w:t xml:space="preserve"> was simply handling the billing and customer service </w:t>
      </w:r>
      <w:r w:rsidR="0049083B">
        <w:t xml:space="preserve">on behalf of </w:t>
      </w:r>
      <w:r w:rsidR="00242581">
        <w:t xml:space="preserve">AT&amp;T.  </w:t>
      </w:r>
      <w:r w:rsidR="0049083B">
        <w:t xml:space="preserve">The evidence shows that </w:t>
      </w:r>
      <w:r w:rsidR="007E7F2E">
        <w:t>Telplex</w:t>
      </w:r>
      <w:r w:rsidR="007E7F2E">
        <w:t xml:space="preserve"> initiate</w:t>
      </w:r>
      <w:r w:rsidR="0049083B">
        <w:t>d</w:t>
      </w:r>
      <w:r w:rsidR="007E7F2E">
        <w:t xml:space="preserve"> a change in Complainant’s service and </w:t>
      </w:r>
      <w:r w:rsidR="00160AFE">
        <w:t xml:space="preserve">began providing a Voice over Internet Protocol (VoIP) service to Complainant. </w:t>
      </w:r>
      <w:r w:rsidR="0074578D">
        <w:t xml:space="preserve"> </w:t>
      </w:r>
      <w:r w:rsidR="0074578D">
        <w:t>Telplex</w:t>
      </w:r>
      <w:r w:rsidR="0074578D">
        <w:t xml:space="preserve"> also bill</w:t>
      </w:r>
      <w:r w:rsidR="00923382">
        <w:t>ed</w:t>
      </w:r>
      <w:r w:rsidR="0074578D">
        <w:t xml:space="preserve"> Complainant for its service.</w:t>
      </w:r>
      <w:r>
        <w:rPr>
          <w:rStyle w:val="FootnoteReference"/>
        </w:rPr>
        <w:footnoteReference w:id="15"/>
      </w:r>
      <w:r w:rsidR="00160AFE">
        <w:t xml:space="preserve"> </w:t>
      </w:r>
      <w:r w:rsidR="0074578D">
        <w:t xml:space="preserve"> </w:t>
      </w:r>
      <w:r w:rsidR="00160AFE">
        <w:t>T</w:t>
      </w:r>
      <w:r w:rsidRPr="00CB0D3D" w:rsidR="00CB0D3D">
        <w:rPr>
          <w:szCs w:val="22"/>
        </w:rPr>
        <w:t>he Commission’s carrier change rules</w:t>
      </w:r>
      <w:r w:rsidR="00160AFE">
        <w:rPr>
          <w:szCs w:val="22"/>
        </w:rPr>
        <w:t>, however,</w:t>
      </w:r>
      <w:r w:rsidRPr="00CB0D3D" w:rsidR="00CB0D3D">
        <w:rPr>
          <w:szCs w:val="22"/>
        </w:rPr>
        <w:t xml:space="preserve"> have not been extended to VoIP service.</w:t>
      </w:r>
      <w:r>
        <w:rPr>
          <w:rStyle w:val="FootnoteReference"/>
        </w:rPr>
        <w:footnoteReference w:id="16"/>
      </w:r>
      <w:r w:rsidR="00CB0D3D">
        <w:rPr>
          <w:sz w:val="24"/>
        </w:rPr>
        <w:t xml:space="preserve"> </w:t>
      </w:r>
      <w:r w:rsidR="00BA241C">
        <w:rPr>
          <w:sz w:val="24"/>
        </w:rPr>
        <w:t xml:space="preserve"> </w:t>
      </w:r>
      <w:r w:rsidR="00C12167">
        <w:t xml:space="preserve">Thus, we conclude that </w:t>
      </w:r>
      <w:r w:rsidR="009C3ADD">
        <w:t>Telplex</w:t>
      </w:r>
      <w:r w:rsidR="00C12167">
        <w:t>’s</w:t>
      </w:r>
      <w:r w:rsidR="00C12167">
        <w:t xml:space="preserve"> actions</w:t>
      </w:r>
      <w:r w:rsidRPr="006D5400" w:rsidR="00901A56">
        <w:rPr>
          <w:szCs w:val="22"/>
        </w:rPr>
        <w:t xml:space="preserve"> </w:t>
      </w:r>
      <w:r w:rsidRPr="006D5400" w:rsidR="00454DF3">
        <w:rPr>
          <w:szCs w:val="22"/>
        </w:rPr>
        <w:t xml:space="preserve">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rules</w:t>
      </w:r>
      <w:r w:rsidRPr="006D5400" w:rsidR="00454DF3">
        <w:rPr>
          <w:szCs w:val="22"/>
        </w:rPr>
        <w:t>.</w:t>
      </w:r>
      <w:r>
        <w:rPr>
          <w:rStyle w:val="FootnoteReference"/>
          <w:szCs w:val="22"/>
        </w:rPr>
        <w:footnoteReference w:id="17"/>
      </w:r>
      <w:r w:rsidRPr="006D5400" w:rsidR="00454DF3">
        <w:rPr>
          <w:szCs w:val="22"/>
        </w:rPr>
        <w:t xml:space="preserve">  </w:t>
      </w:r>
    </w:p>
    <w:p w:rsidR="00454DF3" w:rsidRPr="00160AFE" w:rsidP="003D14B8" w14:paraId="7231CC96" w14:textId="77777777">
      <w:pPr>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w:t>
      </w:r>
      <w:r w:rsidR="009C3ADD">
        <w:rPr>
          <w:szCs w:val="22"/>
        </w:rPr>
        <w:t>Telplex</w:t>
      </w:r>
      <w:r w:rsidR="005D03A5">
        <w:rPr>
          <w:szCs w:val="22"/>
        </w:rPr>
        <w:t xml:space="preserve"> </w:t>
      </w:r>
      <w:r w:rsidR="009C3ADD">
        <w:rPr>
          <w:szCs w:val="22"/>
        </w:rPr>
        <w:t>Communications</w:t>
      </w:r>
      <w:r w:rsidRPr="006D5400" w:rsidR="00E84E6A">
        <w:rPr>
          <w:szCs w:val="22"/>
        </w:rPr>
        <w:t xml:space="preserve"> </w:t>
      </w:r>
      <w:r w:rsidRPr="006D5400" w:rsidR="002137D1">
        <w:rPr>
          <w:szCs w:val="22"/>
        </w:rPr>
        <w:t>IS</w:t>
      </w:r>
      <w:r w:rsidRPr="006D5400">
        <w:rPr>
          <w:szCs w:val="22"/>
        </w:rPr>
        <w:t xml:space="preserve"> DENIED.</w:t>
      </w:r>
    </w:p>
    <w:p w:rsidR="00313EF3" w:rsidRPr="0062716E" w:rsidP="0062716E" w14:paraId="7B8288E8" w14:textId="77777777">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C5129C" w:rsidP="00737FDA" w14:paraId="59CB1435" w14:textId="77777777">
      <w:pPr>
        <w:ind w:left="3600" w:right="270" w:firstLine="720"/>
        <w:rPr>
          <w:szCs w:val="22"/>
        </w:rPr>
      </w:pPr>
      <w:r w:rsidRPr="006D5400">
        <w:rPr>
          <w:szCs w:val="22"/>
        </w:rPr>
        <w:t>FEDERAL COMMUNICATIONS COMMISSION</w:t>
      </w:r>
    </w:p>
    <w:p w:rsidR="00ED48F5" w:rsidP="00ED48F5" w14:paraId="5ED30CB2" w14:textId="77777777">
      <w:pPr>
        <w:ind w:left="3600" w:right="270"/>
        <w:rPr>
          <w:szCs w:val="22"/>
        </w:rPr>
      </w:pPr>
    </w:p>
    <w:p w:rsidR="00ED48F5" w:rsidP="00ED48F5" w14:paraId="619AE187" w14:textId="77777777">
      <w:pPr>
        <w:ind w:left="3600" w:right="270"/>
        <w:rPr>
          <w:szCs w:val="22"/>
        </w:rPr>
      </w:pPr>
    </w:p>
    <w:p w:rsidR="00ED48F5" w:rsidP="00ED48F5" w14:paraId="0DCAE238" w14:textId="77777777">
      <w:pPr>
        <w:ind w:left="3600" w:right="270"/>
        <w:rPr>
          <w:szCs w:val="22"/>
        </w:rPr>
      </w:pPr>
    </w:p>
    <w:p w:rsidR="00ED48F5" w:rsidP="00ED48F5" w14:paraId="3B554095" w14:textId="77777777">
      <w:pPr>
        <w:ind w:left="3600" w:right="270"/>
        <w:rPr>
          <w:szCs w:val="22"/>
        </w:rPr>
      </w:pPr>
    </w:p>
    <w:p w:rsidR="00ED48F5" w:rsidP="0074578D" w14:paraId="509B5D7C" w14:textId="77777777">
      <w:pPr>
        <w:ind w:left="3600" w:right="270" w:firstLine="720"/>
        <w:rPr>
          <w:szCs w:val="22"/>
        </w:rPr>
      </w:pPr>
      <w:r>
        <w:rPr>
          <w:szCs w:val="22"/>
        </w:rPr>
        <w:t>Kurt A. Schroeder</w:t>
      </w:r>
    </w:p>
    <w:p w:rsidR="00ED48F5" w:rsidP="0074578D" w14:paraId="735E3137" w14:textId="77777777">
      <w:pPr>
        <w:ind w:left="3600" w:right="270" w:firstLine="720"/>
        <w:rPr>
          <w:szCs w:val="22"/>
        </w:rPr>
      </w:pPr>
      <w:r>
        <w:rPr>
          <w:szCs w:val="22"/>
        </w:rPr>
        <w:t>Chief</w:t>
      </w:r>
    </w:p>
    <w:p w:rsidR="00ED48F5" w:rsidP="0074578D" w14:paraId="7F92FCA5" w14:textId="77777777">
      <w:pPr>
        <w:ind w:left="3600" w:right="270" w:firstLine="720"/>
        <w:rPr>
          <w:szCs w:val="22"/>
        </w:rPr>
      </w:pPr>
      <w:r>
        <w:rPr>
          <w:szCs w:val="22"/>
        </w:rPr>
        <w:t>Consumer Policy Division</w:t>
      </w:r>
    </w:p>
    <w:p w:rsidR="00ED48F5" w:rsidRPr="006D5400" w:rsidP="0074578D" w14:paraId="44F334E9" w14:textId="77777777">
      <w:pPr>
        <w:ind w:left="3600" w:right="270" w:firstLine="720"/>
        <w:rPr>
          <w:szCs w:val="22"/>
        </w:rPr>
      </w:pPr>
      <w:r>
        <w:rPr>
          <w:szCs w:val="22"/>
        </w:rPr>
        <w:t>Consumer and Governmental Affairs Bureau</w:t>
      </w:r>
    </w:p>
    <w:p w:rsidR="0063192B" w:rsidRPr="006D5400" w:rsidP="00ED48F5" w14:paraId="4141A8EF" w14:textId="77777777">
      <w:pPr>
        <w:ind w:left="2880" w:right="270" w:firstLine="720"/>
        <w:rPr>
          <w:szCs w:val="22"/>
        </w:rPr>
      </w:pPr>
    </w:p>
    <w:p w:rsidR="00313EF3" w:rsidRPr="006D5400" w:rsidP="00ED48F5" w14:paraId="0EFAADF2" w14:textId="77777777">
      <w:pPr>
        <w:rPr>
          <w:szCs w:val="22"/>
        </w:rPr>
      </w:pPr>
      <w:r w:rsidRPr="006D5400">
        <w:rPr>
          <w:szCs w:val="22"/>
        </w:rPr>
        <w:tab/>
      </w:r>
      <w:r w:rsidRPr="006D5400" w:rsidR="00454DF3">
        <w:rPr>
          <w:szCs w:val="22"/>
        </w:rPr>
        <w:tab/>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05066C91" w14:textId="77777777">
    <w:pPr>
      <w:pStyle w:val="Footer"/>
      <w:framePr w:wrap="around" w:vAnchor="text" w:hAnchor="margin" w:xAlign="center" w:y="1"/>
    </w:pPr>
    <w:r>
      <w:fldChar w:fldCharType="begin"/>
    </w:r>
    <w:r>
      <w:instrText xml:space="preserve">PAGE  </w:instrText>
    </w:r>
    <w:r>
      <w:fldChar w:fldCharType="separate"/>
    </w:r>
    <w:r>
      <w:fldChar w:fldCharType="end"/>
    </w:r>
  </w:p>
  <w:p w:rsidR="00EC4494" w14:paraId="627FA8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0548AAB0" w14:textId="77777777">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14:paraId="4FC8C24E" w14:textId="77777777">
    <w:pPr>
      <w:spacing w:before="140" w:line="100" w:lineRule="exact"/>
      <w:rPr>
        <w:sz w:val="10"/>
      </w:rPr>
    </w:pPr>
  </w:p>
  <w:p w:rsidR="00EC4494" w14:paraId="63D31628"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30A7" w14:paraId="41EFDD94" w14:textId="77777777">
      <w:r>
        <w:separator/>
      </w:r>
    </w:p>
  </w:footnote>
  <w:footnote w:type="continuationSeparator" w:id="1">
    <w:p w:rsidR="00E430A7" w14:paraId="66FDCC25" w14:textId="77777777">
      <w:pPr>
        <w:rPr>
          <w:sz w:val="20"/>
        </w:rPr>
      </w:pPr>
      <w:r>
        <w:rPr>
          <w:sz w:val="20"/>
        </w:rPr>
        <w:t xml:space="preserve">(Continued from previous page)  </w:t>
      </w:r>
      <w:r>
        <w:rPr>
          <w:sz w:val="20"/>
        </w:rPr>
        <w:separator/>
      </w:r>
    </w:p>
  </w:footnote>
  <w:footnote w:type="continuationNotice" w:id="2">
    <w:p w:rsidR="00E430A7" w:rsidP="006D5400" w14:paraId="1F09BD49" w14:textId="77777777">
      <w:pPr>
        <w:jc w:val="right"/>
        <w:rPr>
          <w:sz w:val="20"/>
        </w:rPr>
      </w:pPr>
      <w:r>
        <w:rPr>
          <w:sz w:val="20"/>
        </w:rPr>
        <w:t>(continued…)</w:t>
      </w:r>
    </w:p>
  </w:footnote>
  <w:footnote w:id="3">
    <w:p w:rsidR="00DE7276" w:rsidP="00DE7276" w14:paraId="49A825B6" w14:textId="4E1868C9">
      <w:pPr>
        <w:pStyle w:val="FootnoteText"/>
        <w:spacing w:after="120"/>
      </w:pPr>
      <w:r>
        <w:rPr>
          <w:rStyle w:val="FootnoteReference"/>
        </w:rPr>
        <w:footnoteRef/>
      </w:r>
      <w:r>
        <w:t xml:space="preserve"> </w:t>
      </w:r>
      <w:r w:rsidRPr="00140317">
        <w:rPr>
          <w:i/>
        </w:rPr>
        <w:t xml:space="preserve">See </w:t>
      </w:r>
      <w:r>
        <w:t xml:space="preserve">Informal Complaint No. </w:t>
      </w:r>
      <w:r w:rsidR="00AA1CB8">
        <w:t>3</w:t>
      </w:r>
      <w:r w:rsidR="00013046">
        <w:t>657024</w:t>
      </w:r>
      <w:r>
        <w:t xml:space="preserve"> (filed </w:t>
      </w:r>
      <w:r w:rsidR="00013046">
        <w:t>Nov. 13, 2019</w:t>
      </w:r>
      <w:r>
        <w:t xml:space="preserve">); </w:t>
      </w:r>
      <w:r w:rsidRPr="00DE7276">
        <w:rPr>
          <w:i/>
        </w:rPr>
        <w:t>see also</w:t>
      </w:r>
      <w:r>
        <w:t xml:space="preserve"> 47 CFR §§ 64.1100 – 64.1190.</w:t>
      </w:r>
    </w:p>
  </w:footnote>
  <w:footnote w:id="4">
    <w:p w:rsidR="00EC4494" w:rsidP="005D03A5" w14:paraId="52BB85A4" w14:textId="77777777">
      <w:pPr>
        <w:pStyle w:val="FootnoteText"/>
        <w:spacing w:after="120"/>
      </w:pPr>
      <w:r>
        <w:rPr>
          <w:rStyle w:val="FootnoteReference"/>
        </w:rPr>
        <w:footnoteRef/>
      </w:r>
      <w:r>
        <w:t xml:space="preserve"> 47 U.S.C. § 258(a).</w:t>
      </w:r>
    </w:p>
  </w:footnote>
  <w:footnote w:id="5">
    <w:p w:rsidR="00EC4494" w:rsidP="005D03A5" w14:paraId="7F02CC33" w14:textId="77777777">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6">
    <w:p w:rsidR="00EC4494" w:rsidP="005D03A5" w14:paraId="2960C8C0" w14:textId="77777777">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7">
    <w:p w:rsidR="00775878" w:rsidRPr="00CF10D8" w:rsidP="00AB53ED" w14:paraId="010229EC" w14:textId="77777777">
      <w:pPr>
        <w:pStyle w:val="FootnoteText"/>
        <w:spacing w:after="120"/>
      </w:pPr>
      <w:r>
        <w:rPr>
          <w:rStyle w:val="FootnoteReference"/>
        </w:rPr>
        <w:footnoteRef/>
      </w:r>
      <w:r>
        <w:t xml:space="preserve"> </w:t>
      </w:r>
      <w:r w:rsidRPr="00142D97">
        <w:t>These rules require the</w:t>
      </w:r>
      <w:r w:rsidR="00DE7276">
        <w:t xml:space="preserve"> unauthorized</w:t>
      </w:r>
      <w:r w:rsidRPr="00142D97">
        <w:t xml:space="preserv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664DC0" w:rsidP="00AB53ED" w14:paraId="4B0EF0BD" w14:textId="176F1B3A">
      <w:pPr>
        <w:pStyle w:val="FootnoteText"/>
        <w:spacing w:after="120"/>
      </w:pPr>
      <w:r>
        <w:rPr>
          <w:rStyle w:val="FootnoteReference"/>
        </w:rPr>
        <w:footnoteRef/>
      </w:r>
      <w:r>
        <w:t xml:space="preserve"> </w:t>
      </w:r>
      <w:r w:rsidRPr="00664DC0">
        <w:rPr>
          <w:i/>
        </w:rPr>
        <w:t>See</w:t>
      </w:r>
      <w:r>
        <w:t xml:space="preserve"> Informal Complaint No. 3</w:t>
      </w:r>
      <w:r w:rsidR="00013046">
        <w:t>657024</w:t>
      </w:r>
      <w:r>
        <w:t>.</w:t>
      </w:r>
    </w:p>
  </w:footnote>
  <w:footnote w:id="9">
    <w:p w:rsidR="004A208D" w14:paraId="41D852C3" w14:textId="573FFCDF">
      <w:pPr>
        <w:pStyle w:val="FootnoteText"/>
      </w:pPr>
      <w:r>
        <w:rPr>
          <w:rStyle w:val="FootnoteReference"/>
        </w:rPr>
        <w:footnoteRef/>
      </w:r>
      <w:r>
        <w:t xml:space="preserve"> </w:t>
      </w:r>
      <w:r w:rsidRPr="004A208D">
        <w:rPr>
          <w:i/>
          <w:iCs/>
        </w:rPr>
        <w:t>Id</w:t>
      </w:r>
      <w:r>
        <w:t>.</w:t>
      </w:r>
    </w:p>
  </w:footnote>
  <w:footnote w:id="10">
    <w:p w:rsidR="00F8793B" w14:paraId="47C5922D" w14:textId="6C093E57">
      <w:pPr>
        <w:pStyle w:val="FootnoteText"/>
      </w:pPr>
      <w:r>
        <w:rPr>
          <w:rStyle w:val="FootnoteReference"/>
        </w:rPr>
        <w:footnoteRef/>
      </w:r>
      <w:r>
        <w:t xml:space="preserve"> </w:t>
      </w:r>
      <w:r w:rsidRPr="00F8793B">
        <w:rPr>
          <w:i/>
          <w:iCs/>
        </w:rPr>
        <w:t>Id</w:t>
      </w:r>
      <w:r>
        <w:t>.</w:t>
      </w:r>
    </w:p>
  </w:footnote>
  <w:footnote w:id="11">
    <w:p w:rsidR="00C335BA" w:rsidP="00AB53ED" w14:paraId="05492812" w14:textId="77777777">
      <w:pPr>
        <w:pStyle w:val="FootnoteText"/>
        <w:spacing w:after="120"/>
      </w:pPr>
      <w:r>
        <w:rPr>
          <w:rStyle w:val="FootnoteReference"/>
        </w:rPr>
        <w:footnoteRef/>
      </w:r>
      <w:r>
        <w:t xml:space="preserve"> </w:t>
      </w:r>
      <w:r w:rsidR="00225606">
        <w:t>47 CFR</w:t>
      </w:r>
      <w:r w:rsidRPr="005D03A5" w:rsidR="005D03A5">
        <w:rPr>
          <w:i/>
        </w:rPr>
        <w:t>.</w:t>
      </w:r>
      <w:r w:rsidRPr="00F86B2C">
        <w:t xml:space="preserve"> § 1.719 (Commission procedure for informal complaints filed pursuant to </w:t>
      </w:r>
      <w:r w:rsidR="002431FD">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2">
    <w:p w:rsidR="00C61A5E" w:rsidP="00AB53ED" w14:paraId="6292EA1E" w14:textId="0C43FF2D">
      <w:pPr>
        <w:pStyle w:val="FootnoteText"/>
        <w:spacing w:after="120"/>
      </w:pPr>
      <w:r>
        <w:rPr>
          <w:rStyle w:val="FootnoteReference"/>
        </w:rPr>
        <w:footnoteRef/>
      </w:r>
      <w:r>
        <w:t xml:space="preserve"> </w:t>
      </w:r>
      <w:r w:rsidRPr="005D03A5">
        <w:rPr>
          <w:i/>
        </w:rPr>
        <w:t>See</w:t>
      </w:r>
      <w:r>
        <w:t xml:space="preserve"> </w:t>
      </w:r>
      <w:r>
        <w:t>Telplex</w:t>
      </w:r>
      <w:r>
        <w:t xml:space="preserve"> Response to Informal Complaint No. 3</w:t>
      </w:r>
      <w:r w:rsidR="00013046">
        <w:t>657024</w:t>
      </w:r>
      <w:r>
        <w:rPr>
          <w:szCs w:val="22"/>
        </w:rPr>
        <w:t xml:space="preserve"> (filed </w:t>
      </w:r>
      <w:r w:rsidR="00013046">
        <w:rPr>
          <w:szCs w:val="22"/>
        </w:rPr>
        <w:t>Dec. 24</w:t>
      </w:r>
      <w:r>
        <w:t>, 2019).</w:t>
      </w:r>
    </w:p>
  </w:footnote>
  <w:footnote w:id="13">
    <w:p w:rsidR="00B90201" w14:paraId="168BF8F5" w14:textId="6002827A">
      <w:pPr>
        <w:pStyle w:val="FootnoteText"/>
      </w:pPr>
      <w:r>
        <w:rPr>
          <w:rStyle w:val="FootnoteReference"/>
        </w:rPr>
        <w:footnoteRef/>
      </w:r>
      <w:r>
        <w:t xml:space="preserve"> </w:t>
      </w:r>
      <w:r w:rsidRPr="00B90201">
        <w:rPr>
          <w:i/>
          <w:iCs/>
        </w:rPr>
        <w:t>Id</w:t>
      </w:r>
      <w:r>
        <w:t>.</w:t>
      </w:r>
    </w:p>
  </w:footnote>
  <w:footnote w:id="14">
    <w:p w:rsidR="00CF17C9" w:rsidP="00AB53ED" w14:paraId="3ECAB723" w14:textId="77777777">
      <w:pPr>
        <w:pStyle w:val="FootnoteText"/>
        <w:spacing w:after="120"/>
      </w:pPr>
      <w:r>
        <w:rPr>
          <w:rStyle w:val="FootnoteReference"/>
        </w:rPr>
        <w:footnoteRef/>
      </w:r>
      <w:r>
        <w:t xml:space="preserve"> </w:t>
      </w:r>
      <w:r w:rsidRPr="00CF17C9">
        <w:rPr>
          <w:i/>
        </w:rPr>
        <w:t>Id</w:t>
      </w:r>
      <w:r>
        <w:t>.</w:t>
      </w:r>
    </w:p>
  </w:footnote>
  <w:footnote w:id="15">
    <w:p w:rsidR="00B90201" w14:paraId="29ABB272" w14:textId="326DE8AC">
      <w:pPr>
        <w:pStyle w:val="FootnoteText"/>
      </w:pPr>
      <w:r>
        <w:rPr>
          <w:rStyle w:val="FootnoteReference"/>
        </w:rPr>
        <w:footnoteRef/>
      </w:r>
      <w:r>
        <w:t xml:space="preserve"> The bill </w:t>
      </w:r>
      <w:r>
        <w:t>Telplex</w:t>
      </w:r>
      <w:r>
        <w:t xml:space="preserve"> issued to Complainant states, “[t]</w:t>
      </w:r>
      <w:r>
        <w:t>hank</w:t>
      </w:r>
      <w:r>
        <w:t xml:space="preserve"> you for choosing </w:t>
      </w:r>
      <w:r>
        <w:t>Telplex</w:t>
      </w:r>
      <w:r>
        <w:t xml:space="preserve"> Communications as your local and/or </w:t>
      </w:r>
      <w:r>
        <w:t>long distance</w:t>
      </w:r>
      <w:r>
        <w:t xml:space="preserve"> phone company.” </w:t>
      </w:r>
    </w:p>
  </w:footnote>
  <w:footnote w:id="16">
    <w:p w:rsidR="00CB0D3D" w:rsidP="00AB53ED" w14:paraId="01E07CC8" w14:textId="2BCDA85E">
      <w:pPr>
        <w:pStyle w:val="FootnoteText"/>
        <w:spacing w:after="120"/>
      </w:pPr>
      <w:r>
        <w:rPr>
          <w:rStyle w:val="FootnoteReference"/>
        </w:rPr>
        <w:footnoteRef/>
      </w:r>
      <w:r w:rsidR="006173F3">
        <w:t xml:space="preserve"> </w:t>
      </w:r>
      <w:r w:rsidRPr="005B27B1" w:rsidR="005B27B1">
        <w:rPr>
          <w:i/>
          <w:snapToGrid w:val="0"/>
        </w:rPr>
        <w:t>See</w:t>
      </w:r>
      <w:r w:rsidR="005B27B1">
        <w:rPr>
          <w:snapToGrid w:val="0"/>
        </w:rPr>
        <w:t xml:space="preserve"> </w:t>
      </w:r>
      <w:r w:rsidR="00524588">
        <w:rPr>
          <w:snapToGrid w:val="0"/>
        </w:rPr>
        <w:t xml:space="preserve">47 CFR § 64.1120.  </w:t>
      </w:r>
      <w:r>
        <w:t xml:space="preserve">We note that the Commission has sought comment on whether to extend slamming regulations to VoIP or other IP-enabled service providers.  </w:t>
      </w:r>
      <w:r>
        <w:rPr>
          <w:i/>
        </w:rPr>
        <w:t xml:space="preserve">See Enabled Services, </w:t>
      </w:r>
      <w:r>
        <w:t xml:space="preserve">WC Docket No. 04-36, Notice of Proposed Rulemaking, 19 FCC </w:t>
      </w:r>
      <w:r>
        <w:t>Rcd</w:t>
      </w:r>
      <w:r>
        <w:t xml:space="preserve"> 4863, 4910-11</w:t>
      </w:r>
      <w:r w:rsidR="007721C4">
        <w:t>,</w:t>
      </w:r>
      <w:r>
        <w:t xml:space="preserve"> paras. 71-72 (2004).   </w:t>
      </w:r>
    </w:p>
  </w:footnote>
  <w:footnote w:id="17">
    <w:p w:rsidR="00EC4494" w:rsidP="00AB53ED" w14:paraId="1C1FA793" w14:textId="77777777">
      <w:pPr>
        <w:pStyle w:val="FootnoteText"/>
        <w:tabs>
          <w:tab w:val="left" w:pos="0"/>
          <w:tab w:val="clear" w:pos="720"/>
        </w:tabs>
        <w:spacing w:after="120"/>
      </w:pPr>
      <w:r>
        <w:rPr>
          <w:rStyle w:val="FootnoteReference"/>
        </w:rPr>
        <w:footnoteRef/>
      </w:r>
      <w:r>
        <w:t xml:space="preserve"> </w:t>
      </w:r>
      <w:r w:rsidR="00DE7276">
        <w:t>47 CFR</w:t>
      </w:r>
      <w:r w:rsidR="007368C0">
        <w:t xml:space="preserve"> § 64.11</w:t>
      </w:r>
      <w:r w:rsidR="00C3654F">
        <w:t>0</w:t>
      </w:r>
      <w:r w:rsidR="007368C0">
        <w:t xml:space="preserve">0(e).  </w:t>
      </w:r>
      <w:r>
        <w:t xml:space="preserve">If Complainant is unsatisfied with the resolution of its complaint, Complainant may file a formal complaint with the Commission pursuant to </w:t>
      </w:r>
      <w:r w:rsidR="002431FD">
        <w:t>s</w:t>
      </w:r>
      <w:r>
        <w:t xml:space="preserve">ection 1.721 of the Commission’s rules, </w:t>
      </w:r>
      <w:r w:rsidRPr="007D7FBB" w:rsidR="007D7FBB">
        <w:rPr>
          <w:i/>
        </w:rPr>
        <w:t>id</w:t>
      </w:r>
      <w:r w:rsidR="007D7FBB">
        <w:t>.</w:t>
      </w:r>
      <w:r w:rsidR="009C6B1F">
        <w:t xml:space="preserve"> </w:t>
      </w:r>
      <w:r>
        <w:t xml:space="preserve">§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46F535F7" w14:textId="74D65F84">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 xml:space="preserve">DA </w:t>
    </w:r>
    <w:r w:rsidR="00ED48F5">
      <w:rPr>
        <w:b/>
        <w:spacing w:val="-2"/>
      </w:rPr>
      <w:t>20</w:t>
    </w:r>
    <w:r>
      <w:rPr>
        <w:b/>
        <w:spacing w:val="-2"/>
      </w:rPr>
      <w:t>-</w:t>
    </w:r>
    <w:r w:rsidR="004E0015">
      <w:rPr>
        <w:b/>
        <w:spacing w:val="-2"/>
      </w:rPr>
      <w:t>226</w:t>
    </w:r>
  </w:p>
  <w:p w:rsidR="00EC4494" w14:paraId="48242191"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EC4494" w14:paraId="2D28938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612E52F7" w14:textId="76DEF1EF">
    <w:pPr>
      <w:pStyle w:val="Header"/>
      <w:pBdr>
        <w:bottom w:val="single" w:sz="12" w:space="1" w:color="auto"/>
      </w:pBdr>
      <w:rPr>
        <w:b w:val="0"/>
      </w:rPr>
    </w:pPr>
    <w:r>
      <w:tab/>
      <w:t>Federal</w:t>
    </w:r>
    <w:r w:rsidR="00385691">
      <w:t xml:space="preserve"> Communications Commission</w:t>
    </w:r>
    <w:r w:rsidR="00385691">
      <w:tab/>
      <w:t xml:space="preserve">DA </w:t>
    </w:r>
    <w:r w:rsidR="00ED48F5">
      <w:t>20</w:t>
    </w:r>
    <w:r>
      <w:t>-</w:t>
    </w:r>
    <w:r w:rsidR="004E0015">
      <w:t>226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3B"/>
    <w:rsid w:val="00013046"/>
    <w:rsid w:val="000228F2"/>
    <w:rsid w:val="00023C8E"/>
    <w:rsid w:val="0002797A"/>
    <w:rsid w:val="00034B5F"/>
    <w:rsid w:val="000436C2"/>
    <w:rsid w:val="0005108E"/>
    <w:rsid w:val="000609D0"/>
    <w:rsid w:val="000715F6"/>
    <w:rsid w:val="000B7A45"/>
    <w:rsid w:val="000D6FF3"/>
    <w:rsid w:val="000E6D51"/>
    <w:rsid w:val="00113639"/>
    <w:rsid w:val="001204B1"/>
    <w:rsid w:val="00120529"/>
    <w:rsid w:val="00127725"/>
    <w:rsid w:val="00140317"/>
    <w:rsid w:val="001414E3"/>
    <w:rsid w:val="00142D97"/>
    <w:rsid w:val="00155E02"/>
    <w:rsid w:val="00160AFE"/>
    <w:rsid w:val="00162727"/>
    <w:rsid w:val="001717CE"/>
    <w:rsid w:val="00190163"/>
    <w:rsid w:val="00195161"/>
    <w:rsid w:val="001A0861"/>
    <w:rsid w:val="001A7A2C"/>
    <w:rsid w:val="001B2934"/>
    <w:rsid w:val="001C36B6"/>
    <w:rsid w:val="001C67AE"/>
    <w:rsid w:val="001E4CAB"/>
    <w:rsid w:val="001E68F1"/>
    <w:rsid w:val="001F2E5C"/>
    <w:rsid w:val="001F4128"/>
    <w:rsid w:val="00206248"/>
    <w:rsid w:val="002137D1"/>
    <w:rsid w:val="0021434E"/>
    <w:rsid w:val="00225606"/>
    <w:rsid w:val="002354D5"/>
    <w:rsid w:val="002357D3"/>
    <w:rsid w:val="00236AA1"/>
    <w:rsid w:val="00236EDD"/>
    <w:rsid w:val="00237BAA"/>
    <w:rsid w:val="00242581"/>
    <w:rsid w:val="002431FD"/>
    <w:rsid w:val="002439C1"/>
    <w:rsid w:val="002479AB"/>
    <w:rsid w:val="00265A91"/>
    <w:rsid w:val="00283DF4"/>
    <w:rsid w:val="002A3B0B"/>
    <w:rsid w:val="002C14BA"/>
    <w:rsid w:val="002C332E"/>
    <w:rsid w:val="002F4B88"/>
    <w:rsid w:val="00310BAA"/>
    <w:rsid w:val="00313EF3"/>
    <w:rsid w:val="003427C1"/>
    <w:rsid w:val="00353700"/>
    <w:rsid w:val="00360D54"/>
    <w:rsid w:val="00385691"/>
    <w:rsid w:val="003A1EBA"/>
    <w:rsid w:val="003B1201"/>
    <w:rsid w:val="003C5092"/>
    <w:rsid w:val="003D14B8"/>
    <w:rsid w:val="003D32F8"/>
    <w:rsid w:val="003E5B69"/>
    <w:rsid w:val="003F7602"/>
    <w:rsid w:val="003F7D44"/>
    <w:rsid w:val="00403483"/>
    <w:rsid w:val="00422B9B"/>
    <w:rsid w:val="00454DF3"/>
    <w:rsid w:val="0047594E"/>
    <w:rsid w:val="0049083B"/>
    <w:rsid w:val="004914A3"/>
    <w:rsid w:val="004A1686"/>
    <w:rsid w:val="004A208D"/>
    <w:rsid w:val="004C104C"/>
    <w:rsid w:val="004C3D84"/>
    <w:rsid w:val="004C7040"/>
    <w:rsid w:val="004E0015"/>
    <w:rsid w:val="004E5EFB"/>
    <w:rsid w:val="00510F6C"/>
    <w:rsid w:val="00524588"/>
    <w:rsid w:val="005265B9"/>
    <w:rsid w:val="005561FD"/>
    <w:rsid w:val="00563A90"/>
    <w:rsid w:val="00566D7F"/>
    <w:rsid w:val="005772B2"/>
    <w:rsid w:val="00586E06"/>
    <w:rsid w:val="005A6A46"/>
    <w:rsid w:val="005B27B1"/>
    <w:rsid w:val="005B2F11"/>
    <w:rsid w:val="005B796C"/>
    <w:rsid w:val="005C203E"/>
    <w:rsid w:val="005C4098"/>
    <w:rsid w:val="005D03A5"/>
    <w:rsid w:val="005D1006"/>
    <w:rsid w:val="005D78D7"/>
    <w:rsid w:val="005E2064"/>
    <w:rsid w:val="005E4431"/>
    <w:rsid w:val="005E456F"/>
    <w:rsid w:val="005E78CA"/>
    <w:rsid w:val="006173F3"/>
    <w:rsid w:val="00622CD2"/>
    <w:rsid w:val="00623693"/>
    <w:rsid w:val="00623E7A"/>
    <w:rsid w:val="0062716E"/>
    <w:rsid w:val="0063192B"/>
    <w:rsid w:val="00646FF8"/>
    <w:rsid w:val="00664DC0"/>
    <w:rsid w:val="00676CB9"/>
    <w:rsid w:val="00685FD6"/>
    <w:rsid w:val="00697A80"/>
    <w:rsid w:val="006A7E1F"/>
    <w:rsid w:val="006B0F44"/>
    <w:rsid w:val="006D5400"/>
    <w:rsid w:val="006E4C47"/>
    <w:rsid w:val="00727230"/>
    <w:rsid w:val="007368C0"/>
    <w:rsid w:val="00737FDA"/>
    <w:rsid w:val="0074254C"/>
    <w:rsid w:val="0074578D"/>
    <w:rsid w:val="00750DAE"/>
    <w:rsid w:val="00753932"/>
    <w:rsid w:val="007546EE"/>
    <w:rsid w:val="007721C4"/>
    <w:rsid w:val="00774600"/>
    <w:rsid w:val="0077536C"/>
    <w:rsid w:val="00775878"/>
    <w:rsid w:val="00780927"/>
    <w:rsid w:val="007831C1"/>
    <w:rsid w:val="00795CE2"/>
    <w:rsid w:val="007B65C8"/>
    <w:rsid w:val="007B67D3"/>
    <w:rsid w:val="007D2B0E"/>
    <w:rsid w:val="007D7FBB"/>
    <w:rsid w:val="007E0B90"/>
    <w:rsid w:val="007E5AF2"/>
    <w:rsid w:val="007E7F2E"/>
    <w:rsid w:val="00803845"/>
    <w:rsid w:val="008101C7"/>
    <w:rsid w:val="00816066"/>
    <w:rsid w:val="0083033B"/>
    <w:rsid w:val="00831E67"/>
    <w:rsid w:val="00854DB7"/>
    <w:rsid w:val="00870845"/>
    <w:rsid w:val="00876880"/>
    <w:rsid w:val="008E6C8C"/>
    <w:rsid w:val="008F1B97"/>
    <w:rsid w:val="008F47DB"/>
    <w:rsid w:val="008F4E04"/>
    <w:rsid w:val="00901A56"/>
    <w:rsid w:val="00916312"/>
    <w:rsid w:val="00923382"/>
    <w:rsid w:val="00927544"/>
    <w:rsid w:val="00941EA5"/>
    <w:rsid w:val="00964BC8"/>
    <w:rsid w:val="0097045E"/>
    <w:rsid w:val="0097482E"/>
    <w:rsid w:val="00983C4E"/>
    <w:rsid w:val="009848B2"/>
    <w:rsid w:val="009A1060"/>
    <w:rsid w:val="009C3ADD"/>
    <w:rsid w:val="009C46EC"/>
    <w:rsid w:val="009C6B1F"/>
    <w:rsid w:val="009C732D"/>
    <w:rsid w:val="009D3461"/>
    <w:rsid w:val="009E4E88"/>
    <w:rsid w:val="009F49B4"/>
    <w:rsid w:val="00A029BD"/>
    <w:rsid w:val="00A15D6E"/>
    <w:rsid w:val="00A17B73"/>
    <w:rsid w:val="00A25B67"/>
    <w:rsid w:val="00A36B33"/>
    <w:rsid w:val="00A42E60"/>
    <w:rsid w:val="00A52236"/>
    <w:rsid w:val="00A574EA"/>
    <w:rsid w:val="00A6088E"/>
    <w:rsid w:val="00A728EC"/>
    <w:rsid w:val="00A75410"/>
    <w:rsid w:val="00A75458"/>
    <w:rsid w:val="00A841B1"/>
    <w:rsid w:val="00AA1CB8"/>
    <w:rsid w:val="00AA548C"/>
    <w:rsid w:val="00AB53ED"/>
    <w:rsid w:val="00AD583F"/>
    <w:rsid w:val="00AE2D7C"/>
    <w:rsid w:val="00B0254C"/>
    <w:rsid w:val="00B030B5"/>
    <w:rsid w:val="00B25D8D"/>
    <w:rsid w:val="00B329ED"/>
    <w:rsid w:val="00B46EF1"/>
    <w:rsid w:val="00B46FCC"/>
    <w:rsid w:val="00B47339"/>
    <w:rsid w:val="00B85C40"/>
    <w:rsid w:val="00B90201"/>
    <w:rsid w:val="00BA0244"/>
    <w:rsid w:val="00BA241C"/>
    <w:rsid w:val="00BC643E"/>
    <w:rsid w:val="00BD2451"/>
    <w:rsid w:val="00BE1976"/>
    <w:rsid w:val="00BF2F4A"/>
    <w:rsid w:val="00C04D95"/>
    <w:rsid w:val="00C12167"/>
    <w:rsid w:val="00C335BA"/>
    <w:rsid w:val="00C3654F"/>
    <w:rsid w:val="00C403BC"/>
    <w:rsid w:val="00C447BD"/>
    <w:rsid w:val="00C47746"/>
    <w:rsid w:val="00C5129C"/>
    <w:rsid w:val="00C53380"/>
    <w:rsid w:val="00C61A5E"/>
    <w:rsid w:val="00C81A17"/>
    <w:rsid w:val="00CA575D"/>
    <w:rsid w:val="00CB0D3D"/>
    <w:rsid w:val="00CB11F0"/>
    <w:rsid w:val="00CB1F6D"/>
    <w:rsid w:val="00CD65A9"/>
    <w:rsid w:val="00CD6BB8"/>
    <w:rsid w:val="00CF10D8"/>
    <w:rsid w:val="00CF17C9"/>
    <w:rsid w:val="00D042D4"/>
    <w:rsid w:val="00D07B67"/>
    <w:rsid w:val="00D12F96"/>
    <w:rsid w:val="00D20C3C"/>
    <w:rsid w:val="00D31805"/>
    <w:rsid w:val="00D32700"/>
    <w:rsid w:val="00D612CA"/>
    <w:rsid w:val="00D67F06"/>
    <w:rsid w:val="00D74200"/>
    <w:rsid w:val="00D7613F"/>
    <w:rsid w:val="00D820D6"/>
    <w:rsid w:val="00D8360E"/>
    <w:rsid w:val="00D85AC6"/>
    <w:rsid w:val="00DB373D"/>
    <w:rsid w:val="00DB40D9"/>
    <w:rsid w:val="00DB4EAF"/>
    <w:rsid w:val="00DB73E3"/>
    <w:rsid w:val="00DC450D"/>
    <w:rsid w:val="00DD26EF"/>
    <w:rsid w:val="00DD34BB"/>
    <w:rsid w:val="00DD5275"/>
    <w:rsid w:val="00DE04F2"/>
    <w:rsid w:val="00DE1F08"/>
    <w:rsid w:val="00DE60CD"/>
    <w:rsid w:val="00DE7276"/>
    <w:rsid w:val="00E0746D"/>
    <w:rsid w:val="00E12641"/>
    <w:rsid w:val="00E12DF2"/>
    <w:rsid w:val="00E35C29"/>
    <w:rsid w:val="00E430A7"/>
    <w:rsid w:val="00E53AD1"/>
    <w:rsid w:val="00E54D57"/>
    <w:rsid w:val="00E62B5D"/>
    <w:rsid w:val="00E67930"/>
    <w:rsid w:val="00E84E6A"/>
    <w:rsid w:val="00E961F6"/>
    <w:rsid w:val="00EA795E"/>
    <w:rsid w:val="00EB38E9"/>
    <w:rsid w:val="00EC408A"/>
    <w:rsid w:val="00EC4494"/>
    <w:rsid w:val="00EC75FC"/>
    <w:rsid w:val="00ED48F5"/>
    <w:rsid w:val="00ED65C0"/>
    <w:rsid w:val="00EF15C3"/>
    <w:rsid w:val="00F416D5"/>
    <w:rsid w:val="00F7752B"/>
    <w:rsid w:val="00F84D1D"/>
    <w:rsid w:val="00F86B2C"/>
    <w:rsid w:val="00F8793B"/>
    <w:rsid w:val="00F904D4"/>
    <w:rsid w:val="00FA2D00"/>
    <w:rsid w:val="00FA5366"/>
    <w:rsid w:val="00FB11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7244E6F-8295-4B25-B17C-6AD8ACD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