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0544" w:rsidRPr="00977F5D" w:rsidP="006C0544" w14:paraId="2429D5E4" w14:textId="77777777">
      <w:pPr>
        <w:widowControl/>
        <w:tabs>
          <w:tab w:val="center" w:pos="4770"/>
        </w:tabs>
        <w:suppressAutoHyphens/>
        <w:jc w:val="center"/>
        <w:outlineLvl w:val="0"/>
        <w:rPr>
          <w:b/>
          <w:spacing w:val="-2"/>
          <w:szCs w:val="22"/>
        </w:rPr>
      </w:pPr>
      <w:r w:rsidRPr="00977F5D">
        <w:rPr>
          <w:b/>
          <w:spacing w:val="-2"/>
          <w:szCs w:val="22"/>
        </w:rPr>
        <w:softHyphen/>
        <w:t>Before the</w:t>
      </w:r>
    </w:p>
    <w:p w:rsidR="006C0544" w:rsidRPr="00977F5D" w:rsidP="006C0544" w14:paraId="73FF5B66" w14:textId="77777777">
      <w:pPr>
        <w:widowControl/>
        <w:tabs>
          <w:tab w:val="center" w:pos="4770"/>
        </w:tabs>
        <w:suppressAutoHyphens/>
        <w:jc w:val="center"/>
        <w:outlineLvl w:val="0"/>
        <w:rPr>
          <w:b/>
          <w:spacing w:val="-2"/>
          <w:szCs w:val="22"/>
        </w:rPr>
      </w:pPr>
      <w:r w:rsidRPr="00977F5D">
        <w:rPr>
          <w:b/>
          <w:spacing w:val="-2"/>
          <w:szCs w:val="22"/>
        </w:rPr>
        <w:t>Federal Communications Commission</w:t>
      </w:r>
    </w:p>
    <w:p w:rsidR="006C0544" w:rsidRPr="00977F5D" w:rsidP="006C0544" w14:paraId="26625483" w14:textId="77777777">
      <w:pPr>
        <w:widowControl/>
        <w:tabs>
          <w:tab w:val="center" w:pos="4770"/>
        </w:tabs>
        <w:suppressAutoHyphens/>
        <w:jc w:val="center"/>
        <w:outlineLvl w:val="0"/>
        <w:rPr>
          <w:b/>
          <w:szCs w:val="22"/>
        </w:rPr>
      </w:pPr>
      <w:r w:rsidRPr="00977F5D">
        <w:rPr>
          <w:b/>
          <w:szCs w:val="22"/>
        </w:rPr>
        <w:t>Washington, D.C. 20554</w:t>
      </w:r>
    </w:p>
    <w:p w:rsidR="006C0544" w:rsidRPr="00977F5D" w:rsidP="006C0544" w14:paraId="2550F431" w14:textId="77777777">
      <w:pPr>
        <w:widowControl/>
        <w:tabs>
          <w:tab w:val="center" w:pos="4680"/>
        </w:tabs>
        <w:suppressAutoHyphens/>
        <w:spacing w:line="240" w:lineRule="atLeast"/>
        <w:jc w:val="both"/>
        <w:outlineLvl w:val="0"/>
        <w:rPr>
          <w:b/>
          <w:spacing w:val="-2"/>
          <w:szCs w:val="22"/>
        </w:rPr>
      </w:pPr>
    </w:p>
    <w:p w:rsidR="006C0544" w:rsidRPr="00977F5D" w:rsidP="006C0544" w14:paraId="2DB4C408" w14:textId="77777777">
      <w:pPr>
        <w:widowControl/>
        <w:tabs>
          <w:tab w:val="center" w:pos="4680"/>
        </w:tabs>
        <w:suppressAutoHyphens/>
        <w:spacing w:line="240" w:lineRule="atLeast"/>
        <w:jc w:val="both"/>
        <w:outlineLvl w:val="0"/>
        <w:rPr>
          <w:b/>
          <w:spacing w:val="-2"/>
          <w:szCs w:val="22"/>
        </w:rPr>
      </w:pPr>
    </w:p>
    <w:tbl>
      <w:tblPr>
        <w:tblW w:w="9450" w:type="dxa"/>
        <w:tblInd w:w="108" w:type="dxa"/>
        <w:tblLayout w:type="fixed"/>
        <w:tblLook w:val="0000"/>
      </w:tblPr>
      <w:tblGrid>
        <w:gridCol w:w="4500"/>
        <w:gridCol w:w="270"/>
        <w:gridCol w:w="4680"/>
      </w:tblGrid>
      <w:tr w14:paraId="154D75E7" w14:textId="77777777" w:rsidTr="00997FFB">
        <w:tblPrEx>
          <w:tblW w:w="9450" w:type="dxa"/>
          <w:tblInd w:w="108" w:type="dxa"/>
          <w:tblLayout w:type="fixed"/>
          <w:tblLook w:val="0000"/>
        </w:tblPrEx>
        <w:tc>
          <w:tcPr>
            <w:tcW w:w="4500" w:type="dxa"/>
          </w:tcPr>
          <w:p w:rsidR="006C0544" w:rsidRPr="00977F5D" w:rsidP="006E3199" w14:paraId="0AD144A5" w14:textId="77777777">
            <w:pPr>
              <w:widowControl/>
              <w:rPr>
                <w:szCs w:val="22"/>
              </w:rPr>
            </w:pPr>
            <w:r w:rsidRPr="00977F5D">
              <w:rPr>
                <w:spacing w:val="-2"/>
                <w:szCs w:val="22"/>
              </w:rPr>
              <w:t>In the Matter of</w:t>
            </w:r>
            <w:r w:rsidRPr="00977F5D">
              <w:rPr>
                <w:szCs w:val="22"/>
              </w:rPr>
              <w:t xml:space="preserve"> </w:t>
            </w:r>
          </w:p>
          <w:p w:rsidR="006C0544" w:rsidRPr="00977F5D" w:rsidP="006E3199" w14:paraId="19432A56" w14:textId="77777777">
            <w:pPr>
              <w:widowControl/>
              <w:rPr>
                <w:szCs w:val="22"/>
              </w:rPr>
            </w:pPr>
          </w:p>
          <w:p w:rsidR="006C0544" w:rsidP="006E3199" w14:paraId="1FEC7EAA" w14:textId="77777777">
            <w:pPr>
              <w:widowControl/>
              <w:rPr>
                <w:szCs w:val="22"/>
              </w:rPr>
            </w:pPr>
            <w:r w:rsidRPr="00977F5D">
              <w:rPr>
                <w:szCs w:val="22"/>
              </w:rPr>
              <w:t xml:space="preserve">Entercom License, LLC </w:t>
            </w:r>
          </w:p>
          <w:p w:rsidR="00E91059" w:rsidP="006E3199" w14:paraId="52760701" w14:textId="77777777">
            <w:pPr>
              <w:widowControl/>
              <w:rPr>
                <w:szCs w:val="22"/>
              </w:rPr>
            </w:pPr>
          </w:p>
          <w:p w:rsidR="00E91059" w:rsidP="006E3199" w14:paraId="38ACFA92" w14:textId="77777777">
            <w:pPr>
              <w:widowControl/>
              <w:rPr>
                <w:szCs w:val="22"/>
              </w:rPr>
            </w:pPr>
            <w:r>
              <w:rPr>
                <w:szCs w:val="22"/>
              </w:rPr>
              <w:t>Licensee of Station WNEW(FM), New York,</w:t>
            </w:r>
          </w:p>
          <w:p w:rsidR="00E91059" w:rsidRPr="00977F5D" w:rsidP="006E3199" w14:paraId="40BBE827" w14:textId="5E83D73D">
            <w:pPr>
              <w:widowControl/>
              <w:rPr>
                <w:szCs w:val="22"/>
              </w:rPr>
            </w:pPr>
            <w:r>
              <w:rPr>
                <w:szCs w:val="22"/>
              </w:rPr>
              <w:t>New York</w:t>
            </w:r>
          </w:p>
        </w:tc>
        <w:tc>
          <w:tcPr>
            <w:tcW w:w="270" w:type="dxa"/>
          </w:tcPr>
          <w:p w:rsidR="006C0544" w:rsidRPr="00977F5D" w:rsidP="006E3199" w14:paraId="03C601E1" w14:textId="77777777">
            <w:pPr>
              <w:widowControl/>
              <w:tabs>
                <w:tab w:val="center" w:pos="4680"/>
              </w:tabs>
              <w:suppressAutoHyphens/>
              <w:spacing w:line="240" w:lineRule="atLeast"/>
              <w:jc w:val="both"/>
              <w:outlineLvl w:val="0"/>
              <w:rPr>
                <w:szCs w:val="22"/>
              </w:rPr>
            </w:pPr>
            <w:r w:rsidRPr="00977F5D">
              <w:rPr>
                <w:szCs w:val="22"/>
              </w:rPr>
              <w:t>)</w:t>
            </w:r>
          </w:p>
          <w:p w:rsidR="006C0544" w:rsidRPr="00977F5D" w:rsidP="006E3199" w14:paraId="5E42C2D1" w14:textId="77777777">
            <w:pPr>
              <w:widowControl/>
              <w:tabs>
                <w:tab w:val="center" w:pos="4680"/>
              </w:tabs>
              <w:suppressAutoHyphens/>
              <w:spacing w:line="240" w:lineRule="atLeast"/>
              <w:jc w:val="both"/>
              <w:outlineLvl w:val="0"/>
              <w:rPr>
                <w:szCs w:val="22"/>
              </w:rPr>
            </w:pPr>
            <w:r w:rsidRPr="00977F5D">
              <w:rPr>
                <w:szCs w:val="22"/>
              </w:rPr>
              <w:t>)</w:t>
            </w:r>
          </w:p>
          <w:p w:rsidR="006C0544" w:rsidRPr="00977F5D" w:rsidP="006E3199" w14:paraId="4238C0F7" w14:textId="77777777">
            <w:pPr>
              <w:widowControl/>
              <w:tabs>
                <w:tab w:val="center" w:pos="4680"/>
              </w:tabs>
              <w:suppressAutoHyphens/>
              <w:spacing w:line="240" w:lineRule="atLeast"/>
              <w:jc w:val="both"/>
              <w:outlineLvl w:val="0"/>
              <w:rPr>
                <w:szCs w:val="22"/>
              </w:rPr>
            </w:pPr>
            <w:r w:rsidRPr="00977F5D">
              <w:rPr>
                <w:szCs w:val="22"/>
              </w:rPr>
              <w:t>)</w:t>
            </w:r>
          </w:p>
          <w:p w:rsidR="006C0544" w:rsidRPr="00977F5D" w:rsidP="006E3199" w14:paraId="164F92EF" w14:textId="77777777">
            <w:pPr>
              <w:widowControl/>
              <w:tabs>
                <w:tab w:val="center" w:pos="4680"/>
              </w:tabs>
              <w:suppressAutoHyphens/>
              <w:spacing w:line="240" w:lineRule="atLeast"/>
              <w:jc w:val="both"/>
              <w:outlineLvl w:val="0"/>
              <w:rPr>
                <w:szCs w:val="22"/>
              </w:rPr>
            </w:pPr>
            <w:r w:rsidRPr="00977F5D">
              <w:rPr>
                <w:szCs w:val="22"/>
              </w:rPr>
              <w:t>)</w:t>
            </w:r>
          </w:p>
          <w:p w:rsidR="006C0544" w:rsidP="006E3199" w14:paraId="05C48E14" w14:textId="02E51B2D">
            <w:pPr>
              <w:widowControl/>
              <w:tabs>
                <w:tab w:val="center" w:pos="4680"/>
              </w:tabs>
              <w:suppressAutoHyphens/>
              <w:spacing w:line="240" w:lineRule="atLeast"/>
              <w:jc w:val="both"/>
              <w:outlineLvl w:val="0"/>
              <w:rPr>
                <w:szCs w:val="22"/>
              </w:rPr>
            </w:pPr>
            <w:r w:rsidRPr="00977F5D">
              <w:rPr>
                <w:szCs w:val="22"/>
              </w:rPr>
              <w:t>)</w:t>
            </w:r>
          </w:p>
          <w:p w:rsidR="00E91059" w:rsidRPr="00977F5D" w:rsidP="006E3199" w14:paraId="2A5042EC" w14:textId="64242CB4">
            <w:pPr>
              <w:widowControl/>
              <w:tabs>
                <w:tab w:val="center" w:pos="4680"/>
              </w:tabs>
              <w:suppressAutoHyphens/>
              <w:spacing w:line="240" w:lineRule="atLeast"/>
              <w:jc w:val="both"/>
              <w:outlineLvl w:val="0"/>
              <w:rPr>
                <w:szCs w:val="22"/>
              </w:rPr>
            </w:pPr>
            <w:r>
              <w:rPr>
                <w:szCs w:val="22"/>
              </w:rPr>
              <w:t>)</w:t>
            </w:r>
          </w:p>
          <w:p w:rsidR="006C0544" w:rsidRPr="00977F5D" w:rsidP="006E3199" w14:paraId="608B5208" w14:textId="77777777">
            <w:pPr>
              <w:widowControl/>
              <w:tabs>
                <w:tab w:val="center" w:pos="4680"/>
              </w:tabs>
              <w:suppressAutoHyphens/>
              <w:spacing w:line="240" w:lineRule="atLeast"/>
              <w:jc w:val="both"/>
              <w:outlineLvl w:val="0"/>
              <w:rPr>
                <w:szCs w:val="22"/>
              </w:rPr>
            </w:pPr>
          </w:p>
        </w:tc>
        <w:tc>
          <w:tcPr>
            <w:tcW w:w="4680" w:type="dxa"/>
          </w:tcPr>
          <w:p w:rsidR="006C0544" w:rsidRPr="00977F5D" w:rsidP="006E3199" w14:paraId="5BD6E2A8" w14:textId="77777777">
            <w:pPr>
              <w:widowControl/>
              <w:tabs>
                <w:tab w:val="left" w:pos="252"/>
                <w:tab w:val="left" w:pos="612"/>
              </w:tabs>
              <w:rPr>
                <w:szCs w:val="22"/>
              </w:rPr>
            </w:pPr>
          </w:p>
          <w:p w:rsidR="006C0544" w:rsidRPr="00977F5D" w:rsidP="006E3199" w14:paraId="5DC23A7F" w14:textId="77777777">
            <w:pPr>
              <w:widowControl/>
              <w:tabs>
                <w:tab w:val="left" w:pos="972"/>
              </w:tabs>
              <w:rPr>
                <w:szCs w:val="22"/>
              </w:rPr>
            </w:pPr>
            <w:r w:rsidRPr="00977F5D">
              <w:rPr>
                <w:szCs w:val="22"/>
              </w:rPr>
              <w:t xml:space="preserve">                    </w:t>
            </w:r>
          </w:p>
          <w:p w:rsidR="006C0544" w:rsidRPr="00977F5D" w:rsidP="006E3199" w14:paraId="7F4AF073" w14:textId="77777777">
            <w:pPr>
              <w:widowControl/>
              <w:tabs>
                <w:tab w:val="left" w:pos="252"/>
                <w:tab w:val="left" w:pos="612"/>
                <w:tab w:val="left" w:pos="972"/>
              </w:tabs>
              <w:rPr>
                <w:szCs w:val="22"/>
              </w:rPr>
            </w:pPr>
            <w:r w:rsidRPr="00977F5D">
              <w:rPr>
                <w:szCs w:val="22"/>
              </w:rPr>
              <w:t xml:space="preserve">                    File No.: EB-IHD-19-00028718 </w:t>
            </w:r>
          </w:p>
          <w:p w:rsidR="006C0544" w:rsidRPr="00977F5D" w:rsidP="006E3199" w14:paraId="78F77591" w14:textId="094F2CB1">
            <w:pPr>
              <w:widowControl/>
              <w:tabs>
                <w:tab w:val="left" w:pos="252"/>
                <w:tab w:val="left" w:pos="612"/>
                <w:tab w:val="left" w:pos="972"/>
              </w:tabs>
              <w:rPr>
                <w:szCs w:val="22"/>
              </w:rPr>
            </w:pPr>
            <w:r w:rsidRPr="00977F5D">
              <w:rPr>
                <w:szCs w:val="22"/>
              </w:rPr>
              <w:t xml:space="preserve">                    NAL/Acct. No.:  </w:t>
            </w:r>
            <w:r w:rsidR="00A5585D">
              <w:rPr>
                <w:szCs w:val="22"/>
              </w:rPr>
              <w:t>202032080019</w:t>
            </w:r>
          </w:p>
          <w:p w:rsidR="006C0544" w:rsidRPr="00977F5D" w:rsidP="006E3199" w14:paraId="48663D60" w14:textId="5402814C">
            <w:pPr>
              <w:widowControl/>
              <w:tabs>
                <w:tab w:val="left" w:pos="252"/>
                <w:tab w:val="left" w:pos="612"/>
                <w:tab w:val="left" w:pos="972"/>
              </w:tabs>
              <w:rPr>
                <w:szCs w:val="22"/>
              </w:rPr>
            </w:pPr>
            <w:r w:rsidRPr="00977F5D">
              <w:rPr>
                <w:szCs w:val="22"/>
              </w:rPr>
              <w:t xml:space="preserve">                    FRN:  0004434866</w:t>
            </w:r>
          </w:p>
        </w:tc>
      </w:tr>
      <w:tr w14:paraId="6A5FDBF8" w14:textId="77777777" w:rsidTr="00997FFB">
        <w:tblPrEx>
          <w:tblW w:w="9450" w:type="dxa"/>
          <w:tblInd w:w="108" w:type="dxa"/>
          <w:tblLayout w:type="fixed"/>
          <w:tblLook w:val="0000"/>
        </w:tblPrEx>
        <w:trPr>
          <w:gridAfter w:val="1"/>
          <w:wAfter w:w="4680" w:type="dxa"/>
        </w:trPr>
        <w:tc>
          <w:tcPr>
            <w:tcW w:w="4500" w:type="dxa"/>
          </w:tcPr>
          <w:p w:rsidR="006C0544" w:rsidRPr="00977F5D" w:rsidP="006E3199" w14:paraId="57B0D338" w14:textId="77777777">
            <w:pPr>
              <w:widowControl/>
              <w:rPr>
                <w:spacing w:val="-2"/>
                <w:szCs w:val="22"/>
              </w:rPr>
            </w:pPr>
          </w:p>
        </w:tc>
        <w:tc>
          <w:tcPr>
            <w:tcW w:w="270" w:type="dxa"/>
          </w:tcPr>
          <w:p w:rsidR="006C0544" w:rsidRPr="00977F5D" w:rsidP="006E3199" w14:paraId="35A3DCF1" w14:textId="77777777">
            <w:pPr>
              <w:widowControl/>
              <w:tabs>
                <w:tab w:val="center" w:pos="4680"/>
              </w:tabs>
              <w:suppressAutoHyphens/>
              <w:spacing w:line="240" w:lineRule="atLeast"/>
              <w:jc w:val="both"/>
              <w:outlineLvl w:val="0"/>
              <w:rPr>
                <w:szCs w:val="22"/>
              </w:rPr>
            </w:pPr>
          </w:p>
        </w:tc>
      </w:tr>
    </w:tbl>
    <w:p w:rsidR="006C0544" w:rsidRPr="00977F5D" w:rsidP="006C0544" w14:paraId="7A86B1CD" w14:textId="77777777">
      <w:pPr>
        <w:jc w:val="center"/>
        <w:rPr>
          <w:b/>
          <w:szCs w:val="22"/>
        </w:rPr>
      </w:pPr>
      <w:r w:rsidRPr="00977F5D">
        <w:rPr>
          <w:b/>
          <w:szCs w:val="22"/>
        </w:rPr>
        <w:t>NOTICE OF APPARENT LIABILITY FOR FORFEITURE</w:t>
      </w:r>
    </w:p>
    <w:p w:rsidR="006C0544" w:rsidRPr="00977F5D" w:rsidP="006C0544" w14:paraId="1C5FF737" w14:textId="77777777">
      <w:pPr>
        <w:rPr>
          <w:szCs w:val="22"/>
        </w:rPr>
      </w:pPr>
    </w:p>
    <w:p w:rsidR="006C0544" w:rsidRPr="00425E91" w:rsidP="006C0544" w14:paraId="289BC8A2" w14:textId="31CD6458">
      <w:pPr>
        <w:widowControl/>
        <w:tabs>
          <w:tab w:val="left" w:pos="0"/>
          <w:tab w:val="left" w:pos="720"/>
          <w:tab w:val="left" w:pos="5760"/>
        </w:tabs>
        <w:suppressAutoHyphens/>
        <w:spacing w:line="240" w:lineRule="atLeast"/>
        <w:jc w:val="both"/>
        <w:rPr>
          <w:b/>
          <w:spacing w:val="-2"/>
          <w:szCs w:val="22"/>
        </w:rPr>
      </w:pPr>
      <w:r w:rsidRPr="00425E91">
        <w:rPr>
          <w:b/>
          <w:spacing w:val="-2"/>
          <w:szCs w:val="22"/>
        </w:rPr>
        <w:t xml:space="preserve">Adopted: </w:t>
      </w:r>
      <w:r w:rsidR="000062D5">
        <w:rPr>
          <w:b/>
          <w:spacing w:val="-2"/>
          <w:szCs w:val="22"/>
        </w:rPr>
        <w:t>April 7</w:t>
      </w:r>
      <w:r w:rsidRPr="00425E91">
        <w:rPr>
          <w:b/>
          <w:spacing w:val="-2"/>
          <w:szCs w:val="22"/>
        </w:rPr>
        <w:t>, 2020</w:t>
      </w:r>
      <w:r w:rsidRPr="00425E91">
        <w:rPr>
          <w:b/>
          <w:spacing w:val="-2"/>
          <w:szCs w:val="22"/>
        </w:rPr>
        <w:tab/>
      </w:r>
      <w:r w:rsidR="009502BA">
        <w:rPr>
          <w:b/>
          <w:spacing w:val="-2"/>
          <w:szCs w:val="22"/>
        </w:rPr>
        <w:tab/>
      </w:r>
      <w:bookmarkStart w:id="0" w:name="_GoBack"/>
      <w:bookmarkEnd w:id="0"/>
      <w:r w:rsidRPr="00425E91">
        <w:rPr>
          <w:b/>
          <w:spacing w:val="-2"/>
          <w:szCs w:val="22"/>
        </w:rPr>
        <w:t xml:space="preserve">Released: </w:t>
      </w:r>
      <w:r w:rsidR="000062D5">
        <w:rPr>
          <w:b/>
          <w:spacing w:val="-2"/>
          <w:szCs w:val="22"/>
        </w:rPr>
        <w:t>April 7</w:t>
      </w:r>
      <w:r w:rsidRPr="00425E91">
        <w:rPr>
          <w:b/>
          <w:spacing w:val="-2"/>
          <w:szCs w:val="22"/>
        </w:rPr>
        <w:t>, 2020</w:t>
      </w:r>
    </w:p>
    <w:p w:rsidR="006C0544" w:rsidRPr="00020B17" w:rsidP="006C0544" w14:paraId="7B6CA58C" w14:textId="77777777">
      <w:pPr>
        <w:widowControl/>
        <w:tabs>
          <w:tab w:val="left" w:pos="0"/>
          <w:tab w:val="left" w:pos="720"/>
          <w:tab w:val="left" w:pos="5760"/>
        </w:tabs>
        <w:suppressAutoHyphens/>
        <w:spacing w:line="240" w:lineRule="atLeast"/>
        <w:jc w:val="both"/>
        <w:rPr>
          <w:b/>
          <w:spacing w:val="-2"/>
          <w:szCs w:val="22"/>
        </w:rPr>
      </w:pPr>
    </w:p>
    <w:p w:rsidR="006C0544" w:rsidRPr="00020B17" w:rsidP="006C0544" w14:paraId="1217DCA1" w14:textId="77777777">
      <w:pPr>
        <w:widowControl/>
        <w:tabs>
          <w:tab w:val="left" w:pos="0"/>
          <w:tab w:val="left" w:pos="720"/>
          <w:tab w:val="left" w:pos="5760"/>
        </w:tabs>
        <w:suppressAutoHyphens/>
        <w:spacing w:line="240" w:lineRule="atLeast"/>
        <w:rPr>
          <w:spacing w:val="-2"/>
          <w:szCs w:val="22"/>
        </w:rPr>
      </w:pPr>
      <w:r w:rsidRPr="00020B17">
        <w:rPr>
          <w:spacing w:val="-2"/>
          <w:szCs w:val="22"/>
        </w:rPr>
        <w:t>By the Chief, Enforcement Bureau:</w:t>
      </w:r>
    </w:p>
    <w:p w:rsidR="006C0544" w:rsidRPr="00020B17" w:rsidP="006C0544" w14:paraId="3877CE34" w14:textId="77777777">
      <w:pPr>
        <w:widowControl/>
        <w:tabs>
          <w:tab w:val="left" w:pos="0"/>
        </w:tabs>
        <w:suppressAutoHyphens/>
        <w:spacing w:line="240" w:lineRule="atLeast"/>
        <w:jc w:val="both"/>
        <w:rPr>
          <w:szCs w:val="22"/>
        </w:rPr>
      </w:pPr>
    </w:p>
    <w:p w:rsidR="006C0544" w:rsidRPr="00020B17" w:rsidP="006C0544" w14:paraId="672E5FD4" w14:textId="77777777">
      <w:pPr>
        <w:pStyle w:val="Heading1"/>
        <w:widowControl/>
        <w:numPr>
          <w:ilvl w:val="0"/>
          <w:numId w:val="7"/>
        </w:numPr>
        <w:spacing w:after="220"/>
        <w:jc w:val="both"/>
        <w:rPr>
          <w:szCs w:val="22"/>
        </w:rPr>
      </w:pPr>
      <w:r w:rsidRPr="00020B17">
        <w:rPr>
          <w:szCs w:val="22"/>
        </w:rPr>
        <w:t>INTRODUCTION</w:t>
      </w:r>
    </w:p>
    <w:p w:rsidR="006C0544" w:rsidRPr="00425E91" w:rsidP="004647D5" w14:paraId="791F3808" w14:textId="016E9A34">
      <w:pPr>
        <w:pStyle w:val="ParaNum"/>
        <w:tabs>
          <w:tab w:val="clear" w:pos="1080"/>
          <w:tab w:val="num" w:pos="1440"/>
        </w:tabs>
      </w:pPr>
      <w:r>
        <w:t>T</w:t>
      </w:r>
      <w:r w:rsidRPr="00020B17">
        <w:t>he Commission’s rules</w:t>
      </w:r>
      <w:r>
        <w:t xml:space="preserve"> prohibit</w:t>
      </w:r>
      <w:r w:rsidRPr="00020B17">
        <w:t xml:space="preserve"> transmitting or causing the transmission of Emergency Alert System (EAS) codes or Attention Signals or simulations thereof (collectively EAS Tones or Tones) in the absence of an actual national, state or local area emergency, authorized test of the EAS, or a qualified public service announcement (PSA).</w:t>
      </w:r>
      <w:r>
        <w:t xml:space="preserve">  </w:t>
      </w:r>
      <w:r w:rsidRPr="00020B17" w:rsidR="00D873B2">
        <w:t>Unauthorized use of the EAS Tones undermines the EAS and presents a substantial threat to public safety.</w:t>
      </w:r>
      <w:r w:rsidRPr="00020B17" w:rsidR="00890275">
        <w:t xml:space="preserve">  </w:t>
      </w:r>
      <w:r w:rsidRPr="00020B17" w:rsidR="00D873B2">
        <w:t xml:space="preserve">To preserve the unique alerting function of the EAS Tones, the Commission is committed to enforcing laws that prohibit the use of the Tones, or simulations of them, except for specific </w:t>
      </w:r>
      <w:r w:rsidRPr="00020B17" w:rsidR="00886479">
        <w:t>exceptions</w:t>
      </w:r>
      <w:r w:rsidRPr="00020B17" w:rsidR="00D873B2">
        <w:t xml:space="preserve">.  </w:t>
      </w:r>
      <w:r>
        <w:t>Therefore, w</w:t>
      </w:r>
      <w:r w:rsidRPr="00020B17">
        <w:t>e propose a penalty of twenty thousand dollars ($20,000) against Entercom License, LLC (Entercom)</w:t>
      </w:r>
      <w:r>
        <w:rPr>
          <w:rStyle w:val="FootnoteReference"/>
          <w:sz w:val="22"/>
          <w:szCs w:val="22"/>
        </w:rPr>
        <w:footnoteReference w:id="3"/>
      </w:r>
      <w:r w:rsidRPr="00020B17">
        <w:t xml:space="preserve"> for its apparently willful violation of</w:t>
      </w:r>
      <w:r>
        <w:t xml:space="preserve"> </w:t>
      </w:r>
      <w:r w:rsidRPr="00020B17">
        <w:t>the Commission’s rules</w:t>
      </w:r>
      <w:r>
        <w:t>.</w:t>
      </w:r>
      <w:r w:rsidRPr="00977F5D">
        <w:t xml:space="preserve">  Our action today advances the Commission’s goal of preserving the unique alerting function of the EAS Tones and ensuring that the Tones are </w:t>
      </w:r>
      <w:r w:rsidRPr="00977F5D" w:rsidR="00886479">
        <w:t>not used in any unauthorized manner</w:t>
      </w:r>
      <w:r w:rsidRPr="00977F5D">
        <w:t>.</w:t>
      </w:r>
    </w:p>
    <w:p w:rsidR="006C0544" w:rsidRPr="00425E91" w:rsidP="006C0544" w14:paraId="3DB579F3" w14:textId="77777777">
      <w:pPr>
        <w:pStyle w:val="Heading1"/>
        <w:widowControl/>
        <w:numPr>
          <w:ilvl w:val="0"/>
          <w:numId w:val="7"/>
        </w:numPr>
        <w:spacing w:after="220"/>
        <w:jc w:val="both"/>
        <w:rPr>
          <w:szCs w:val="22"/>
        </w:rPr>
      </w:pPr>
      <w:r w:rsidRPr="00425E91">
        <w:rPr>
          <w:szCs w:val="22"/>
        </w:rPr>
        <w:t>BACKGROUND</w:t>
      </w:r>
    </w:p>
    <w:p w:rsidR="000D5293" w:rsidRPr="000D5293" w:rsidP="004647D5" w14:paraId="632C6A54" w14:textId="2AC8619B">
      <w:pPr>
        <w:pStyle w:val="ParaNum"/>
        <w:tabs>
          <w:tab w:val="clear" w:pos="1080"/>
          <w:tab w:val="num" w:pos="1440"/>
        </w:tabs>
      </w:pPr>
      <w:r>
        <w:t xml:space="preserve">The EAS is </w:t>
      </w:r>
      <w:r w:rsidR="002363DE">
        <w:t xml:space="preserve">a </w:t>
      </w:r>
      <w:r w:rsidRPr="000D5293">
        <w:t>public warning system that requires broadcasters, cable television operators, wireless cable operators, wireline video service providers, satellite digital audio radio service providers, and direct broadcast satellite providers to supply the communications capability to the President of the United States to address the American public during a national emergency.</w:t>
      </w:r>
      <w:r>
        <w:rPr>
          <w:rStyle w:val="FootnoteReference"/>
          <w:szCs w:val="22"/>
        </w:rPr>
        <w:footnoteReference w:id="4"/>
      </w:r>
      <w:r w:rsidRPr="000D5293">
        <w:t xml:space="preserve">  Federal, state, and local authorities may also use the EAS to deliver important emergency information, such as AMBER alerts and weather information targeted to specific areas.  </w:t>
      </w:r>
    </w:p>
    <w:p w:rsidR="006C0544" w:rsidRPr="00977F5D" w:rsidP="004647D5" w14:paraId="01FF78A4" w14:textId="0B1E679A">
      <w:pPr>
        <w:pStyle w:val="ParaNum"/>
        <w:tabs>
          <w:tab w:val="clear" w:pos="1080"/>
          <w:tab w:val="num" w:pos="1440"/>
        </w:tabs>
        <w:rPr>
          <w:spacing w:val="-2"/>
          <w:szCs w:val="22"/>
        </w:rPr>
      </w:pPr>
      <w:r w:rsidRPr="00020B17">
        <w:rPr>
          <w:szCs w:val="22"/>
        </w:rPr>
        <w:t xml:space="preserve">The Commission’s </w:t>
      </w:r>
      <w:r w:rsidRPr="004647D5">
        <w:t>rule</w:t>
      </w:r>
      <w:r w:rsidRPr="00020B17">
        <w:rPr>
          <w:szCs w:val="22"/>
        </w:rPr>
        <w:t xml:space="preserve"> section 11.45 provides that “[n]o person may transmit or cause to transmit the EAS codes or Attention </w:t>
      </w:r>
      <w:r w:rsidRPr="004647D5">
        <w:t>Signal</w:t>
      </w:r>
      <w:r w:rsidRPr="00020B17">
        <w:rPr>
          <w:szCs w:val="22"/>
        </w:rPr>
        <w:t xml:space="preserve">, or a recording or simulation thereof, in any circumstance </w:t>
      </w:r>
      <w:r w:rsidRPr="00020B17">
        <w:rPr>
          <w:szCs w:val="22"/>
        </w:rPr>
        <w:t>other than in an actual National, State or Local Area emergency or authorized test of the EAS</w:t>
      </w:r>
      <w:r w:rsidRPr="00977F5D" w:rsidR="00D3707A">
        <w:rPr>
          <w:szCs w:val="22"/>
        </w:rPr>
        <w:t>, or as specified in [sections] 10.520(d), 11.46, and 11.61 of this chapter.”</w:t>
      </w:r>
      <w:r>
        <w:rPr>
          <w:szCs w:val="22"/>
          <w:vertAlign w:val="superscript"/>
        </w:rPr>
        <w:footnoteReference w:id="5"/>
      </w:r>
      <w:r w:rsidRPr="00977F5D" w:rsidR="00D3707A">
        <w:rPr>
          <w:szCs w:val="22"/>
        </w:rPr>
        <w:t xml:space="preserve">  The Commission adopted </w:t>
      </w:r>
      <w:r w:rsidRPr="00020B17" w:rsidR="00E46A57">
        <w:rPr>
          <w:szCs w:val="22"/>
        </w:rPr>
        <w:t>section 11.45</w:t>
      </w:r>
      <w:r w:rsidRPr="00977F5D" w:rsidR="00E46A57">
        <w:rPr>
          <w:szCs w:val="22"/>
        </w:rPr>
        <w:t xml:space="preserve"> </w:t>
      </w:r>
      <w:r w:rsidRPr="00977F5D" w:rsidR="00D3707A">
        <w:rPr>
          <w:szCs w:val="22"/>
        </w:rPr>
        <w:t>to protect the integrity and operation of the EAS,</w:t>
      </w:r>
      <w:r>
        <w:rPr>
          <w:szCs w:val="22"/>
          <w:vertAlign w:val="superscript"/>
        </w:rPr>
        <w:footnoteReference w:id="6"/>
      </w:r>
      <w:r w:rsidRPr="00977F5D" w:rsidR="00D3707A">
        <w:rPr>
          <w:szCs w:val="22"/>
        </w:rPr>
        <w:t xml:space="preserve"> acknowledging that while existing laws prohibited false distress signals and broadcast hoaxes, “a specific prohibition against the misuse of the EAS attention signal and codes is necessary . . . because it is more specific and directly addresses the proper use of EAS codes and Tones.”</w:t>
      </w:r>
      <w:r>
        <w:rPr>
          <w:szCs w:val="22"/>
          <w:vertAlign w:val="superscript"/>
        </w:rPr>
        <w:footnoteReference w:id="7"/>
      </w:r>
      <w:r w:rsidRPr="00977F5D" w:rsidR="00D3707A">
        <w:rPr>
          <w:szCs w:val="22"/>
        </w:rPr>
        <w:t xml:space="preserve">  </w:t>
      </w:r>
    </w:p>
    <w:p w:rsidR="00A74201" w:rsidP="004647D5" w14:paraId="6FAE99CD" w14:textId="3B795C97">
      <w:pPr>
        <w:pStyle w:val="ParaNum"/>
        <w:tabs>
          <w:tab w:val="clear" w:pos="1080"/>
          <w:tab w:val="num" w:pos="1440"/>
        </w:tabs>
        <w:rPr>
          <w:szCs w:val="22"/>
        </w:rPr>
      </w:pPr>
      <w:r w:rsidRPr="00977F5D">
        <w:rPr>
          <w:szCs w:val="22"/>
        </w:rPr>
        <w:t>The underlying policy concern is not limited to potential listener confusion at the moment of the improper broadcast of the EAS Tones</w:t>
      </w:r>
      <w:r w:rsidR="002363DE">
        <w:rPr>
          <w:szCs w:val="22"/>
        </w:rPr>
        <w:t xml:space="preserve">. </w:t>
      </w:r>
      <w:r w:rsidRPr="00977F5D" w:rsidR="002363DE">
        <w:rPr>
          <w:szCs w:val="22"/>
        </w:rPr>
        <w:t xml:space="preserve"> </w:t>
      </w:r>
      <w:r w:rsidR="002363DE">
        <w:rPr>
          <w:szCs w:val="22"/>
        </w:rPr>
        <w:t>T</w:t>
      </w:r>
      <w:r w:rsidRPr="00977F5D" w:rsidR="002363DE">
        <w:rPr>
          <w:szCs w:val="22"/>
        </w:rPr>
        <w:t xml:space="preserve">he </w:t>
      </w:r>
      <w:r w:rsidRPr="00977F5D">
        <w:rPr>
          <w:szCs w:val="22"/>
        </w:rPr>
        <w:t>Commission also has warned that the use of simulated or actual EAS Tones for non-authorized purposes</w:t>
      </w:r>
      <w:r w:rsidRPr="00977F5D" w:rsidR="00423CD9">
        <w:rPr>
          <w:szCs w:val="22"/>
        </w:rPr>
        <w:t>—</w:t>
      </w:r>
      <w:r w:rsidRPr="00977F5D">
        <w:rPr>
          <w:szCs w:val="22"/>
        </w:rPr>
        <w:t>such as commercial or entertainment purposes</w:t>
      </w:r>
      <w:r w:rsidRPr="00977F5D" w:rsidR="00423CD9">
        <w:rPr>
          <w:szCs w:val="22"/>
        </w:rPr>
        <w:t>—</w:t>
      </w:r>
      <w:r w:rsidRPr="00977F5D">
        <w:rPr>
          <w:szCs w:val="22"/>
        </w:rPr>
        <w:t>can lead to a d</w:t>
      </w:r>
      <w:r w:rsidRPr="00425E91">
        <w:rPr>
          <w:szCs w:val="22"/>
        </w:rPr>
        <w:t>angerous “cry-wolf effect” or “alert fatigue</w:t>
      </w:r>
      <w:r w:rsidR="002363DE">
        <w:rPr>
          <w:szCs w:val="22"/>
        </w:rPr>
        <w:t>.</w:t>
      </w:r>
      <w:r w:rsidRPr="00425E91" w:rsidR="002363DE">
        <w:rPr>
          <w:szCs w:val="22"/>
        </w:rPr>
        <w:t xml:space="preserve">” </w:t>
      </w:r>
      <w:r w:rsidR="00A91172">
        <w:rPr>
          <w:szCs w:val="22"/>
        </w:rPr>
        <w:t xml:space="preserve"> </w:t>
      </w:r>
      <w:r w:rsidR="002363DE">
        <w:rPr>
          <w:szCs w:val="22"/>
        </w:rPr>
        <w:t xml:space="preserve">In those circumstances, </w:t>
      </w:r>
      <w:r w:rsidRPr="00425E91">
        <w:rPr>
          <w:szCs w:val="22"/>
        </w:rPr>
        <w:t xml:space="preserve">the public becomes desensitized to the alerts, and questions </w:t>
      </w:r>
      <w:r w:rsidRPr="004647D5">
        <w:t>or</w:t>
      </w:r>
      <w:r w:rsidRPr="00425E91">
        <w:rPr>
          <w:szCs w:val="22"/>
        </w:rPr>
        <w:t xml:space="preserve"> simply disregards whether a particular alert is intended to warn about a real, imminent threat or some other cause.</w:t>
      </w:r>
      <w:r>
        <w:rPr>
          <w:rStyle w:val="FootnoteReference"/>
          <w:sz w:val="22"/>
          <w:szCs w:val="22"/>
        </w:rPr>
        <w:footnoteReference w:id="8"/>
      </w:r>
      <w:r w:rsidRPr="00977F5D">
        <w:rPr>
          <w:szCs w:val="22"/>
        </w:rPr>
        <w:t xml:space="preserve">  Moreover, because the EAS Tones include operative data elements, the misuse of simulated or actual EAS Tones may result in false activations of the EAS that can spread false information or lock out legitimate activations of the EAS.</w:t>
      </w:r>
      <w:r>
        <w:rPr>
          <w:rStyle w:val="FootnoteReference"/>
          <w:sz w:val="22"/>
          <w:szCs w:val="22"/>
        </w:rPr>
        <w:footnoteReference w:id="9"/>
      </w:r>
      <w:r w:rsidRPr="00977F5D">
        <w:rPr>
          <w:szCs w:val="22"/>
        </w:rPr>
        <w:t xml:space="preserve">  </w:t>
      </w:r>
    </w:p>
    <w:p w:rsidR="006C0544" w:rsidP="009502BA" w14:paraId="40C3E8A5" w14:textId="2BBC4D67">
      <w:pPr>
        <w:pStyle w:val="ParaNum"/>
        <w:widowControl/>
        <w:tabs>
          <w:tab w:val="clear" w:pos="1080"/>
          <w:tab w:val="num" w:pos="1440"/>
        </w:tabs>
        <w:rPr>
          <w:szCs w:val="22"/>
        </w:rPr>
      </w:pPr>
      <w:r w:rsidRPr="00A74201">
        <w:rPr>
          <w:szCs w:val="22"/>
        </w:rPr>
        <w:t xml:space="preserve">The EAS uses a four-part message for an emergency activation.  The four parts are: Preamble and EAS Header Codes; audio Attention Signal; message; and Preamble and EAS End of Message (EOM) Codes.  The component sounds of an EAS message serve the dual purposes of gaining the listener’s or viewer’s attention and </w:t>
      </w:r>
      <w:r w:rsidRPr="004647D5">
        <w:t>conveying</w:t>
      </w:r>
      <w:r w:rsidRPr="00A74201">
        <w:rPr>
          <w:szCs w:val="22"/>
        </w:rPr>
        <w:t xml:space="preserve"> specially coded information for the equipment that is activated by the EAS message as part of an actual emergency or authorized test.  In particular, the EAS codes consist of audible sounds in which encoded information concerning the particular alert is embedded.  The separate EAS Attention Signal that follows the EAS codes comprises two Tones that are transmitted simultaneously.</w:t>
      </w:r>
      <w:r>
        <w:rPr>
          <w:szCs w:val="22"/>
        </w:rPr>
        <w:t xml:space="preserve">  </w:t>
      </w:r>
      <w:r w:rsidRPr="00977F5D" w:rsidR="00886479">
        <w:rPr>
          <w:szCs w:val="22"/>
        </w:rPr>
        <w:t>The use of EAS Tone</w:t>
      </w:r>
      <w:r w:rsidR="00A64A90">
        <w:rPr>
          <w:szCs w:val="22"/>
        </w:rPr>
        <w:t>s</w:t>
      </w:r>
      <w:r w:rsidRPr="00977F5D" w:rsidR="00886479">
        <w:rPr>
          <w:szCs w:val="22"/>
        </w:rPr>
        <w:t xml:space="preserve">, or simulations of them, is prohibited except for </w:t>
      </w:r>
      <w:r w:rsidR="002363DE">
        <w:rPr>
          <w:szCs w:val="22"/>
        </w:rPr>
        <w:t>u</w:t>
      </w:r>
      <w:r w:rsidRPr="00977F5D" w:rsidR="00886479">
        <w:rPr>
          <w:szCs w:val="22"/>
        </w:rPr>
        <w:t>ses</w:t>
      </w:r>
      <w:r w:rsidR="002363DE">
        <w:rPr>
          <w:szCs w:val="22"/>
        </w:rPr>
        <w:t xml:space="preserve"> </w:t>
      </w:r>
      <w:r w:rsidR="002363DE">
        <w:rPr>
          <w:szCs w:val="22"/>
        </w:rPr>
        <w:t>permitted under the rules</w:t>
      </w:r>
      <w:r w:rsidRPr="00977F5D" w:rsidR="00886479">
        <w:rPr>
          <w:szCs w:val="22"/>
        </w:rPr>
        <w:t>.</w:t>
      </w:r>
      <w:r>
        <w:rPr>
          <w:rStyle w:val="FootnoteReference"/>
          <w:sz w:val="22"/>
          <w:szCs w:val="22"/>
        </w:rPr>
        <w:footnoteReference w:id="10"/>
      </w:r>
      <w:r w:rsidR="004A737D">
        <w:rPr>
          <w:szCs w:val="22"/>
        </w:rPr>
        <w:t xml:space="preserve">  </w:t>
      </w:r>
      <w:r w:rsidRPr="00144019" w:rsidR="009C282A">
        <w:rPr>
          <w:szCs w:val="22"/>
        </w:rPr>
        <w:t>Permitted uses of the EAS are limited to alerts of actual emergencies, authorized tests of the EAS, or qualified PSAs (collectively Permitted Uses).</w:t>
      </w:r>
      <w:r>
        <w:rPr>
          <w:rStyle w:val="FootnoteReference"/>
          <w:sz w:val="22"/>
          <w:szCs w:val="22"/>
        </w:rPr>
        <w:footnoteReference w:id="11"/>
      </w:r>
    </w:p>
    <w:p w:rsidR="00130833" w:rsidRPr="00977F5D" w:rsidP="004647D5" w14:paraId="70A60DD0" w14:textId="6549EF8A">
      <w:pPr>
        <w:pStyle w:val="ParaNum"/>
        <w:tabs>
          <w:tab w:val="clear" w:pos="1080"/>
          <w:tab w:val="num" w:pos="1440"/>
        </w:tabs>
        <w:rPr>
          <w:szCs w:val="22"/>
        </w:rPr>
      </w:pPr>
      <w:r>
        <w:rPr>
          <w:szCs w:val="22"/>
        </w:rPr>
        <w:t xml:space="preserve">Entercom is the licensee of WNEW(FM), and its parent, </w:t>
      </w:r>
      <w:r>
        <w:rPr>
          <w:szCs w:val="22"/>
        </w:rPr>
        <w:t>Entercom Communications Corporation</w:t>
      </w:r>
      <w:r w:rsidR="008A079D">
        <w:rPr>
          <w:szCs w:val="22"/>
        </w:rPr>
        <w:t>,</w:t>
      </w:r>
      <w:r>
        <w:rPr>
          <w:szCs w:val="22"/>
        </w:rPr>
        <w:t xml:space="preserve"> is </w:t>
      </w:r>
      <w:r>
        <w:rPr>
          <w:szCs w:val="22"/>
        </w:rPr>
        <w:t xml:space="preserve">one of the two largest </w:t>
      </w:r>
      <w:r w:rsidRPr="004647D5" w:rsidR="007C6CF2">
        <w:t>radio</w:t>
      </w:r>
      <w:r w:rsidR="007C6CF2">
        <w:rPr>
          <w:szCs w:val="22"/>
        </w:rPr>
        <w:t xml:space="preserve"> broadcasters</w:t>
      </w:r>
      <w:r w:rsidR="008A079D">
        <w:rPr>
          <w:szCs w:val="22"/>
        </w:rPr>
        <w:t xml:space="preserve"> in the United States.</w:t>
      </w:r>
      <w:r>
        <w:rPr>
          <w:rStyle w:val="FootnoteReference"/>
          <w:szCs w:val="22"/>
        </w:rPr>
        <w:footnoteReference w:id="12"/>
      </w:r>
      <w:r>
        <w:rPr>
          <w:szCs w:val="22"/>
        </w:rPr>
        <w:t xml:space="preserve">  </w:t>
      </w:r>
      <w:r w:rsidR="007C6CF2">
        <w:rPr>
          <w:szCs w:val="22"/>
        </w:rPr>
        <w:t>Entercom has a network of 235 radio stations in markets across the country.</w:t>
      </w:r>
      <w:r>
        <w:rPr>
          <w:rStyle w:val="FootnoteReference"/>
          <w:szCs w:val="22"/>
        </w:rPr>
        <w:footnoteReference w:id="13"/>
      </w:r>
    </w:p>
    <w:p w:rsidR="006C0544" w:rsidRPr="00977F5D" w:rsidP="004647D5" w14:paraId="1FF30DE0" w14:textId="39E1E01A">
      <w:pPr>
        <w:pStyle w:val="ParaNum"/>
        <w:tabs>
          <w:tab w:val="clear" w:pos="1080"/>
          <w:tab w:val="num" w:pos="1440"/>
        </w:tabs>
        <w:rPr>
          <w:spacing w:val="-2"/>
          <w:szCs w:val="22"/>
        </w:rPr>
      </w:pPr>
      <w:r w:rsidRPr="004E4958">
        <w:rPr>
          <w:szCs w:val="22"/>
        </w:rPr>
        <w:t xml:space="preserve">At 2:18 p.m. Eastern Daylight Time (EDT) on October 3, 2018, FEMA, in coordination with the Commission, sent a </w:t>
      </w:r>
      <w:r w:rsidRPr="00977F5D">
        <w:rPr>
          <w:spacing w:val="-2"/>
          <w:szCs w:val="22"/>
        </w:rPr>
        <w:t>Wireless Emergency Alert (WEA)</w:t>
      </w:r>
      <w:r>
        <w:rPr>
          <w:rStyle w:val="FootnoteReference"/>
          <w:spacing w:val="-2"/>
          <w:szCs w:val="22"/>
        </w:rPr>
        <w:footnoteReference w:id="14"/>
      </w:r>
      <w:r>
        <w:rPr>
          <w:spacing w:val="-2"/>
          <w:szCs w:val="22"/>
        </w:rPr>
        <w:t xml:space="preserve"> </w:t>
      </w:r>
      <w:r w:rsidRPr="004E4958">
        <w:rPr>
          <w:szCs w:val="22"/>
        </w:rPr>
        <w:t xml:space="preserve">test message to WEA-capable wireless devices throughout the entire United </w:t>
      </w:r>
      <w:r w:rsidRPr="004647D5">
        <w:t>States</w:t>
      </w:r>
      <w:r w:rsidRPr="004E4958">
        <w:rPr>
          <w:szCs w:val="22"/>
        </w:rPr>
        <w:t xml:space="preserve"> and territories.  Immediately following the WEA nationwide end-to-end test, at 2:20 p.m. EDT, FEMA conducted a live test of the EAS.</w:t>
      </w:r>
      <w:r>
        <w:rPr>
          <w:rStyle w:val="FootnoteReference"/>
          <w:szCs w:val="22"/>
        </w:rPr>
        <w:footnoteReference w:id="15"/>
      </w:r>
      <w:r>
        <w:rPr>
          <w:szCs w:val="22"/>
        </w:rPr>
        <w:t xml:space="preserve">  </w:t>
      </w:r>
      <w:r w:rsidRPr="00020B17">
        <w:rPr>
          <w:spacing w:val="-2"/>
          <w:szCs w:val="22"/>
        </w:rPr>
        <w:t>The Commission received a complaint (Complaint) alleging that Station WNEW-FM, New York, New York (Station), licensed to Entercom</w:t>
      </w:r>
      <w:r w:rsidRPr="00020B17" w:rsidR="00423CD9">
        <w:rPr>
          <w:spacing w:val="-2"/>
          <w:szCs w:val="22"/>
        </w:rPr>
        <w:t>,</w:t>
      </w:r>
      <w:r w:rsidRPr="00977F5D">
        <w:rPr>
          <w:spacing w:val="-2"/>
          <w:szCs w:val="22"/>
        </w:rPr>
        <w:t xml:space="preserve"> improperly transmitted an EAS </w:t>
      </w:r>
      <w:r w:rsidR="00A64A90">
        <w:rPr>
          <w:spacing w:val="-2"/>
          <w:szCs w:val="22"/>
        </w:rPr>
        <w:t>T</w:t>
      </w:r>
      <w:r w:rsidRPr="00977F5D">
        <w:rPr>
          <w:spacing w:val="-2"/>
          <w:szCs w:val="22"/>
        </w:rPr>
        <w:t>one on October 3, 2018.</w:t>
      </w:r>
      <w:r>
        <w:rPr>
          <w:rStyle w:val="FootnoteReference"/>
          <w:color w:val="000000"/>
          <w:sz w:val="22"/>
          <w:szCs w:val="22"/>
        </w:rPr>
        <w:footnoteReference w:id="16"/>
      </w:r>
      <w:r w:rsidRPr="00977F5D">
        <w:rPr>
          <w:spacing w:val="-2"/>
          <w:szCs w:val="22"/>
        </w:rPr>
        <w:t xml:space="preserve">  According to the Complaint, Entercom used an emergency tone during the “Karen &amp; Jeffrey” program in a skit lampooning the nationwide </w:t>
      </w:r>
      <w:r w:rsidR="000417EC">
        <w:rPr>
          <w:spacing w:val="-2"/>
          <w:szCs w:val="22"/>
        </w:rPr>
        <w:t xml:space="preserve">WEA </w:t>
      </w:r>
      <w:r w:rsidRPr="00977F5D">
        <w:rPr>
          <w:spacing w:val="-2"/>
          <w:szCs w:val="22"/>
        </w:rPr>
        <w:t>test that was conducted later that day.</w:t>
      </w:r>
      <w:r>
        <w:rPr>
          <w:rStyle w:val="FootnoteReference"/>
          <w:color w:val="000000"/>
          <w:sz w:val="22"/>
          <w:szCs w:val="22"/>
        </w:rPr>
        <w:footnoteReference w:id="17"/>
      </w:r>
      <w:r w:rsidRPr="00977F5D">
        <w:rPr>
          <w:spacing w:val="-2"/>
          <w:szCs w:val="22"/>
        </w:rPr>
        <w:t xml:space="preserve">  </w:t>
      </w:r>
    </w:p>
    <w:p w:rsidR="006C0544" w:rsidRPr="00977F5D" w:rsidP="004647D5" w14:paraId="4A681920" w14:textId="4FFDEE60">
      <w:pPr>
        <w:pStyle w:val="ParaNum"/>
        <w:tabs>
          <w:tab w:val="clear" w:pos="1080"/>
          <w:tab w:val="num" w:pos="1440"/>
        </w:tabs>
        <w:rPr>
          <w:spacing w:val="-2"/>
          <w:szCs w:val="22"/>
        </w:rPr>
      </w:pPr>
      <w:r w:rsidRPr="00425E91">
        <w:rPr>
          <w:spacing w:val="-2"/>
          <w:szCs w:val="22"/>
        </w:rPr>
        <w:t>In response to the Complaint, the Enforcement Bureau’s Investigations and Hearings Division issued a letter of inquiry (LOI) on June 27, 2019,</w:t>
      </w:r>
      <w:r>
        <w:rPr>
          <w:spacing w:val="-2"/>
          <w:szCs w:val="22"/>
          <w:vertAlign w:val="superscript"/>
        </w:rPr>
        <w:footnoteReference w:id="18"/>
      </w:r>
      <w:r w:rsidRPr="00977F5D">
        <w:rPr>
          <w:spacing w:val="-2"/>
          <w:szCs w:val="22"/>
        </w:rPr>
        <w:t xml:space="preserve"> directing Entercom to produce, among other things, recordings of the alleged programming, and sworn written statements as to whether it had transmitted, or caused the transmission of, the EAS Tones.</w:t>
      </w:r>
      <w:r>
        <w:rPr>
          <w:spacing w:val="-2"/>
          <w:szCs w:val="22"/>
          <w:vertAlign w:val="superscript"/>
        </w:rPr>
        <w:footnoteReference w:id="19"/>
      </w:r>
      <w:r w:rsidRPr="00977F5D">
        <w:rPr>
          <w:spacing w:val="-2"/>
          <w:szCs w:val="22"/>
        </w:rPr>
        <w:t xml:space="preserve">  Entercom responded to the LOI on August 29, 2019.</w:t>
      </w:r>
      <w:r>
        <w:rPr>
          <w:spacing w:val="-2"/>
          <w:szCs w:val="22"/>
          <w:vertAlign w:val="superscript"/>
        </w:rPr>
        <w:footnoteReference w:id="20"/>
      </w:r>
      <w:r w:rsidRPr="00977F5D">
        <w:rPr>
          <w:spacing w:val="-2"/>
          <w:szCs w:val="22"/>
        </w:rPr>
        <w:t xml:space="preserve">  In its LOI Response, Entercom admits that the Station aired the Attention Signal as part of the WEA skit and that the transmission was not in connection with an actual emergency, authorized test of the EAS, or a PSA.</w:t>
      </w:r>
      <w:r>
        <w:rPr>
          <w:spacing w:val="-2"/>
          <w:szCs w:val="22"/>
          <w:vertAlign w:val="superscript"/>
        </w:rPr>
        <w:footnoteReference w:id="21"/>
      </w:r>
      <w:r w:rsidRPr="00977F5D">
        <w:rPr>
          <w:spacing w:val="-2"/>
          <w:szCs w:val="22"/>
        </w:rPr>
        <w:t xml:space="preserve">  Entercom explains that the skit was produced by a station employee (Employee) who included the EAS Header Code in the initial version of the skit.</w:t>
      </w:r>
      <w:r>
        <w:rPr>
          <w:spacing w:val="-2"/>
          <w:szCs w:val="22"/>
          <w:vertAlign w:val="superscript"/>
        </w:rPr>
        <w:footnoteReference w:id="22"/>
      </w:r>
      <w:r w:rsidRPr="00977F5D">
        <w:rPr>
          <w:spacing w:val="-2"/>
          <w:szCs w:val="22"/>
        </w:rPr>
        <w:t xml:space="preserve">  After the host of the radio show (Host) </w:t>
      </w:r>
      <w:r w:rsidRPr="00977F5D">
        <w:rPr>
          <w:spacing w:val="-2"/>
          <w:szCs w:val="22"/>
        </w:rPr>
        <w:t>and the Station Program Director identified the use of the EAS Header Code as problematic and something that must be removed from the segment,</w:t>
      </w:r>
      <w:r>
        <w:rPr>
          <w:spacing w:val="-2"/>
          <w:szCs w:val="22"/>
          <w:vertAlign w:val="superscript"/>
        </w:rPr>
        <w:footnoteReference w:id="23"/>
      </w:r>
      <w:r w:rsidRPr="00977F5D">
        <w:rPr>
          <w:spacing w:val="-2"/>
          <w:szCs w:val="22"/>
        </w:rPr>
        <w:t xml:space="preserve"> the Employee replaced it with approximately one second of the Attention Signal.</w:t>
      </w:r>
      <w:r>
        <w:rPr>
          <w:spacing w:val="-2"/>
          <w:szCs w:val="22"/>
          <w:vertAlign w:val="superscript"/>
        </w:rPr>
        <w:footnoteReference w:id="24"/>
      </w:r>
      <w:r w:rsidRPr="00977F5D">
        <w:rPr>
          <w:spacing w:val="-2"/>
          <w:szCs w:val="22"/>
        </w:rPr>
        <w:t xml:space="preserve">  The Station Program Director approved the revised segment for air.</w:t>
      </w:r>
      <w:r>
        <w:rPr>
          <w:spacing w:val="-2"/>
          <w:szCs w:val="22"/>
          <w:vertAlign w:val="superscript"/>
        </w:rPr>
        <w:footnoteReference w:id="25"/>
      </w:r>
      <w:r w:rsidRPr="00977F5D">
        <w:rPr>
          <w:spacing w:val="-2"/>
          <w:szCs w:val="22"/>
        </w:rPr>
        <w:t xml:space="preserve">  The Attention Signal was aired once on</w:t>
      </w:r>
      <w:r w:rsidR="00903D86">
        <w:rPr>
          <w:spacing w:val="-2"/>
          <w:szCs w:val="22"/>
        </w:rPr>
        <w:t xml:space="preserve"> one station,</w:t>
      </w:r>
      <w:r w:rsidRPr="00977F5D">
        <w:rPr>
          <w:spacing w:val="-2"/>
          <w:szCs w:val="22"/>
        </w:rPr>
        <w:t xml:space="preserve"> WNEW-FM</w:t>
      </w:r>
      <w:r w:rsidR="00903D86">
        <w:rPr>
          <w:spacing w:val="-2"/>
          <w:szCs w:val="22"/>
        </w:rPr>
        <w:t>,</w:t>
      </w:r>
      <w:r w:rsidRPr="00977F5D">
        <w:rPr>
          <w:spacing w:val="-2"/>
          <w:szCs w:val="22"/>
        </w:rPr>
        <w:t xml:space="preserve"> on October 3, 2018 at 7:52 AM.</w:t>
      </w:r>
      <w:r>
        <w:rPr>
          <w:rStyle w:val="FootnoteReference"/>
          <w:spacing w:val="-2"/>
          <w:sz w:val="22"/>
          <w:szCs w:val="22"/>
        </w:rPr>
        <w:footnoteReference w:id="26"/>
      </w:r>
      <w:r w:rsidRPr="00977F5D">
        <w:rPr>
          <w:spacing w:val="-2"/>
          <w:szCs w:val="22"/>
        </w:rPr>
        <w:t xml:space="preserve"> </w:t>
      </w:r>
    </w:p>
    <w:p w:rsidR="006C0544" w:rsidRPr="00425E91" w:rsidP="006C0544" w14:paraId="3B4F7DFD" w14:textId="77777777">
      <w:pPr>
        <w:pStyle w:val="Heading1"/>
        <w:widowControl/>
        <w:numPr>
          <w:ilvl w:val="0"/>
          <w:numId w:val="7"/>
        </w:numPr>
        <w:spacing w:after="220"/>
        <w:jc w:val="both"/>
        <w:rPr>
          <w:szCs w:val="22"/>
        </w:rPr>
      </w:pPr>
      <w:r w:rsidRPr="00977F5D">
        <w:rPr>
          <w:szCs w:val="22"/>
        </w:rPr>
        <w:t>DISCUSSION</w:t>
      </w:r>
    </w:p>
    <w:p w:rsidR="006C0544" w:rsidRPr="00977F5D" w:rsidP="004647D5" w14:paraId="73A131C4" w14:textId="27839A3F">
      <w:pPr>
        <w:pStyle w:val="ParaNum"/>
        <w:tabs>
          <w:tab w:val="clear" w:pos="1080"/>
          <w:tab w:val="num" w:pos="1440"/>
        </w:tabs>
        <w:rPr>
          <w:color w:val="000000"/>
          <w:szCs w:val="22"/>
        </w:rPr>
      </w:pPr>
      <w:r w:rsidRPr="00425E91">
        <w:rPr>
          <w:szCs w:val="22"/>
        </w:rPr>
        <w:t>The</w:t>
      </w:r>
      <w:r w:rsidRPr="00020B17">
        <w:rPr>
          <w:color w:val="000000"/>
          <w:szCs w:val="22"/>
        </w:rPr>
        <w:t xml:space="preserve"> record reflects that </w:t>
      </w:r>
      <w:r w:rsidRPr="004647D5">
        <w:t>on</w:t>
      </w:r>
      <w:r w:rsidRPr="00020B17">
        <w:rPr>
          <w:color w:val="000000"/>
          <w:szCs w:val="22"/>
        </w:rPr>
        <w:t xml:space="preserve"> </w:t>
      </w:r>
      <w:r w:rsidRPr="00020B17">
        <w:rPr>
          <w:spacing w:val="-2"/>
          <w:szCs w:val="22"/>
        </w:rPr>
        <w:t>October 3, 2018</w:t>
      </w:r>
      <w:r w:rsidRPr="00020B17" w:rsidR="00F23961">
        <w:rPr>
          <w:spacing w:val="-2"/>
          <w:szCs w:val="22"/>
        </w:rPr>
        <w:t>,</w:t>
      </w:r>
      <w:r w:rsidRPr="00020B17">
        <w:rPr>
          <w:spacing w:val="-2"/>
          <w:szCs w:val="22"/>
        </w:rPr>
        <w:t xml:space="preserve"> at 7:52 AM, the Station transmitted the Attention Signal in the absence of an actual emergency, authorized test of the EAS, or a PSA.</w:t>
      </w:r>
      <w:r>
        <w:rPr>
          <w:rStyle w:val="FootnoteReference"/>
          <w:spacing w:val="-2"/>
          <w:sz w:val="22"/>
          <w:szCs w:val="22"/>
        </w:rPr>
        <w:footnoteReference w:id="27"/>
      </w:r>
      <w:r w:rsidRPr="00977F5D">
        <w:rPr>
          <w:spacing w:val="-2"/>
          <w:szCs w:val="22"/>
        </w:rPr>
        <w:t xml:space="preserve">  As evident in the transcript and audio clip of the skit, the Station lampooned the WEA test that was scheduled to take place later that day.</w:t>
      </w:r>
      <w:r>
        <w:rPr>
          <w:rStyle w:val="FootnoteReference"/>
          <w:spacing w:val="-2"/>
          <w:sz w:val="22"/>
          <w:szCs w:val="22"/>
        </w:rPr>
        <w:footnoteReference w:id="28"/>
      </w:r>
      <w:r w:rsidRPr="00977F5D">
        <w:rPr>
          <w:spacing w:val="-2"/>
          <w:szCs w:val="22"/>
        </w:rPr>
        <w:t xml:space="preserve">  In its LOI Response, Entercom admits that the Host and Station Program Director recognized that the use of the EAS Header Code was impermissible.</w:t>
      </w:r>
      <w:r>
        <w:rPr>
          <w:rStyle w:val="FootnoteReference"/>
          <w:spacing w:val="-2"/>
          <w:sz w:val="22"/>
          <w:szCs w:val="22"/>
        </w:rPr>
        <w:footnoteReference w:id="29"/>
      </w:r>
      <w:r w:rsidRPr="00977F5D">
        <w:rPr>
          <w:spacing w:val="-2"/>
          <w:szCs w:val="22"/>
        </w:rPr>
        <w:t xml:space="preserve">  Despite having a policy on the misuse of EAS </w:t>
      </w:r>
      <w:r w:rsidR="00A64A90">
        <w:rPr>
          <w:spacing w:val="-2"/>
          <w:szCs w:val="22"/>
        </w:rPr>
        <w:t>T</w:t>
      </w:r>
      <w:r w:rsidRPr="00977F5D">
        <w:rPr>
          <w:spacing w:val="-2"/>
          <w:szCs w:val="22"/>
        </w:rPr>
        <w:t>ones, Entercom admits that the Station aired the Attention Signal for approximately one second.</w:t>
      </w:r>
      <w:r>
        <w:rPr>
          <w:rStyle w:val="FootnoteReference"/>
          <w:spacing w:val="-2"/>
          <w:sz w:val="22"/>
          <w:szCs w:val="22"/>
        </w:rPr>
        <w:footnoteReference w:id="30"/>
      </w:r>
      <w:r w:rsidRPr="00977F5D">
        <w:rPr>
          <w:spacing w:val="-2"/>
          <w:szCs w:val="22"/>
        </w:rPr>
        <w:t xml:space="preserve">  </w:t>
      </w:r>
    </w:p>
    <w:p w:rsidR="006C0544" w:rsidRPr="00977F5D" w:rsidP="004647D5" w14:paraId="09FF2AC3" w14:textId="401DB241">
      <w:pPr>
        <w:pStyle w:val="ParaNum"/>
        <w:tabs>
          <w:tab w:val="clear" w:pos="1080"/>
          <w:tab w:val="num" w:pos="1440"/>
        </w:tabs>
        <w:rPr>
          <w:color w:val="000000"/>
          <w:szCs w:val="22"/>
        </w:rPr>
      </w:pPr>
      <w:r w:rsidRPr="00977F5D">
        <w:rPr>
          <w:color w:val="000000"/>
          <w:szCs w:val="22"/>
        </w:rPr>
        <w:t xml:space="preserve">Entercom’s use of the Attention Signal in a parody of the first nationwide test of the EAS and WEA is specifically the type of behavior </w:t>
      </w:r>
      <w:r w:rsidRPr="00425E91" w:rsidR="00BD1929">
        <w:rPr>
          <w:szCs w:val="22"/>
        </w:rPr>
        <w:t xml:space="preserve">section 11.45 </w:t>
      </w:r>
      <w:r w:rsidRPr="00425E91">
        <w:rPr>
          <w:color w:val="000000"/>
          <w:szCs w:val="22"/>
        </w:rPr>
        <w:t>seeks to p</w:t>
      </w:r>
      <w:r w:rsidRPr="00020B17">
        <w:rPr>
          <w:color w:val="000000"/>
          <w:szCs w:val="22"/>
        </w:rPr>
        <w:t xml:space="preserve">revent.  The unauthorized and inappropriate use of the </w:t>
      </w:r>
      <w:r w:rsidR="006241D9">
        <w:rPr>
          <w:color w:val="000000"/>
          <w:szCs w:val="22"/>
        </w:rPr>
        <w:t>EAS T</w:t>
      </w:r>
      <w:r w:rsidRPr="00020B17">
        <w:rPr>
          <w:color w:val="000000"/>
          <w:szCs w:val="22"/>
        </w:rPr>
        <w:t>one</w:t>
      </w:r>
      <w:r w:rsidR="006241D9">
        <w:rPr>
          <w:color w:val="000000"/>
          <w:szCs w:val="22"/>
        </w:rPr>
        <w:t>s</w:t>
      </w:r>
      <w:r w:rsidRPr="00020B17">
        <w:rPr>
          <w:color w:val="000000"/>
          <w:szCs w:val="22"/>
        </w:rPr>
        <w:t xml:space="preserve"> may confuse people or lead to alert fatigue, resulting in people ignoring potentially life-saving warnings and information.  </w:t>
      </w:r>
      <w:r w:rsidRPr="00A5585D">
        <w:rPr>
          <w:color w:val="000000"/>
          <w:szCs w:val="22"/>
        </w:rPr>
        <w:t xml:space="preserve">We find that </w:t>
      </w:r>
      <w:r w:rsidRPr="00A5585D" w:rsidR="00AB5678">
        <w:rPr>
          <w:color w:val="000000"/>
          <w:szCs w:val="22"/>
        </w:rPr>
        <w:t xml:space="preserve">an average listener could reasonably mistake the </w:t>
      </w:r>
      <w:r w:rsidRPr="00A5585D">
        <w:rPr>
          <w:color w:val="000000"/>
          <w:szCs w:val="22"/>
        </w:rPr>
        <w:t xml:space="preserve">airing </w:t>
      </w:r>
      <w:r w:rsidRPr="00A5585D" w:rsidR="00AB5678">
        <w:rPr>
          <w:color w:val="000000"/>
          <w:szCs w:val="22"/>
        </w:rPr>
        <w:t xml:space="preserve">of </w:t>
      </w:r>
      <w:r w:rsidRPr="00A5585D">
        <w:rPr>
          <w:color w:val="000000"/>
          <w:szCs w:val="22"/>
        </w:rPr>
        <w:t xml:space="preserve">part of </w:t>
      </w:r>
      <w:r w:rsidRPr="004647D5">
        <w:t>the</w:t>
      </w:r>
      <w:r w:rsidRPr="00A5585D">
        <w:rPr>
          <w:color w:val="000000"/>
          <w:szCs w:val="22"/>
        </w:rPr>
        <w:t xml:space="preserve"> Attention Signal for </w:t>
      </w:r>
      <w:r w:rsidRPr="00A5585D" w:rsidR="00AB5678">
        <w:rPr>
          <w:color w:val="000000"/>
          <w:szCs w:val="22"/>
        </w:rPr>
        <w:t xml:space="preserve">an </w:t>
      </w:r>
      <w:r w:rsidRPr="00A5585D">
        <w:rPr>
          <w:color w:val="000000"/>
          <w:szCs w:val="22"/>
        </w:rPr>
        <w:t xml:space="preserve">actual EAS </w:t>
      </w:r>
      <w:r w:rsidRPr="00A5585D" w:rsidR="00AB5678">
        <w:rPr>
          <w:color w:val="000000"/>
          <w:szCs w:val="22"/>
        </w:rPr>
        <w:t>alert</w:t>
      </w:r>
      <w:r w:rsidRPr="00020B17">
        <w:rPr>
          <w:color w:val="000000"/>
          <w:szCs w:val="22"/>
        </w:rPr>
        <w:t>.  The length of the transmission is not controlling in our liability determination.</w:t>
      </w:r>
      <w:r>
        <w:rPr>
          <w:rStyle w:val="FootnoteReference"/>
          <w:sz w:val="22"/>
          <w:szCs w:val="22"/>
        </w:rPr>
        <w:footnoteReference w:id="31"/>
      </w:r>
      <w:r w:rsidRPr="00977F5D">
        <w:rPr>
          <w:color w:val="000000"/>
          <w:szCs w:val="22"/>
        </w:rPr>
        <w:t xml:space="preserve">  </w:t>
      </w:r>
      <w:r w:rsidRPr="00977F5D" w:rsidR="00BD1929">
        <w:rPr>
          <w:szCs w:val="22"/>
        </w:rPr>
        <w:t>S</w:t>
      </w:r>
      <w:r w:rsidRPr="00425E91" w:rsidR="00BD1929">
        <w:rPr>
          <w:szCs w:val="22"/>
        </w:rPr>
        <w:t xml:space="preserve">ection 11.45 </w:t>
      </w:r>
      <w:r w:rsidRPr="00425E91">
        <w:rPr>
          <w:color w:val="000000"/>
          <w:szCs w:val="22"/>
        </w:rPr>
        <w:t>specifically prohibits such appropriation because non-emer</w:t>
      </w:r>
      <w:r w:rsidRPr="00020B17">
        <w:rPr>
          <w:color w:val="000000"/>
          <w:szCs w:val="22"/>
        </w:rPr>
        <w:t>gency uses of the EAS Tones actually dilute their real meaning over time.</w:t>
      </w:r>
      <w:r>
        <w:rPr>
          <w:rStyle w:val="FootnoteReference"/>
          <w:sz w:val="22"/>
          <w:szCs w:val="22"/>
        </w:rPr>
        <w:footnoteReference w:id="32"/>
      </w:r>
      <w:r w:rsidRPr="00977F5D">
        <w:rPr>
          <w:color w:val="000000"/>
          <w:szCs w:val="22"/>
        </w:rPr>
        <w:t xml:space="preserve">  </w:t>
      </w:r>
    </w:p>
    <w:p w:rsidR="006C0544" w:rsidRPr="00977F5D" w:rsidP="009502BA" w14:paraId="1D182660" w14:textId="3B5DF6AE">
      <w:pPr>
        <w:pStyle w:val="ParaNum"/>
        <w:tabs>
          <w:tab w:val="clear" w:pos="1080"/>
          <w:tab w:val="num" w:pos="1440"/>
        </w:tabs>
        <w:rPr>
          <w:color w:val="000000"/>
        </w:rPr>
      </w:pPr>
      <w:r w:rsidRPr="00977F5D">
        <w:t>Based on Entercom’s</w:t>
      </w:r>
      <w:r w:rsidRPr="00425E91">
        <w:t xml:space="preserve"> admission and our review of the audio recording and transcript of the show provided by Entercom in its LOI Response, we find that Entercom transmitted an Attention Signal </w:t>
      </w:r>
      <w:bookmarkStart w:id="2" w:name="_Hlk25746890"/>
      <w:r w:rsidRPr="00425E91">
        <w:t>on October 3, 2018</w:t>
      </w:r>
      <w:bookmarkEnd w:id="2"/>
      <w:r w:rsidRPr="00425E91">
        <w:t>.</w:t>
      </w:r>
      <w:r>
        <w:rPr>
          <w:rStyle w:val="FootnoteReference"/>
          <w:sz w:val="22"/>
          <w:szCs w:val="22"/>
        </w:rPr>
        <w:footnoteReference w:id="33"/>
      </w:r>
      <w:r w:rsidRPr="00977F5D">
        <w:t xml:space="preserve">  Entercom admits that none of the material in question was transmitted in connection with a Permitted Use.</w:t>
      </w:r>
      <w:r>
        <w:rPr>
          <w:rStyle w:val="FootnoteReference"/>
          <w:sz w:val="22"/>
          <w:szCs w:val="22"/>
        </w:rPr>
        <w:footnoteReference w:id="34"/>
      </w:r>
      <w:r w:rsidRPr="00977F5D">
        <w:t xml:space="preserve">  We therefore find that Entercom’s transmission of the Attention Signal on October 3, 2018, as modified, apparently violated </w:t>
      </w:r>
      <w:r w:rsidRPr="00977F5D" w:rsidR="00BD1929">
        <w:t>section 11.45</w:t>
      </w:r>
      <w:r w:rsidRPr="00977F5D">
        <w:t>.</w:t>
      </w:r>
    </w:p>
    <w:p w:rsidR="006C0544" w:rsidRPr="00425E91" w:rsidP="009502BA" w14:paraId="4284F8CE" w14:textId="77777777">
      <w:pPr>
        <w:pStyle w:val="Heading1"/>
        <w:keepLines/>
        <w:widowControl/>
        <w:numPr>
          <w:ilvl w:val="0"/>
          <w:numId w:val="7"/>
        </w:numPr>
        <w:spacing w:after="220"/>
        <w:jc w:val="both"/>
        <w:rPr>
          <w:color w:val="000000"/>
          <w:szCs w:val="22"/>
        </w:rPr>
      </w:pPr>
      <w:bookmarkStart w:id="3" w:name="_Toc7629836"/>
      <w:bookmarkStart w:id="4" w:name="_Toc7778360"/>
      <w:r w:rsidRPr="00425E91">
        <w:rPr>
          <w:szCs w:val="22"/>
        </w:rPr>
        <w:t>PROPOSED FORFEITURE</w:t>
      </w:r>
      <w:bookmarkEnd w:id="3"/>
      <w:bookmarkEnd w:id="4"/>
    </w:p>
    <w:p w:rsidR="005C4F3F" w:rsidRPr="00977F5D" w:rsidP="009502BA" w14:paraId="4153F471" w14:textId="6B677A25">
      <w:pPr>
        <w:pStyle w:val="ParaNum"/>
        <w:keepLines/>
        <w:tabs>
          <w:tab w:val="clear" w:pos="1080"/>
          <w:tab w:val="num" w:pos="1440"/>
        </w:tabs>
        <w:rPr>
          <w:szCs w:val="22"/>
        </w:rPr>
      </w:pPr>
      <w:r w:rsidRPr="00EC6570">
        <w:rPr>
          <w:szCs w:val="22"/>
        </w:rPr>
        <w:t xml:space="preserve">Section 503(b) of the Act authorizes the </w:t>
      </w:r>
      <w:r w:rsidRPr="009502BA">
        <w:rPr>
          <w:color w:val="000000"/>
          <w:szCs w:val="22"/>
        </w:rPr>
        <w:t>Commission</w:t>
      </w:r>
      <w:r w:rsidRPr="00EC6570">
        <w:rPr>
          <w:szCs w:val="22"/>
        </w:rPr>
        <w:t xml:space="preserve"> to impose a forfeiture against any entity that “willfully or repeatedly fail[s] to </w:t>
      </w:r>
      <w:r w:rsidRPr="004647D5">
        <w:t>comply</w:t>
      </w:r>
      <w:r w:rsidRPr="00EC6570">
        <w:rPr>
          <w:szCs w:val="22"/>
        </w:rPr>
        <w:t xml:space="preserve"> with any of the provisions of [the Act] or of any rule, regulation, or order issued by the Commission.”</w:t>
      </w:r>
      <w:r>
        <w:rPr>
          <w:szCs w:val="22"/>
          <w:vertAlign w:val="superscript"/>
        </w:rPr>
        <w:footnoteReference w:id="35"/>
      </w:r>
      <w:r w:rsidRPr="00EC6570">
        <w:rPr>
          <w:szCs w:val="22"/>
        </w:rPr>
        <w:t xml:space="preserve"> </w:t>
      </w:r>
      <w:r w:rsidRPr="00977F5D">
        <w:rPr>
          <w:szCs w:val="22"/>
        </w:rPr>
        <w:t xml:space="preserve"> </w:t>
      </w:r>
      <w:r w:rsidRPr="00EC6570">
        <w:rPr>
          <w:szCs w:val="22"/>
        </w:rPr>
        <w:t xml:space="preserve">Based upon the evidence before us, we find that Entercom apparently willfully violated section 11.45.  </w:t>
      </w:r>
    </w:p>
    <w:p w:rsidR="00EC6570" w:rsidRPr="00EC6570" w:rsidP="004647D5" w14:paraId="5F460D6B" w14:textId="4E4C3B3C">
      <w:pPr>
        <w:pStyle w:val="ParaNum"/>
        <w:tabs>
          <w:tab w:val="clear" w:pos="1080"/>
          <w:tab w:val="num" w:pos="1440"/>
        </w:tabs>
        <w:rPr>
          <w:szCs w:val="22"/>
        </w:rPr>
      </w:pPr>
      <w:r w:rsidRPr="00EC6570">
        <w:rPr>
          <w:szCs w:val="22"/>
        </w:rPr>
        <w:t xml:space="preserve">Here, Section 503(b)(2)(A) of the Act authorizes us to assess a forfeiture against </w:t>
      </w:r>
      <w:r>
        <w:rPr>
          <w:szCs w:val="22"/>
        </w:rPr>
        <w:t>Entercom</w:t>
      </w:r>
      <w:r w:rsidRPr="00EC6570">
        <w:rPr>
          <w:szCs w:val="22"/>
        </w:rPr>
        <w:t xml:space="preserve"> of up to $50,334 per violation or for each day of a continuing violation, up to a statutory maximum of $503,349 for a single act or failure to act.</w:t>
      </w:r>
      <w:r>
        <w:rPr>
          <w:szCs w:val="22"/>
          <w:vertAlign w:val="superscript"/>
        </w:rPr>
        <w:footnoteReference w:id="36"/>
      </w:r>
      <w:r w:rsidRPr="00EC6570">
        <w:rPr>
          <w:szCs w:val="22"/>
        </w:rPr>
        <w:t xml:space="preserve">  In exercising our forfeiture authority, we</w:t>
      </w:r>
      <w:r>
        <w:rPr>
          <w:szCs w:val="22"/>
        </w:rPr>
        <w:t xml:space="preserve"> </w:t>
      </w:r>
      <w:r w:rsidRPr="00EC6570">
        <w:rPr>
          <w:szCs w:val="22"/>
        </w:rPr>
        <w:t>consider the nature, circumstances, extent, and gravity of the violation and, with respect to the violator, the degree of culpability, any history of prior offenses, ability to pay, substantial economic gain, and such other matters as justice may require.</w:t>
      </w:r>
      <w:r>
        <w:rPr>
          <w:szCs w:val="22"/>
          <w:vertAlign w:val="superscript"/>
        </w:rPr>
        <w:footnoteReference w:id="37"/>
      </w:r>
      <w:r w:rsidRPr="00EC6570">
        <w:rPr>
          <w:szCs w:val="22"/>
        </w:rPr>
        <w:t xml:space="preserve">  In </w:t>
      </w:r>
      <w:r w:rsidRPr="004647D5">
        <w:t>addition</w:t>
      </w:r>
      <w:r w:rsidRPr="00EC6570">
        <w:rPr>
          <w:szCs w:val="22"/>
        </w:rPr>
        <w:t>, the Commission has established forfeiture guidelines</w:t>
      </w:r>
      <w:r w:rsidR="00492AAB">
        <w:rPr>
          <w:szCs w:val="22"/>
        </w:rPr>
        <w:t>.  The guidelines</w:t>
      </w:r>
      <w:r w:rsidRPr="00EC6570">
        <w:rPr>
          <w:szCs w:val="22"/>
        </w:rPr>
        <w:t xml:space="preserve"> establish base penalties for certain violations and identify criteria that we consider when determining the appropriate penalty in any given case.</w:t>
      </w:r>
      <w:r>
        <w:rPr>
          <w:szCs w:val="22"/>
          <w:vertAlign w:val="superscript"/>
        </w:rPr>
        <w:footnoteReference w:id="38"/>
      </w:r>
      <w:r w:rsidRPr="00EC6570">
        <w:rPr>
          <w:szCs w:val="22"/>
        </w:rPr>
        <w:t xml:space="preserve">  Under these guidelines, we may adjust a forfeiture upward for violations that are egregious, intentional, or repeated, or that cause substantial harm or generate substantial economic gain for the violator.</w:t>
      </w:r>
      <w:r>
        <w:rPr>
          <w:szCs w:val="22"/>
          <w:vertAlign w:val="superscript"/>
        </w:rPr>
        <w:footnoteReference w:id="39"/>
      </w:r>
      <w:r w:rsidRPr="00EC6570">
        <w:rPr>
          <w:szCs w:val="22"/>
        </w:rPr>
        <w:t xml:space="preserve">  </w:t>
      </w:r>
    </w:p>
    <w:p w:rsidR="006C0544" w:rsidRPr="00CD53D1" w:rsidP="004647D5" w14:paraId="66FF35B0" w14:textId="43FAF960">
      <w:pPr>
        <w:pStyle w:val="ParaNum"/>
        <w:tabs>
          <w:tab w:val="clear" w:pos="1080"/>
          <w:tab w:val="num" w:pos="1440"/>
        </w:tabs>
        <w:rPr>
          <w:rStyle w:val="documentbody1"/>
          <w:rFonts w:ascii="Times New Roman" w:hAnsi="Times New Roman"/>
          <w:sz w:val="22"/>
          <w:szCs w:val="22"/>
        </w:rPr>
      </w:pPr>
      <w:r w:rsidRPr="00CD53D1">
        <w:rPr>
          <w:szCs w:val="22"/>
        </w:rPr>
        <w:t>The Commission has previously applied an $8,000 base forfeiture for violations of section 11.45.</w:t>
      </w:r>
      <w:r>
        <w:rPr>
          <w:rStyle w:val="FootnoteReference"/>
          <w:szCs w:val="22"/>
        </w:rPr>
        <w:footnoteReference w:id="40"/>
      </w:r>
      <w:r w:rsidRPr="00A26D27">
        <w:rPr>
          <w:rStyle w:val="documentbody1"/>
          <w:color w:val="000000"/>
          <w:szCs w:val="22"/>
        </w:rPr>
        <w:t xml:space="preserve">  </w:t>
      </w:r>
      <w:r w:rsidRPr="00CD53D1" w:rsidR="00EC6570">
        <w:rPr>
          <w:szCs w:val="22"/>
        </w:rPr>
        <w:t xml:space="preserve">We have discretion </w:t>
      </w:r>
      <w:r w:rsidRPr="00CD53D1">
        <w:rPr>
          <w:szCs w:val="22"/>
        </w:rPr>
        <w:t>to upwardly or downwardly adjust from the base forfeiture</w:t>
      </w:r>
      <w:r w:rsidRPr="00CD53D1" w:rsidR="00EC6570">
        <w:rPr>
          <w:szCs w:val="22"/>
        </w:rPr>
        <w:t>, taking into account the particular</w:t>
      </w:r>
      <w:r w:rsidRPr="00EC6570" w:rsidR="00EC6570">
        <w:rPr>
          <w:szCs w:val="22"/>
        </w:rPr>
        <w:t xml:space="preserve"> facts of each </w:t>
      </w:r>
      <w:r w:rsidRPr="009502BA" w:rsidR="00EC6570">
        <w:rPr>
          <w:color w:val="000000"/>
          <w:szCs w:val="22"/>
        </w:rPr>
        <w:t>individual</w:t>
      </w:r>
      <w:r w:rsidRPr="00EC6570" w:rsidR="00EC6570">
        <w:rPr>
          <w:szCs w:val="22"/>
        </w:rPr>
        <w:t xml:space="preserve"> case.</w:t>
      </w:r>
      <w:r>
        <w:rPr>
          <w:szCs w:val="22"/>
          <w:vertAlign w:val="superscript"/>
        </w:rPr>
        <w:footnoteReference w:id="41"/>
      </w:r>
      <w:r w:rsidRPr="00EC6570" w:rsidR="00EC6570">
        <w:rPr>
          <w:szCs w:val="22"/>
        </w:rPr>
        <w:t xml:space="preserve">  </w:t>
      </w:r>
      <w:r>
        <w:rPr>
          <w:szCs w:val="22"/>
        </w:rPr>
        <w:t>In this case, w</w:t>
      </w:r>
      <w:r w:rsidR="00FD5632">
        <w:rPr>
          <w:szCs w:val="22"/>
        </w:rPr>
        <w:t xml:space="preserve">e apply the $8,000 base forfeiture to </w:t>
      </w:r>
      <w:r w:rsidR="00614D30">
        <w:rPr>
          <w:szCs w:val="22"/>
        </w:rPr>
        <w:t xml:space="preserve">Entercom’s apparent violation of section 11.45 of the Commission’s rules based upon its </w:t>
      </w:r>
      <w:r w:rsidRPr="00614D30" w:rsidR="00614D30">
        <w:rPr>
          <w:szCs w:val="22"/>
        </w:rPr>
        <w:t>transmission of the Attention Signal on October 3, 2018</w:t>
      </w:r>
      <w:r w:rsidR="00614D30">
        <w:rPr>
          <w:szCs w:val="22"/>
        </w:rPr>
        <w:t>.</w:t>
      </w:r>
      <w:r>
        <w:rPr>
          <w:szCs w:val="22"/>
          <w:shd w:val="clear" w:color="auto" w:fill="FFFFFF"/>
        </w:rPr>
        <w:t xml:space="preserve">  </w:t>
      </w:r>
      <w:r w:rsidRPr="00CD53D1">
        <w:rPr>
          <w:szCs w:val="22"/>
        </w:rPr>
        <w:t>G</w:t>
      </w:r>
      <w:r w:rsidRPr="00CD53D1" w:rsidR="00614D30">
        <w:rPr>
          <w:szCs w:val="22"/>
        </w:rPr>
        <w:t xml:space="preserve">iven the totality of the circumstances, </w:t>
      </w:r>
      <w:r w:rsidRPr="00CD53D1">
        <w:rPr>
          <w:szCs w:val="22"/>
        </w:rPr>
        <w:t xml:space="preserve">however, </w:t>
      </w:r>
      <w:r w:rsidRPr="00CD53D1" w:rsidR="00614D30">
        <w:rPr>
          <w:szCs w:val="22"/>
        </w:rPr>
        <w:t xml:space="preserve">and consistent with the </w:t>
      </w:r>
      <w:r w:rsidRPr="00CD53D1" w:rsidR="00614D30">
        <w:rPr>
          <w:i/>
          <w:szCs w:val="22"/>
        </w:rPr>
        <w:t>1997 Forfeiture Policy Statement</w:t>
      </w:r>
      <w:r w:rsidRPr="00CD53D1" w:rsidR="00614D30">
        <w:rPr>
          <w:szCs w:val="22"/>
        </w:rPr>
        <w:t xml:space="preserve">, we conclude that an upward </w:t>
      </w:r>
      <w:r w:rsidRPr="00CD53D1" w:rsidR="00614D30">
        <w:rPr>
          <w:szCs w:val="22"/>
        </w:rPr>
        <w:t>adjustment is warranted.</w:t>
      </w:r>
      <w:r w:rsidRPr="00CD53D1" w:rsidR="00614D30">
        <w:rPr>
          <w:szCs w:val="22"/>
          <w:vertAlign w:val="superscript"/>
        </w:rPr>
        <w:t xml:space="preserve"> </w:t>
      </w:r>
      <w:r>
        <w:rPr>
          <w:szCs w:val="22"/>
          <w:vertAlign w:val="superscript"/>
        </w:rPr>
        <w:footnoteReference w:id="42"/>
      </w:r>
      <w:r w:rsidRPr="00CD53D1" w:rsidR="00614D30">
        <w:rPr>
          <w:szCs w:val="22"/>
        </w:rPr>
        <w:t xml:space="preserve">   This adjustment is based upon the statutory factors, including the nature and circumstances of the violation.  </w:t>
      </w:r>
      <w:r w:rsidRPr="00CD53D1">
        <w:rPr>
          <w:szCs w:val="22"/>
        </w:rPr>
        <w:t>The nature of EAS violations requires particularly serious consideration because, among other issues, such violations undermine the integrity of the EAS</w:t>
      </w:r>
      <w:r w:rsidRPr="00CD53D1">
        <w:rPr>
          <w:rStyle w:val="documentbody1"/>
          <w:rFonts w:ascii="Times New Roman" w:hAnsi="Times New Roman"/>
          <w:color w:val="000000"/>
          <w:sz w:val="22"/>
          <w:szCs w:val="22"/>
        </w:rPr>
        <w:t xml:space="preserve"> and therefore implicate substantial public safety concerns.</w:t>
      </w:r>
      <w:r w:rsidRPr="00CD53D1">
        <w:rPr>
          <w:szCs w:val="22"/>
        </w:rPr>
        <w:t xml:space="preserve">  As the Commission previously explained, our forfeiture determination in such cases is based on multiple factors associated with the nature of the violation and the violator.</w:t>
      </w:r>
      <w:r>
        <w:rPr>
          <w:rStyle w:val="FootnoteReference"/>
          <w:sz w:val="22"/>
          <w:szCs w:val="22"/>
        </w:rPr>
        <w:footnoteReference w:id="43"/>
      </w:r>
      <w:r w:rsidRPr="00CD53D1">
        <w:rPr>
          <w:szCs w:val="22"/>
        </w:rPr>
        <w:t xml:space="preserve">  Nonetheless, no single factor is controlling.  When applying the statutory factors concerning the circumstances, extent, and gravity of an EAS violation, we take into account a </w:t>
      </w:r>
      <w:r w:rsidRPr="00CD53D1">
        <w:rPr>
          <w:rStyle w:val="documentbody1"/>
          <w:rFonts w:ascii="Times New Roman" w:hAnsi="Times New Roman"/>
          <w:color w:val="000000"/>
          <w:sz w:val="22"/>
          <w:szCs w:val="22"/>
        </w:rPr>
        <w:t>number of specific factors, including:</w:t>
      </w:r>
      <w:r w:rsidRPr="00CD53D1">
        <w:rPr>
          <w:szCs w:val="22"/>
        </w:rPr>
        <w:t xml:space="preserve">  (1) the number of repetitions (i.e., the number of individual transmissions); (2) the duration of the violation (i.e., the number of days or months over which the violation occurred); (3) the audience reach of the transmissions (e.g., nationwide, regional, or local); and (4) the extent of the public safety impact (e.g., whether an EAS activation is triggered).</w:t>
      </w:r>
      <w:r>
        <w:rPr>
          <w:rStyle w:val="FootnoteReference"/>
          <w:sz w:val="22"/>
          <w:szCs w:val="22"/>
        </w:rPr>
        <w:footnoteReference w:id="44"/>
      </w:r>
      <w:r w:rsidRPr="00CD53D1">
        <w:rPr>
          <w:szCs w:val="22"/>
        </w:rPr>
        <w:t xml:space="preserve"> </w:t>
      </w:r>
      <w:r w:rsidRPr="00CD53D1">
        <w:rPr>
          <w:rStyle w:val="documentbody1"/>
          <w:rFonts w:ascii="Times New Roman" w:hAnsi="Times New Roman"/>
          <w:color w:val="000000"/>
          <w:sz w:val="22"/>
          <w:szCs w:val="22"/>
        </w:rPr>
        <w:t xml:space="preserve"> </w:t>
      </w:r>
    </w:p>
    <w:p w:rsidR="006C0544" w:rsidRPr="00977F5D" w:rsidP="004647D5" w14:paraId="67BB88B7" w14:textId="05E3783E">
      <w:pPr>
        <w:pStyle w:val="ParaNum"/>
        <w:tabs>
          <w:tab w:val="clear" w:pos="1080"/>
          <w:tab w:val="num" w:pos="1440"/>
        </w:tabs>
        <w:rPr>
          <w:szCs w:val="22"/>
        </w:rPr>
      </w:pPr>
      <w:r w:rsidRPr="00977F5D">
        <w:rPr>
          <w:szCs w:val="22"/>
        </w:rPr>
        <w:t xml:space="preserve">Even though the instant violation was limited in duration to a single transmission on a single day and apparently caused no </w:t>
      </w:r>
      <w:r w:rsidRPr="004647D5">
        <w:t>downstream</w:t>
      </w:r>
      <w:r w:rsidRPr="00977F5D">
        <w:rPr>
          <w:szCs w:val="22"/>
        </w:rPr>
        <w:t xml:space="preserve"> EAS activation, the fact that Entercom’s programming reached potentially vast audiences increases the extent and gravity of the violation and therefore supports an upward adjustment.  In this regard, the Station’s audience reach is considerable; it is ranked #11 in the Nielsen Radio Market Ratings in New York, New York,</w:t>
      </w:r>
      <w:r>
        <w:rPr>
          <w:rStyle w:val="FootnoteReference"/>
          <w:sz w:val="22"/>
          <w:szCs w:val="22"/>
        </w:rPr>
        <w:footnoteReference w:id="45"/>
      </w:r>
      <w:r w:rsidRPr="00977F5D">
        <w:rPr>
          <w:szCs w:val="22"/>
        </w:rPr>
        <w:t xml:space="preserve"> the largest radio market in the U.S.</w:t>
      </w:r>
      <w:r>
        <w:rPr>
          <w:rStyle w:val="FootnoteReference"/>
          <w:sz w:val="22"/>
          <w:szCs w:val="22"/>
        </w:rPr>
        <w:footnoteReference w:id="46"/>
      </w:r>
      <w:r w:rsidRPr="00977F5D">
        <w:rPr>
          <w:szCs w:val="22"/>
        </w:rPr>
        <w:t xml:space="preserve">  </w:t>
      </w:r>
    </w:p>
    <w:p w:rsidR="006C0544" w:rsidRPr="00977F5D" w:rsidP="004647D5" w14:paraId="2078B4EA" w14:textId="038F772C">
      <w:pPr>
        <w:pStyle w:val="ParaNum"/>
        <w:tabs>
          <w:tab w:val="clear" w:pos="1080"/>
          <w:tab w:val="num" w:pos="1440"/>
        </w:tabs>
        <w:rPr>
          <w:rStyle w:val="documentbody1"/>
          <w:rFonts w:ascii="Times New Roman" w:hAnsi="Times New Roman"/>
          <w:sz w:val="22"/>
          <w:szCs w:val="22"/>
        </w:rPr>
      </w:pPr>
      <w:r w:rsidRPr="00614D30">
        <w:rPr>
          <w:szCs w:val="22"/>
          <w:shd w:val="clear" w:color="auto" w:fill="FFFFFF"/>
        </w:rPr>
        <w:t xml:space="preserve">In applying the applicable statutory factors, we also consider whether there is any basis for a downward adjustment of the proposed forfeiture.  Here, we find none.  </w:t>
      </w:r>
      <w:r w:rsidRPr="00977F5D">
        <w:rPr>
          <w:szCs w:val="22"/>
          <w:shd w:val="clear" w:color="auto" w:fill="FFFFFF"/>
        </w:rPr>
        <w:t>Entercom</w:t>
      </w:r>
      <w:r w:rsidR="00BE6676">
        <w:rPr>
          <w:szCs w:val="22"/>
          <w:shd w:val="clear" w:color="auto" w:fill="FFFFFF"/>
        </w:rPr>
        <w:t>, for instance,</w:t>
      </w:r>
      <w:r w:rsidRPr="00977F5D">
        <w:rPr>
          <w:szCs w:val="22"/>
          <w:shd w:val="clear" w:color="auto" w:fill="FFFFFF"/>
        </w:rPr>
        <w:t xml:space="preserve"> did not voluntarily disclose the violation</w:t>
      </w:r>
      <w:r w:rsidR="00B6620F">
        <w:rPr>
          <w:szCs w:val="22"/>
          <w:shd w:val="clear" w:color="auto" w:fill="FFFFFF"/>
        </w:rPr>
        <w:t>.</w:t>
      </w:r>
      <w:r>
        <w:rPr>
          <w:rStyle w:val="FootnoteReference"/>
          <w:sz w:val="22"/>
          <w:szCs w:val="22"/>
          <w:shd w:val="clear" w:color="auto" w:fill="FFFFFF"/>
        </w:rPr>
        <w:footnoteReference w:id="47"/>
      </w:r>
      <w:r w:rsidR="00BE6676">
        <w:rPr>
          <w:szCs w:val="22"/>
          <w:shd w:val="clear" w:color="auto" w:fill="FFFFFF"/>
        </w:rPr>
        <w:t xml:space="preserve"> </w:t>
      </w:r>
      <w:r w:rsidR="00795A93">
        <w:rPr>
          <w:szCs w:val="22"/>
          <w:shd w:val="clear" w:color="auto" w:fill="FFFFFF"/>
        </w:rPr>
        <w:t xml:space="preserve"> </w:t>
      </w:r>
      <w:r w:rsidRPr="004647D5">
        <w:t>Therefore</w:t>
      </w:r>
      <w:r w:rsidRPr="00977F5D">
        <w:rPr>
          <w:color w:val="000000"/>
          <w:szCs w:val="22"/>
          <w:shd w:val="clear" w:color="auto" w:fill="FFFFFF"/>
        </w:rPr>
        <w:t xml:space="preserve">, based on the nature and extent of the violation at issue, Entercom’s vast audience reach, </w:t>
      </w:r>
      <w:r w:rsidRPr="00315E5B" w:rsidR="00315E5B">
        <w:rPr>
          <w:color w:val="000000"/>
          <w:szCs w:val="22"/>
          <w:shd w:val="clear" w:color="auto" w:fill="FFFFFF"/>
        </w:rPr>
        <w:t>a</w:t>
      </w:r>
      <w:r w:rsidR="00315E5B">
        <w:rPr>
          <w:color w:val="000000"/>
          <w:szCs w:val="22"/>
          <w:shd w:val="clear" w:color="auto" w:fill="FFFFFF"/>
        </w:rPr>
        <w:t xml:space="preserve">nd </w:t>
      </w:r>
      <w:r w:rsidRPr="00315E5B" w:rsidR="00315E5B">
        <w:rPr>
          <w:color w:val="000000"/>
          <w:szCs w:val="22"/>
          <w:shd w:val="clear" w:color="auto" w:fill="FFFFFF"/>
        </w:rPr>
        <w:t xml:space="preserve">applying the </w:t>
      </w:r>
      <w:r w:rsidRPr="00315E5B" w:rsidR="00315E5B">
        <w:rPr>
          <w:i/>
          <w:color w:val="000000"/>
          <w:szCs w:val="22"/>
          <w:shd w:val="clear" w:color="auto" w:fill="FFFFFF"/>
        </w:rPr>
        <w:t>1997 Forfeiture Policy Statement</w:t>
      </w:r>
      <w:r w:rsidRPr="00315E5B" w:rsidR="00315E5B">
        <w:rPr>
          <w:color w:val="000000"/>
          <w:szCs w:val="22"/>
          <w:shd w:val="clear" w:color="auto" w:fill="FFFFFF"/>
        </w:rPr>
        <w:t>, section 1.80 of the Rules, and the statutory factors, we propose a total forfeiture</w:t>
      </w:r>
      <w:r w:rsidRPr="00977F5D">
        <w:rPr>
          <w:rStyle w:val="documentbody1"/>
          <w:rFonts w:ascii="Times New Roman" w:hAnsi="Times New Roman"/>
          <w:color w:val="000000"/>
          <w:sz w:val="22"/>
          <w:szCs w:val="22"/>
        </w:rPr>
        <w:t xml:space="preserve"> of $20,000.</w:t>
      </w:r>
      <w:r>
        <w:rPr>
          <w:rStyle w:val="FootnoteReference"/>
          <w:sz w:val="22"/>
          <w:szCs w:val="22"/>
          <w:shd w:val="clear" w:color="auto" w:fill="FFFFFF"/>
        </w:rPr>
        <w:footnoteReference w:id="48"/>
      </w:r>
    </w:p>
    <w:p w:rsidR="006C0544" w:rsidRPr="00977F5D" w:rsidP="006C0544" w14:paraId="51C14614" w14:textId="77777777">
      <w:pPr>
        <w:pStyle w:val="Heading1"/>
        <w:widowControl/>
        <w:numPr>
          <w:ilvl w:val="0"/>
          <w:numId w:val="7"/>
        </w:numPr>
        <w:spacing w:after="220"/>
        <w:jc w:val="both"/>
        <w:rPr>
          <w:szCs w:val="22"/>
        </w:rPr>
      </w:pPr>
      <w:r w:rsidRPr="00977F5D">
        <w:rPr>
          <w:szCs w:val="22"/>
        </w:rPr>
        <w:t>ORDERING CLAUSES</w:t>
      </w:r>
    </w:p>
    <w:p w:rsidR="006C0544" w:rsidRPr="00977F5D" w:rsidP="004647D5" w14:paraId="7EAA5BA2" w14:textId="68325480">
      <w:pPr>
        <w:pStyle w:val="ParaNum"/>
        <w:tabs>
          <w:tab w:val="clear" w:pos="1080"/>
          <w:tab w:val="num" w:pos="1440"/>
        </w:tabs>
        <w:rPr>
          <w:szCs w:val="22"/>
        </w:rPr>
      </w:pPr>
      <w:r w:rsidRPr="00977F5D">
        <w:rPr>
          <w:b/>
          <w:szCs w:val="22"/>
        </w:rPr>
        <w:t>ACCORDINGLY</w:t>
      </w:r>
      <w:r w:rsidRPr="00977F5D">
        <w:rPr>
          <w:szCs w:val="22"/>
        </w:rPr>
        <w:t xml:space="preserve">, </w:t>
      </w:r>
      <w:r w:rsidRPr="00977F5D">
        <w:rPr>
          <w:b/>
          <w:szCs w:val="22"/>
        </w:rPr>
        <w:t>IT IS ORDERED</w:t>
      </w:r>
      <w:r w:rsidRPr="00977F5D">
        <w:rPr>
          <w:szCs w:val="22"/>
        </w:rPr>
        <w:t xml:space="preserve">, pursuant to </w:t>
      </w:r>
      <w:r w:rsidRPr="00977F5D">
        <w:rPr>
          <w:szCs w:val="22"/>
          <w:shd w:val="clear" w:color="auto" w:fill="FFFFFF"/>
        </w:rPr>
        <w:t>section</w:t>
      </w:r>
      <w:r w:rsidRPr="00977F5D">
        <w:rPr>
          <w:szCs w:val="22"/>
        </w:rPr>
        <w:t xml:space="preserve"> 503(b) of the Act,</w:t>
      </w:r>
      <w:r>
        <w:rPr>
          <w:rStyle w:val="FootnoteReference"/>
          <w:spacing w:val="-2"/>
          <w:sz w:val="22"/>
          <w:szCs w:val="22"/>
        </w:rPr>
        <w:footnoteReference w:id="49"/>
      </w:r>
      <w:r w:rsidRPr="00977F5D">
        <w:rPr>
          <w:szCs w:val="22"/>
        </w:rPr>
        <w:t xml:space="preserve"> and section 1.80 of the </w:t>
      </w:r>
      <w:r w:rsidRPr="00977F5D" w:rsidR="00C46B2C">
        <w:rPr>
          <w:spacing w:val="-2"/>
          <w:szCs w:val="22"/>
        </w:rPr>
        <w:t>Commission’s rules</w:t>
      </w:r>
      <w:r w:rsidRPr="00977F5D">
        <w:rPr>
          <w:szCs w:val="22"/>
        </w:rPr>
        <w:t>,</w:t>
      </w:r>
      <w:r>
        <w:rPr>
          <w:rStyle w:val="FootnoteReference"/>
          <w:spacing w:val="-2"/>
          <w:sz w:val="22"/>
          <w:szCs w:val="22"/>
        </w:rPr>
        <w:footnoteReference w:id="50"/>
      </w:r>
      <w:r w:rsidRPr="00977F5D">
        <w:rPr>
          <w:szCs w:val="22"/>
        </w:rPr>
        <w:t xml:space="preserve"> that </w:t>
      </w:r>
      <w:r w:rsidRPr="00977F5D">
        <w:rPr>
          <w:spacing w:val="-2"/>
          <w:szCs w:val="22"/>
        </w:rPr>
        <w:t xml:space="preserve">Entercom </w:t>
      </w:r>
      <w:r w:rsidRPr="004647D5">
        <w:t>License</w:t>
      </w:r>
      <w:r w:rsidRPr="00977F5D">
        <w:rPr>
          <w:spacing w:val="-2"/>
          <w:szCs w:val="22"/>
        </w:rPr>
        <w:t xml:space="preserve">, LLC is </w:t>
      </w:r>
      <w:r w:rsidRPr="00977F5D">
        <w:rPr>
          <w:szCs w:val="22"/>
        </w:rPr>
        <w:t xml:space="preserve">hereby </w:t>
      </w:r>
      <w:r w:rsidRPr="00977F5D">
        <w:rPr>
          <w:b/>
          <w:szCs w:val="22"/>
        </w:rPr>
        <w:t>NOTIFIED</w:t>
      </w:r>
      <w:r w:rsidRPr="00977F5D">
        <w:rPr>
          <w:szCs w:val="22"/>
        </w:rPr>
        <w:t xml:space="preserve"> of its </w:t>
      </w:r>
      <w:r w:rsidRPr="00977F5D">
        <w:rPr>
          <w:b/>
          <w:szCs w:val="22"/>
        </w:rPr>
        <w:t>APPARENT LIABILITY FOR FORFEITURE</w:t>
      </w:r>
      <w:r w:rsidRPr="00977F5D">
        <w:rPr>
          <w:szCs w:val="22"/>
        </w:rPr>
        <w:t xml:space="preserve"> in the amount of $20,000 for apparently willfully violating section 11.45 of the </w:t>
      </w:r>
      <w:r w:rsidRPr="00977F5D" w:rsidR="00C46B2C">
        <w:rPr>
          <w:spacing w:val="-2"/>
          <w:szCs w:val="22"/>
        </w:rPr>
        <w:t>Commission’s rules</w:t>
      </w:r>
      <w:r w:rsidRPr="00977F5D">
        <w:rPr>
          <w:szCs w:val="22"/>
        </w:rPr>
        <w:t>.</w:t>
      </w:r>
      <w:r>
        <w:rPr>
          <w:rStyle w:val="FootnoteReference"/>
          <w:sz w:val="22"/>
          <w:szCs w:val="22"/>
        </w:rPr>
        <w:footnoteReference w:id="51"/>
      </w:r>
    </w:p>
    <w:p w:rsidR="006C0544" w:rsidRPr="00977F5D" w:rsidP="004647D5" w14:paraId="688A450B" w14:textId="6DE0A8E2">
      <w:pPr>
        <w:pStyle w:val="ParaNum"/>
        <w:tabs>
          <w:tab w:val="clear" w:pos="1080"/>
          <w:tab w:val="num" w:pos="1440"/>
        </w:tabs>
        <w:rPr>
          <w:szCs w:val="22"/>
        </w:rPr>
      </w:pPr>
      <w:r w:rsidRPr="00977F5D">
        <w:rPr>
          <w:b/>
          <w:szCs w:val="22"/>
        </w:rPr>
        <w:t>IT IS FURTHER ORDERED</w:t>
      </w:r>
      <w:r w:rsidRPr="00977F5D">
        <w:rPr>
          <w:szCs w:val="22"/>
        </w:rPr>
        <w:t xml:space="preserve">, </w:t>
      </w:r>
      <w:r w:rsidRPr="00977F5D">
        <w:rPr>
          <w:szCs w:val="22"/>
          <w:shd w:val="clear" w:color="auto" w:fill="FFFFFF"/>
        </w:rPr>
        <w:t>pursuant</w:t>
      </w:r>
      <w:r w:rsidRPr="00977F5D">
        <w:rPr>
          <w:szCs w:val="22"/>
        </w:rPr>
        <w:t xml:space="preserve"> to section 1.80 of the </w:t>
      </w:r>
      <w:r w:rsidRPr="00977F5D" w:rsidR="00C46B2C">
        <w:rPr>
          <w:spacing w:val="-2"/>
          <w:szCs w:val="22"/>
        </w:rPr>
        <w:t>Commission’s rules</w:t>
      </w:r>
      <w:r w:rsidRPr="00977F5D">
        <w:rPr>
          <w:szCs w:val="22"/>
        </w:rPr>
        <w:t>,</w:t>
      </w:r>
      <w:r>
        <w:rPr>
          <w:rStyle w:val="FootnoteReference"/>
          <w:sz w:val="22"/>
          <w:szCs w:val="22"/>
        </w:rPr>
        <w:footnoteReference w:id="52"/>
      </w:r>
      <w:r w:rsidRPr="00977F5D">
        <w:rPr>
          <w:szCs w:val="22"/>
        </w:rPr>
        <w:t xml:space="preserve"> that within 30 days of the release date of this Notice of Apparent Liability for Forfeiture, </w:t>
      </w:r>
      <w:r w:rsidRPr="00977F5D">
        <w:rPr>
          <w:spacing w:val="-2"/>
          <w:szCs w:val="22"/>
        </w:rPr>
        <w:t>Entercom License, LLC</w:t>
      </w:r>
      <w:r w:rsidRPr="00977F5D">
        <w:rPr>
          <w:b/>
          <w:szCs w:val="22"/>
        </w:rPr>
        <w:t xml:space="preserve"> SHALL PAY</w:t>
      </w:r>
      <w:r w:rsidRPr="00977F5D">
        <w:rPr>
          <w:szCs w:val="22"/>
        </w:rPr>
        <w:t xml:space="preserve"> the full amount of the proposed forfeiture or </w:t>
      </w:r>
      <w:r w:rsidRPr="00977F5D">
        <w:rPr>
          <w:b/>
          <w:szCs w:val="22"/>
        </w:rPr>
        <w:t>SHALL FILE</w:t>
      </w:r>
      <w:r w:rsidRPr="00977F5D">
        <w:rPr>
          <w:szCs w:val="22"/>
        </w:rPr>
        <w:t xml:space="preserve"> a written statement seeking reduction or cancellation of the proposed forfeiture. </w:t>
      </w:r>
    </w:p>
    <w:p w:rsidR="006C0544" w:rsidRPr="00977F5D" w:rsidP="004647D5" w14:paraId="1B87A61E" w14:textId="77777777">
      <w:pPr>
        <w:pStyle w:val="ParaNum"/>
        <w:tabs>
          <w:tab w:val="clear" w:pos="1080"/>
          <w:tab w:val="num" w:pos="1440"/>
        </w:tabs>
        <w:rPr>
          <w:szCs w:val="22"/>
        </w:rPr>
      </w:pPr>
      <w:r w:rsidRPr="00977F5D">
        <w:rPr>
          <w:szCs w:val="22"/>
        </w:rPr>
        <w:t xml:space="preserve">Payment of the forfeiture must be </w:t>
      </w:r>
      <w:r w:rsidRPr="00977F5D">
        <w:rPr>
          <w:szCs w:val="22"/>
          <w:shd w:val="clear" w:color="auto" w:fill="FFFFFF"/>
        </w:rPr>
        <w:t>made</w:t>
      </w:r>
      <w:r w:rsidRPr="00977F5D">
        <w:rPr>
          <w:szCs w:val="22"/>
        </w:rPr>
        <w:t xml:space="preserve"> by credit card, ACH (Automated Clearing House) debit from a bank account using the </w:t>
      </w:r>
      <w:r w:rsidRPr="004647D5">
        <w:t>Commission’s</w:t>
      </w:r>
      <w:r w:rsidRPr="00977F5D">
        <w:rPr>
          <w:szCs w:val="22"/>
        </w:rPr>
        <w:t xml:space="preserve"> Fee Filer (the Commission’s online payment system),</w:t>
      </w:r>
      <w:r>
        <w:rPr>
          <w:szCs w:val="22"/>
          <w:vertAlign w:val="superscript"/>
        </w:rPr>
        <w:footnoteReference w:id="53"/>
      </w:r>
      <w:r w:rsidRPr="00977F5D">
        <w:rPr>
          <w:szCs w:val="22"/>
        </w:rPr>
        <w:t xml:space="preserve"> or by wire transfer.  The Commission no longer accepts forfeiture payments by check or money order.  Below are instructions that payors should follow based on the form of payment selected:</w:t>
      </w:r>
      <w:r>
        <w:rPr>
          <w:szCs w:val="22"/>
          <w:vertAlign w:val="superscript"/>
        </w:rPr>
        <w:footnoteReference w:id="54"/>
      </w:r>
      <w:r w:rsidRPr="00977F5D">
        <w:rPr>
          <w:szCs w:val="22"/>
        </w:rPr>
        <w:tab/>
      </w:r>
    </w:p>
    <w:p w:rsidR="006C0544" w:rsidRPr="00977F5D" w:rsidP="006C0544" w14:paraId="3DFC8EB0" w14:textId="3AEDA91B">
      <w:pPr>
        <w:numPr>
          <w:ilvl w:val="0"/>
          <w:numId w:val="9"/>
        </w:numPr>
        <w:spacing w:after="240"/>
        <w:rPr>
          <w:b/>
          <w:szCs w:val="22"/>
        </w:rPr>
      </w:pPr>
      <w:r w:rsidRPr="00977F5D">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977F5D" w:rsidR="00B60697">
          <w:rPr>
            <w:rStyle w:val="Hyperlink"/>
            <w:szCs w:val="22"/>
          </w:rPr>
          <w:t>RROGWireFaxes@fcc.gov</w:t>
        </w:r>
      </w:hyperlink>
      <w:r w:rsidRPr="00977F5D">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szCs w:val="22"/>
          <w:vertAlign w:val="superscript"/>
        </w:rPr>
        <w:footnoteReference w:id="55"/>
      </w:r>
      <w:r w:rsidRPr="00977F5D">
        <w:rPr>
          <w:szCs w:val="22"/>
        </w:rPr>
        <w:t xml:space="preserve">  For additional detail and wire transfer instructions, go to </w:t>
      </w:r>
      <w:hyperlink r:id="rId6" w:history="1">
        <w:r w:rsidRPr="00977F5D" w:rsidR="00B60697">
          <w:rPr>
            <w:rStyle w:val="Hyperlink"/>
            <w:szCs w:val="22"/>
          </w:rPr>
          <w:t>https://www.fcc.gov/licensing-databases/fees/wire-transfer</w:t>
        </w:r>
      </w:hyperlink>
      <w:r w:rsidRPr="00977F5D">
        <w:rPr>
          <w:szCs w:val="22"/>
        </w:rPr>
        <w:t>.</w:t>
      </w:r>
    </w:p>
    <w:p w:rsidR="006C0544" w:rsidRPr="00977F5D" w:rsidP="006C0544" w14:paraId="1CFABBD9" w14:textId="4A7D3EF5">
      <w:pPr>
        <w:numPr>
          <w:ilvl w:val="0"/>
          <w:numId w:val="9"/>
        </w:numPr>
        <w:spacing w:after="240"/>
        <w:rPr>
          <w:b/>
          <w:szCs w:val="22"/>
        </w:rPr>
      </w:pPr>
      <w:r w:rsidRPr="00977F5D">
        <w:rPr>
          <w:szCs w:val="22"/>
        </w:rPr>
        <w:t xml:space="preserve">Payment by credit card must be made by using the Commission’s Fee Filer website at </w:t>
      </w:r>
      <w:hyperlink r:id="rId7" w:history="1">
        <w:r w:rsidRPr="00977F5D" w:rsidR="00B60697">
          <w:rPr>
            <w:rStyle w:val="Hyperlink"/>
            <w:szCs w:val="22"/>
          </w:rPr>
          <w:t>https://apps.fcc.gov/FeeFiler/login.cfm</w:t>
        </w:r>
      </w:hyperlink>
      <w:r w:rsidRPr="00977F5D">
        <w:rPr>
          <w:szCs w:val="22"/>
        </w:rPr>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$24,999.99-dollar limitation on credit card transactions.</w:t>
      </w:r>
    </w:p>
    <w:p w:rsidR="006C0544" w:rsidRPr="00977F5D" w:rsidP="006C0544" w14:paraId="5A05395D" w14:textId="77777777">
      <w:pPr>
        <w:numPr>
          <w:ilvl w:val="0"/>
          <w:numId w:val="9"/>
        </w:numPr>
        <w:spacing w:after="240"/>
        <w:rPr>
          <w:b/>
          <w:szCs w:val="22"/>
        </w:rPr>
      </w:pPr>
      <w:r w:rsidRPr="00977F5D">
        <w:rPr>
          <w:szCs w:val="22"/>
        </w:rPr>
        <w:t>Payment by ACH must be made by using the Commission’s Fee Filer website at https://apps.fcc.gov/FeeFiler/login.cfm.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C0544" w:rsidRPr="00977F5D" w:rsidP="009502BA" w14:paraId="15769435" w14:textId="02206DCC">
      <w:pPr>
        <w:pStyle w:val="ParaNum"/>
        <w:widowControl/>
        <w:tabs>
          <w:tab w:val="clear" w:pos="1080"/>
          <w:tab w:val="num" w:pos="1440"/>
        </w:tabs>
        <w:rPr>
          <w:szCs w:val="22"/>
        </w:rPr>
      </w:pPr>
      <w:r w:rsidRPr="00425E91">
        <w:rPr>
          <w:szCs w:val="22"/>
        </w:rPr>
        <w:t xml:space="preserve">Any request for full </w:t>
      </w:r>
      <w:r w:rsidRPr="00425E91">
        <w:rPr>
          <w:szCs w:val="22"/>
          <w:shd w:val="clear" w:color="auto" w:fill="FFFFFF"/>
        </w:rPr>
        <w:t>payment</w:t>
      </w:r>
      <w:r w:rsidRPr="00425E91">
        <w:rPr>
          <w:szCs w:val="22"/>
        </w:rPr>
        <w:t xml:space="preserve"> over time under an installment plan should be sent to:  Chief Financial Officer—Financial Operations, Federal </w:t>
      </w:r>
      <w:r w:rsidRPr="004647D5">
        <w:t>Communications</w:t>
      </w:r>
      <w:r w:rsidRPr="00020B17">
        <w:rPr>
          <w:szCs w:val="22"/>
        </w:rPr>
        <w:t xml:space="preserve"> Commission, 445 12th Street, SW, Room 1-A625, Washington, DC 20554.</w:t>
      </w:r>
      <w:r>
        <w:rPr>
          <w:szCs w:val="22"/>
          <w:vertAlign w:val="superscript"/>
        </w:rPr>
        <w:footnoteReference w:id="56"/>
      </w:r>
      <w:r w:rsidRPr="00977F5D">
        <w:rPr>
          <w:szCs w:val="22"/>
        </w:rPr>
        <w:t xml:space="preserve">  Questions regarding payment procedures should be </w:t>
      </w:r>
      <w:r w:rsidRPr="00977F5D">
        <w:rPr>
          <w:szCs w:val="22"/>
        </w:rPr>
        <w:t>directed to the Financial Operations Group Help Desk, by phone at (877) 480-3201, or by e</w:t>
      </w:r>
      <w:r w:rsidRPr="00977F5D">
        <w:rPr>
          <w:szCs w:val="22"/>
        </w:rPr>
        <w:noBreakHyphen/>
        <w:t xml:space="preserve">mail at </w:t>
      </w:r>
      <w:hyperlink r:id="rId8" w:history="1">
        <w:r w:rsidRPr="00977F5D" w:rsidR="000B0260">
          <w:rPr>
            <w:rStyle w:val="Hyperlink"/>
            <w:szCs w:val="22"/>
          </w:rPr>
          <w:t>ARINQUIRIES@fcc.gov</w:t>
        </w:r>
      </w:hyperlink>
      <w:r w:rsidRPr="00977F5D">
        <w:rPr>
          <w:szCs w:val="22"/>
        </w:rPr>
        <w:t>.</w:t>
      </w:r>
    </w:p>
    <w:p w:rsidR="006C0544" w:rsidRPr="00977F5D" w:rsidP="004647D5" w14:paraId="01206C8E" w14:textId="6E63B4EA">
      <w:pPr>
        <w:pStyle w:val="ParaNum"/>
        <w:tabs>
          <w:tab w:val="clear" w:pos="1080"/>
          <w:tab w:val="num" w:pos="1440"/>
        </w:tabs>
        <w:rPr>
          <w:szCs w:val="22"/>
        </w:rPr>
      </w:pPr>
      <w:r w:rsidRPr="00977F5D">
        <w:rPr>
          <w:szCs w:val="22"/>
        </w:rPr>
        <w:t xml:space="preserve">The written statement </w:t>
      </w:r>
      <w:r w:rsidRPr="00977F5D">
        <w:rPr>
          <w:szCs w:val="22"/>
          <w:shd w:val="clear" w:color="auto" w:fill="FFFFFF"/>
        </w:rPr>
        <w:t>seeking</w:t>
      </w:r>
      <w:r w:rsidRPr="00977F5D">
        <w:rPr>
          <w:szCs w:val="22"/>
        </w:rPr>
        <w:t xml:space="preserve"> reduction or cancellation of the proposed forfeiture, if any, must include a detailed factual statement supported by appropriate documentation and affidavits pursuant to sections 1.16 and 1.80(f)(3) of the </w:t>
      </w:r>
      <w:r w:rsidRPr="00977F5D" w:rsidR="00C46B2C">
        <w:rPr>
          <w:spacing w:val="-2"/>
          <w:szCs w:val="22"/>
        </w:rPr>
        <w:t>Commission’s rules</w:t>
      </w:r>
      <w:r w:rsidRPr="00977F5D">
        <w:rPr>
          <w:szCs w:val="22"/>
        </w:rPr>
        <w:t>.</w:t>
      </w:r>
      <w:r>
        <w:rPr>
          <w:szCs w:val="22"/>
          <w:vertAlign w:val="superscript"/>
        </w:rPr>
        <w:footnoteReference w:id="57"/>
      </w:r>
      <w:r w:rsidRPr="00977F5D">
        <w:rPr>
          <w:szCs w:val="22"/>
        </w:rPr>
        <w:t xml:space="preserve">  The written statement must be mailed to the Office of the Secretary, Federal Communications Commission, </w:t>
      </w:r>
      <w:r w:rsidRPr="004647D5">
        <w:t>445</w:t>
      </w:r>
      <w:r w:rsidRPr="00977F5D">
        <w:rPr>
          <w:szCs w:val="22"/>
        </w:rPr>
        <w:t xml:space="preserve"> 12th Street, SW, Washington, DC 20554, ATTN:  Enforcement Bureau – Investigations &amp; Hearings Division, and must include the NAL/Account Number referenced in the caption.  The statement must also be e-mailed to Jeffrey Gee at </w:t>
      </w:r>
      <w:hyperlink r:id="rId9" w:history="1">
        <w:r w:rsidRPr="00977F5D" w:rsidR="00B60697">
          <w:rPr>
            <w:rStyle w:val="Hyperlink"/>
            <w:szCs w:val="22"/>
          </w:rPr>
          <w:t>Jeffrey.Gee@fcc.gov</w:t>
        </w:r>
      </w:hyperlink>
      <w:r w:rsidRPr="00977F5D">
        <w:rPr>
          <w:szCs w:val="22"/>
        </w:rPr>
        <w:t xml:space="preserve">, Christopher Sova at </w:t>
      </w:r>
      <w:hyperlink r:id="rId10" w:history="1">
        <w:r w:rsidRPr="00977F5D" w:rsidR="00440FC6">
          <w:rPr>
            <w:rStyle w:val="Hyperlink"/>
            <w:szCs w:val="22"/>
          </w:rPr>
          <w:t>Christopher.Sova@fcc.gov</w:t>
        </w:r>
      </w:hyperlink>
      <w:r w:rsidRPr="00977F5D">
        <w:rPr>
          <w:szCs w:val="22"/>
        </w:rPr>
        <w:t xml:space="preserve">, Kenneth Scheibel at </w:t>
      </w:r>
      <w:hyperlink r:id="rId11" w:history="1">
        <w:r w:rsidRPr="00977F5D" w:rsidR="00B60697">
          <w:rPr>
            <w:rStyle w:val="Hyperlink"/>
            <w:szCs w:val="22"/>
          </w:rPr>
          <w:t>Kenneth.Scheibel@fcc.gov</w:t>
        </w:r>
      </w:hyperlink>
      <w:r w:rsidRPr="00977F5D">
        <w:rPr>
          <w:szCs w:val="22"/>
        </w:rPr>
        <w:t xml:space="preserve">, and Anya Baez at </w:t>
      </w:r>
      <w:hyperlink r:id="rId12" w:history="1">
        <w:r w:rsidRPr="00977F5D" w:rsidR="00B60697">
          <w:rPr>
            <w:rStyle w:val="Hyperlink"/>
            <w:szCs w:val="22"/>
          </w:rPr>
          <w:t>Anya.Baez@fcc.gov</w:t>
        </w:r>
      </w:hyperlink>
      <w:r w:rsidRPr="00977F5D">
        <w:rPr>
          <w:szCs w:val="22"/>
        </w:rPr>
        <w:t xml:space="preserve">.  </w:t>
      </w:r>
    </w:p>
    <w:p w:rsidR="006C0544" w:rsidRPr="00977F5D" w:rsidP="004647D5" w14:paraId="53F13902" w14:textId="77777777">
      <w:pPr>
        <w:pStyle w:val="ParaNum"/>
        <w:tabs>
          <w:tab w:val="clear" w:pos="1080"/>
          <w:tab w:val="num" w:pos="1440"/>
        </w:tabs>
        <w:rPr>
          <w:szCs w:val="22"/>
        </w:rPr>
      </w:pPr>
      <w:r w:rsidRPr="00977F5D">
        <w:rPr>
          <w:szCs w:val="22"/>
        </w:rPr>
        <w:t xml:space="preserve">The Commission will not consider </w:t>
      </w:r>
      <w:r w:rsidRPr="00977F5D">
        <w:rPr>
          <w:szCs w:val="22"/>
          <w:shd w:val="clear" w:color="auto" w:fill="FFFFFF"/>
        </w:rPr>
        <w:t>reducing</w:t>
      </w:r>
      <w:r w:rsidRPr="00977F5D">
        <w:rPr>
          <w:szCs w:val="22"/>
        </w:rPr>
        <w:t xml:space="preserve"> or canceling a forfeiture in response to a claim of inability to pay unless the respondent submits: (1) federal tax </w:t>
      </w:r>
      <w:r w:rsidRPr="004647D5">
        <w:t>returns</w:t>
      </w:r>
      <w:r w:rsidRPr="00977F5D">
        <w:rPr>
          <w:szCs w:val="22"/>
        </w:rPr>
        <w:t xml:space="preserve">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6C0544" w:rsidRPr="00977F5D" w:rsidP="004647D5" w14:paraId="6824EF1F" w14:textId="77777777">
      <w:pPr>
        <w:pStyle w:val="ParaNum"/>
        <w:tabs>
          <w:tab w:val="clear" w:pos="1080"/>
          <w:tab w:val="num" w:pos="1440"/>
        </w:tabs>
        <w:rPr>
          <w:szCs w:val="22"/>
        </w:rPr>
      </w:pPr>
      <w:r w:rsidRPr="00977F5D">
        <w:rPr>
          <w:b/>
          <w:szCs w:val="22"/>
        </w:rPr>
        <w:t xml:space="preserve">IT IS FURTHER ORDERED </w:t>
      </w:r>
      <w:r w:rsidRPr="00977F5D">
        <w:rPr>
          <w:szCs w:val="22"/>
          <w:shd w:val="clear" w:color="auto" w:fill="FFFFFF"/>
        </w:rPr>
        <w:t>that</w:t>
      </w:r>
      <w:r w:rsidRPr="00977F5D">
        <w:rPr>
          <w:szCs w:val="22"/>
        </w:rPr>
        <w:t xml:space="preserve"> a copy of this Notice of Apparent Liability for Forfeiture shall be sent by first class mail and certified mail, return receipt requested, to Laura M. Berman, Senior Counsel, Entercom License, LLC, 1015 </w:t>
      </w:r>
      <w:r w:rsidRPr="004647D5">
        <w:t>Half</w:t>
      </w:r>
      <w:r w:rsidRPr="00977F5D">
        <w:rPr>
          <w:szCs w:val="22"/>
        </w:rPr>
        <w:t xml:space="preserve"> Street, S.E., Suite 200, Washington, D.C. 20003, with a copy to Andrew P. Sutor, IV, Executive Vice President and General Counsel, Entercom License, LLC, 2400 Market Street, 4th Floor, Philadelphia, PA 19103.</w:t>
      </w:r>
    </w:p>
    <w:p w:rsidR="006C0544" w:rsidRPr="00425E91" w:rsidP="006C0544" w14:paraId="33D4DBB4" w14:textId="77777777">
      <w:pPr>
        <w:widowControl/>
        <w:tabs>
          <w:tab w:val="left" w:pos="0"/>
          <w:tab w:val="num" w:pos="1440"/>
        </w:tabs>
        <w:suppressAutoHyphens/>
        <w:spacing w:line="240" w:lineRule="atLeast"/>
        <w:rPr>
          <w:spacing w:val="-2"/>
          <w:szCs w:val="22"/>
        </w:rPr>
      </w:pPr>
    </w:p>
    <w:p w:rsidR="006C0544" w:rsidRPr="00020B17" w:rsidP="006C0544" w14:paraId="07FD4948" w14:textId="77777777">
      <w:pPr>
        <w:widowControl/>
        <w:tabs>
          <w:tab w:val="left" w:pos="0"/>
          <w:tab w:val="num" w:pos="1440"/>
        </w:tabs>
        <w:suppressAutoHyphens/>
        <w:spacing w:line="240" w:lineRule="atLeast"/>
        <w:rPr>
          <w:spacing w:val="-2"/>
          <w:szCs w:val="22"/>
        </w:rPr>
      </w:pPr>
      <w:r w:rsidRPr="00425E91">
        <w:rPr>
          <w:spacing w:val="-2"/>
          <w:szCs w:val="22"/>
        </w:rPr>
        <w:tab/>
      </w:r>
      <w:r w:rsidRPr="00425E91">
        <w:rPr>
          <w:spacing w:val="-2"/>
          <w:szCs w:val="22"/>
        </w:rPr>
        <w:tab/>
      </w:r>
      <w:r w:rsidRPr="00425E91">
        <w:rPr>
          <w:spacing w:val="-2"/>
          <w:szCs w:val="22"/>
        </w:rPr>
        <w:tab/>
      </w:r>
      <w:r w:rsidRPr="00425E91">
        <w:rPr>
          <w:spacing w:val="-2"/>
          <w:szCs w:val="22"/>
        </w:rPr>
        <w:tab/>
      </w:r>
      <w:r w:rsidRPr="00425E91">
        <w:rPr>
          <w:spacing w:val="-2"/>
          <w:szCs w:val="22"/>
        </w:rPr>
        <w:tab/>
        <w:t xml:space="preserve">FEDERAL </w:t>
      </w:r>
      <w:r w:rsidRPr="00020B17">
        <w:rPr>
          <w:spacing w:val="-2"/>
          <w:szCs w:val="22"/>
        </w:rPr>
        <w:t>COMMUNICATIONS COMMISSION</w:t>
      </w:r>
    </w:p>
    <w:p w:rsidR="006C0544" w:rsidRPr="00020B17" w:rsidP="006C0544" w14:paraId="1AF10E2C" w14:textId="77777777">
      <w:pPr>
        <w:widowControl/>
        <w:tabs>
          <w:tab w:val="left" w:pos="0"/>
          <w:tab w:val="num" w:pos="1440"/>
        </w:tabs>
        <w:suppressAutoHyphens/>
        <w:spacing w:line="240" w:lineRule="atLeast"/>
        <w:rPr>
          <w:spacing w:val="-2"/>
          <w:szCs w:val="22"/>
        </w:rPr>
      </w:pPr>
    </w:p>
    <w:p w:rsidR="006C0544" w:rsidRPr="00020B17" w:rsidP="006C0544" w14:paraId="2CB97E9C" w14:textId="77777777">
      <w:pPr>
        <w:widowControl/>
        <w:tabs>
          <w:tab w:val="left" w:pos="0"/>
          <w:tab w:val="num" w:pos="1440"/>
        </w:tabs>
        <w:suppressAutoHyphens/>
        <w:spacing w:line="240" w:lineRule="atLeast"/>
        <w:rPr>
          <w:spacing w:val="-2"/>
          <w:szCs w:val="22"/>
        </w:rPr>
      </w:pPr>
    </w:p>
    <w:p w:rsidR="006C0544" w:rsidRPr="00020B17" w:rsidP="006C0544" w14:paraId="665F17FD" w14:textId="77777777">
      <w:pPr>
        <w:widowControl/>
        <w:tabs>
          <w:tab w:val="left" w:pos="0"/>
          <w:tab w:val="num" w:pos="1440"/>
        </w:tabs>
        <w:suppressAutoHyphens/>
        <w:spacing w:line="240" w:lineRule="atLeast"/>
        <w:rPr>
          <w:spacing w:val="-2"/>
          <w:szCs w:val="22"/>
        </w:rPr>
      </w:pPr>
      <w:r w:rsidRPr="00020B17">
        <w:rPr>
          <w:spacing w:val="-2"/>
          <w:szCs w:val="22"/>
        </w:rPr>
        <w:tab/>
      </w:r>
      <w:r w:rsidRPr="00020B17">
        <w:rPr>
          <w:spacing w:val="-2"/>
          <w:szCs w:val="22"/>
        </w:rPr>
        <w:tab/>
      </w:r>
      <w:r w:rsidRPr="00020B17">
        <w:rPr>
          <w:spacing w:val="-2"/>
          <w:szCs w:val="22"/>
        </w:rPr>
        <w:tab/>
      </w:r>
      <w:r w:rsidRPr="00020B17">
        <w:rPr>
          <w:spacing w:val="-2"/>
          <w:szCs w:val="22"/>
        </w:rPr>
        <w:tab/>
      </w:r>
      <w:r w:rsidRPr="00020B17">
        <w:rPr>
          <w:spacing w:val="-2"/>
          <w:szCs w:val="22"/>
        </w:rPr>
        <w:tab/>
      </w:r>
    </w:p>
    <w:p w:rsidR="006C0544" w:rsidRPr="00020B17" w:rsidP="006C0544" w14:paraId="692831C7" w14:textId="77777777">
      <w:pPr>
        <w:widowControl/>
        <w:tabs>
          <w:tab w:val="left" w:pos="0"/>
          <w:tab w:val="num" w:pos="1440"/>
        </w:tabs>
        <w:suppressAutoHyphens/>
        <w:spacing w:line="240" w:lineRule="atLeast"/>
        <w:rPr>
          <w:spacing w:val="-2"/>
          <w:szCs w:val="22"/>
        </w:rPr>
      </w:pPr>
      <w:r w:rsidRPr="00020B17">
        <w:rPr>
          <w:spacing w:val="-2"/>
          <w:szCs w:val="22"/>
        </w:rPr>
        <w:tab/>
      </w:r>
      <w:r w:rsidRPr="00020B17">
        <w:rPr>
          <w:spacing w:val="-2"/>
          <w:szCs w:val="22"/>
        </w:rPr>
        <w:tab/>
      </w:r>
      <w:r w:rsidRPr="00020B17">
        <w:rPr>
          <w:spacing w:val="-2"/>
          <w:szCs w:val="22"/>
        </w:rPr>
        <w:tab/>
      </w:r>
      <w:r w:rsidRPr="00020B17">
        <w:rPr>
          <w:spacing w:val="-2"/>
          <w:szCs w:val="22"/>
        </w:rPr>
        <w:tab/>
      </w:r>
      <w:r w:rsidRPr="00020B17">
        <w:rPr>
          <w:spacing w:val="-2"/>
          <w:szCs w:val="22"/>
        </w:rPr>
        <w:tab/>
        <w:t>Rosemary C. Harold</w:t>
      </w:r>
    </w:p>
    <w:p w:rsidR="00B60697" w:rsidRPr="00020B17" w:rsidP="006C0544" w14:paraId="1EE62D69" w14:textId="36390E91">
      <w:pPr>
        <w:widowControl/>
        <w:tabs>
          <w:tab w:val="left" w:pos="0"/>
          <w:tab w:val="num" w:pos="1440"/>
        </w:tabs>
        <w:suppressAutoHyphens/>
        <w:spacing w:line="240" w:lineRule="atLeast"/>
        <w:rPr>
          <w:spacing w:val="-2"/>
          <w:szCs w:val="22"/>
        </w:rPr>
      </w:pPr>
      <w:r w:rsidRPr="00020B17">
        <w:rPr>
          <w:spacing w:val="-2"/>
          <w:szCs w:val="22"/>
        </w:rPr>
        <w:tab/>
      </w:r>
      <w:r w:rsidRPr="00020B17">
        <w:rPr>
          <w:spacing w:val="-2"/>
          <w:szCs w:val="22"/>
        </w:rPr>
        <w:tab/>
      </w:r>
      <w:r w:rsidRPr="00020B17">
        <w:rPr>
          <w:spacing w:val="-2"/>
          <w:szCs w:val="22"/>
        </w:rPr>
        <w:tab/>
      </w:r>
      <w:r w:rsidRPr="00020B17">
        <w:rPr>
          <w:spacing w:val="-2"/>
          <w:szCs w:val="22"/>
        </w:rPr>
        <w:tab/>
      </w:r>
      <w:r w:rsidRPr="00020B17">
        <w:rPr>
          <w:spacing w:val="-2"/>
          <w:szCs w:val="22"/>
        </w:rPr>
        <w:tab/>
        <w:t>Chief</w:t>
      </w:r>
    </w:p>
    <w:p w:rsidR="00517793" w:rsidP="006C0544" w14:paraId="12544B78" w14:textId="74BE4006">
      <w:pPr>
        <w:widowControl/>
        <w:tabs>
          <w:tab w:val="left" w:pos="0"/>
          <w:tab w:val="num" w:pos="1440"/>
        </w:tabs>
        <w:suppressAutoHyphens/>
        <w:spacing w:line="240" w:lineRule="atLeast"/>
        <w:rPr>
          <w:spacing w:val="-2"/>
          <w:szCs w:val="22"/>
        </w:rPr>
      </w:pPr>
      <w:r w:rsidRPr="00020B17">
        <w:rPr>
          <w:spacing w:val="-2"/>
          <w:szCs w:val="22"/>
        </w:rPr>
        <w:tab/>
      </w:r>
      <w:r w:rsidRPr="00020B17">
        <w:rPr>
          <w:spacing w:val="-2"/>
          <w:szCs w:val="22"/>
        </w:rPr>
        <w:tab/>
      </w:r>
      <w:r w:rsidRPr="00020B17">
        <w:rPr>
          <w:spacing w:val="-2"/>
          <w:szCs w:val="22"/>
        </w:rPr>
        <w:tab/>
      </w:r>
      <w:r w:rsidRPr="00020B17">
        <w:rPr>
          <w:spacing w:val="-2"/>
          <w:szCs w:val="22"/>
        </w:rPr>
        <w:tab/>
      </w:r>
      <w:r w:rsidRPr="00020B17">
        <w:rPr>
          <w:spacing w:val="-2"/>
          <w:szCs w:val="22"/>
        </w:rPr>
        <w:tab/>
      </w:r>
      <w:r w:rsidRPr="00020B17" w:rsidR="006C0544">
        <w:rPr>
          <w:spacing w:val="-2"/>
          <w:szCs w:val="22"/>
        </w:rPr>
        <w:t>Enforcement Bureau</w:t>
      </w:r>
    </w:p>
    <w:p w:rsidR="00412FC5" w:rsidRPr="00020B17" w:rsidP="006C0544" w14:paraId="59F368DA" w14:textId="77777777">
      <w:pPr>
        <w:rPr>
          <w:szCs w:val="22"/>
        </w:rPr>
      </w:pPr>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C69F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D246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FE596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5DE3C3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BDFB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2C2B" w14:paraId="18034420" w14:textId="77777777">
      <w:r>
        <w:separator/>
      </w:r>
    </w:p>
  </w:footnote>
  <w:footnote w:type="continuationSeparator" w:id="1">
    <w:p w:rsidR="00682C2B" w:rsidP="00C721AC" w14:paraId="07E7EB2F" w14:textId="77777777">
      <w:pPr>
        <w:spacing w:before="120"/>
      </w:pPr>
      <w:r>
        <w:t xml:space="preserve">(Continued from previous page)  </w:t>
      </w:r>
      <w:r>
        <w:separator/>
      </w:r>
    </w:p>
  </w:footnote>
  <w:footnote w:type="continuationNotice" w:id="2">
    <w:p w:rsidR="00682C2B" w:rsidP="00C721AC" w14:paraId="2129E6A1" w14:textId="77777777">
      <w:pPr>
        <w:jc w:val="right"/>
      </w:pPr>
    </w:p>
  </w:footnote>
  <w:footnote w:id="3">
    <w:p w:rsidR="00EB17F2" w:rsidP="00EB17F2" w14:paraId="73A6AFB0"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4">
    <w:p w:rsidR="00B72004" w:rsidRPr="00B72004" w:rsidP="009824A9" w14:paraId="30C43F38" w14:textId="0A114304">
      <w:pPr>
        <w:pStyle w:val="FootnoteText"/>
        <w:ind w:right="-90"/>
      </w:pPr>
      <w:r>
        <w:rPr>
          <w:rStyle w:val="FootnoteReference"/>
        </w:rPr>
        <w:footnoteRef/>
      </w:r>
      <w:r>
        <w:t xml:space="preserve"> </w:t>
      </w:r>
      <w:r w:rsidRPr="00B72004">
        <w:rPr>
          <w:i/>
        </w:rPr>
        <w:t>CBS Broadcasting Inc. d/b/a CBS Television Network, CBS Television Stations, Inc., CBS Stations Group of Texas LLC, CBS LITV LLC</w:t>
      </w:r>
      <w:r w:rsidRPr="00B72004">
        <w:t>, Notice of Apparent Liability for Forfeiture, 34 FCC Rcd 8417, 8418, para. 2 (2019) (forfeiture paid) (</w:t>
      </w:r>
      <w:r w:rsidRPr="00B72004">
        <w:rPr>
          <w:i/>
        </w:rPr>
        <w:t>CBS NAL</w:t>
      </w:r>
      <w:r w:rsidRPr="00B72004">
        <w:t xml:space="preserve">); </w:t>
      </w:r>
      <w:r w:rsidRPr="00B72004">
        <w:rPr>
          <w:i/>
        </w:rPr>
        <w:t xml:space="preserve">see </w:t>
      </w:r>
      <w:r w:rsidRPr="00B72004">
        <w:t xml:space="preserve">FEMA, Fact Sheet: Emergency Alert System (EAS) (2016), </w:t>
      </w:r>
      <w:hyperlink r:id="rId1" w:history="1">
        <w:r w:rsidRPr="00B72004">
          <w:rPr>
            <w:rStyle w:val="Hyperlink"/>
          </w:rPr>
          <w:t>https://www.fema.gov/media-library-data/1465326763240-4152791226bbd49cf46aff8cd5f43bb1/Emergency_Alert_System_Fact_Sheet_2016.pdf</w:t>
        </w:r>
      </w:hyperlink>
      <w:r w:rsidRPr="00B72004">
        <w:t>.</w:t>
      </w:r>
    </w:p>
    <w:p w:rsidR="00B72004" w14:paraId="6ADC00D6" w14:textId="7CE0CD85">
      <w:pPr>
        <w:pStyle w:val="FootnoteText"/>
      </w:pPr>
    </w:p>
  </w:footnote>
  <w:footnote w:id="5">
    <w:p w:rsidR="00202133" w:rsidP="00A5585D" w14:paraId="32050E81" w14:textId="57FBB0B0">
      <w:pPr>
        <w:pStyle w:val="FootnoteText"/>
      </w:pPr>
      <w:r w:rsidRPr="00E270C3">
        <w:rPr>
          <w:rStyle w:val="FootnoteReference"/>
        </w:rPr>
        <w:footnoteRef/>
      </w:r>
      <w:r w:rsidRPr="00E270C3">
        <w:t xml:space="preserve"> 47 CFR § 11.45</w:t>
      </w:r>
      <w:r w:rsidR="006E5542">
        <w:t>(a)</w:t>
      </w:r>
      <w:r w:rsidRPr="00E270C3">
        <w:t>.  Section 10.520(d) provides</w:t>
      </w:r>
      <w:r w:rsidR="006E5542">
        <w:t xml:space="preserve">, in part, </w:t>
      </w:r>
      <w:r w:rsidRPr="00E270C3">
        <w:t>“</w:t>
      </w:r>
      <w:r w:rsidR="006E5542">
        <w:t>[</w:t>
      </w:r>
      <w:r w:rsidRPr="00E270C3">
        <w:t>n</w:t>
      </w:r>
      <w:r w:rsidR="006E5542">
        <w:t>]</w:t>
      </w:r>
      <w:r w:rsidRPr="00E270C3">
        <w:t xml:space="preserve">o person may transmit or cause to transmit the </w:t>
      </w:r>
      <w:r w:rsidRPr="0074290B">
        <w:t>WEA</w:t>
      </w:r>
      <w:r w:rsidRPr="00E270C3">
        <w:t xml:space="preserve"> common audio attention signal, or a recording or simulation thereof, in any circumstance other than in an actual National, State or Local Area emergency or authorized test, except as designed and used for Public Service Announcements</w:t>
      </w:r>
      <w:r w:rsidR="006E5542">
        <w:t>…</w:t>
      </w:r>
      <w:r w:rsidRPr="00E270C3">
        <w:t xml:space="preserve">.”  </w:t>
      </w:r>
      <w:r>
        <w:t>47</w:t>
      </w:r>
      <w:r w:rsidR="00A5585D">
        <w:t xml:space="preserve"> CFR </w:t>
      </w:r>
      <w:r w:rsidRPr="00E270C3">
        <w:t>§ 10.520(d).  Section 11.46 provides</w:t>
      </w:r>
      <w:r w:rsidR="006E5542">
        <w:t>, in part</w:t>
      </w:r>
      <w:r>
        <w:t>:</w:t>
      </w:r>
      <w:r w:rsidRPr="00E270C3">
        <w:t xml:space="preserve"> </w:t>
      </w:r>
    </w:p>
    <w:p w:rsidR="00202133" w:rsidP="00A5585D" w14:paraId="27EBAEB1" w14:textId="77777777">
      <w:pPr>
        <w:pStyle w:val="FootnoteText"/>
        <w:spacing w:after="0"/>
      </w:pPr>
      <w:r>
        <w:tab/>
      </w:r>
      <w:r w:rsidRPr="00E270C3" w:rsidR="00D3707A">
        <w:t>EAS Participants may use the EAS Attention Signal and a simulation of the EAS</w:t>
      </w:r>
    </w:p>
    <w:p w:rsidR="00202133" w:rsidP="00A5585D" w14:paraId="17FDA047" w14:textId="77777777">
      <w:pPr>
        <w:pStyle w:val="FootnoteText"/>
        <w:spacing w:after="0"/>
      </w:pPr>
      <w:r>
        <w:tab/>
      </w:r>
      <w:r w:rsidRPr="00E270C3" w:rsidR="00D3707A">
        <w:t xml:space="preserve"> codes as provided by FEMA in EAS Public Service Announcements (PSAs) </w:t>
      </w:r>
    </w:p>
    <w:p w:rsidR="00202133" w:rsidP="00A5585D" w14:paraId="0FEB7BA4" w14:textId="77777777">
      <w:pPr>
        <w:pStyle w:val="FootnoteText"/>
        <w:spacing w:after="0"/>
      </w:pPr>
      <w:r>
        <w:tab/>
      </w:r>
      <w:r w:rsidRPr="00E270C3" w:rsidR="00D3707A">
        <w:t xml:space="preserve">(including commercially-sponsored announcements, infomercials, or programs) provided </w:t>
      </w:r>
    </w:p>
    <w:p w:rsidR="00202133" w:rsidP="00A5585D" w14:paraId="5AB8A0A9" w14:textId="77777777">
      <w:pPr>
        <w:pStyle w:val="FootnoteText"/>
        <w:spacing w:after="0"/>
      </w:pPr>
      <w:r>
        <w:tab/>
      </w:r>
      <w:r w:rsidRPr="00E270C3" w:rsidR="00D3707A">
        <w:t xml:space="preserve">by federal, state, and local government entities, or non-governmental organizations, </w:t>
      </w:r>
    </w:p>
    <w:p w:rsidR="00202133" w:rsidP="00A5585D" w14:paraId="1DE4E817" w14:textId="756180A1">
      <w:pPr>
        <w:pStyle w:val="FootnoteText"/>
        <w:spacing w:after="0"/>
      </w:pPr>
      <w:r>
        <w:tab/>
      </w:r>
      <w:r w:rsidRPr="00E270C3" w:rsidR="00D3707A">
        <w:t>to raise public awareness about emergency alerting</w:t>
      </w:r>
      <w:r w:rsidR="006E5542">
        <w:t>….</w:t>
      </w:r>
    </w:p>
    <w:p w:rsidR="00202133" w:rsidP="00A5585D" w14:paraId="6605F07D" w14:textId="77777777">
      <w:pPr>
        <w:pStyle w:val="FootnoteText"/>
      </w:pPr>
    </w:p>
    <w:p w:rsidR="00D3707A" w:rsidRPr="00E270C3" w:rsidP="00A5585D" w14:paraId="24244335" w14:textId="6B7DE125">
      <w:pPr>
        <w:pStyle w:val="FootnoteText"/>
      </w:pPr>
      <w:r>
        <w:t xml:space="preserve">47 </w:t>
      </w:r>
      <w:r w:rsidR="00A5585D">
        <w:t xml:space="preserve">CFR </w:t>
      </w:r>
      <w:r w:rsidRPr="00E270C3">
        <w:t>§ 11.46.  Section 11.61 provides</w:t>
      </w:r>
      <w:r w:rsidR="006E5542">
        <w:t>, in part,</w:t>
      </w:r>
      <w:r w:rsidRPr="00E270C3">
        <w:t xml:space="preserve"> “EAS Participants shall conduct tests [of EAS procedures] at regular intervals</w:t>
      </w:r>
      <w:r w:rsidR="006E5542">
        <w:t>….</w:t>
      </w:r>
      <w:r w:rsidRPr="00E270C3">
        <w:t xml:space="preserve">”  </w:t>
      </w:r>
      <w:r>
        <w:rPr>
          <w:iCs/>
        </w:rPr>
        <w:t>47</w:t>
      </w:r>
      <w:r w:rsidR="00A5585D">
        <w:rPr>
          <w:iCs/>
        </w:rPr>
        <w:t xml:space="preserve"> CFR</w:t>
      </w:r>
      <w:r w:rsidRPr="00E270C3">
        <w:rPr>
          <w:i/>
        </w:rPr>
        <w:t xml:space="preserve"> </w:t>
      </w:r>
      <w:r w:rsidRPr="00E270C3">
        <w:t>§ 11.61</w:t>
      </w:r>
      <w:r w:rsidR="006E5542">
        <w:t>(a)</w:t>
      </w:r>
      <w:r w:rsidRPr="00E270C3">
        <w:t xml:space="preserve">.  </w:t>
      </w:r>
    </w:p>
  </w:footnote>
  <w:footnote w:id="6">
    <w:p w:rsidR="00D3707A" w:rsidRPr="00E270C3" w:rsidP="00D3707A" w14:paraId="1E330C24" w14:textId="77777777">
      <w:pPr>
        <w:pStyle w:val="FootnoteText"/>
      </w:pPr>
      <w:r w:rsidRPr="00E270C3">
        <w:rPr>
          <w:rStyle w:val="FootnoteReference"/>
        </w:rPr>
        <w:footnoteRef/>
      </w:r>
      <w:r w:rsidRPr="00E270C3">
        <w:t xml:space="preserve"> </w:t>
      </w:r>
      <w:r w:rsidRPr="00E270C3">
        <w:rPr>
          <w:i/>
        </w:rPr>
        <w:t>See Amendment of Part 73, Subpart G, of the Commission’s Rules Regarding the Emergency Broadcast System</w:t>
      </w:r>
      <w:r w:rsidRPr="00E270C3">
        <w:t>, FO Docket Nos. 91–301 and 91–171, Notice of Proposed Rulemaking and Further Notice of Proposed Rulemaking, 7 FCC Rcd 6903, 6907, para. 39 (1992).</w:t>
      </w:r>
    </w:p>
  </w:footnote>
  <w:footnote w:id="7">
    <w:p w:rsidR="00D3707A" w:rsidRPr="00E270C3" w:rsidP="00D3707A" w14:paraId="27658A49" w14:textId="77777777">
      <w:pPr>
        <w:pStyle w:val="FootnoteText"/>
      </w:pPr>
      <w:r w:rsidRPr="00E270C3">
        <w:rPr>
          <w:rStyle w:val="FootnoteReference"/>
        </w:rPr>
        <w:footnoteRef/>
      </w:r>
      <w:r w:rsidRPr="00E270C3">
        <w:t xml:space="preserve"> </w:t>
      </w:r>
      <w:r w:rsidRPr="00E270C3">
        <w:rPr>
          <w:i/>
        </w:rPr>
        <w:t>Amendment of Part 73, Subpart G, of the Commission’s Rules Regarding the Emergency Broadcast System</w:t>
      </w:r>
      <w:r w:rsidRPr="00E270C3">
        <w:t>, FO Docket Nos. 91–301 and 91–171,</w:t>
      </w:r>
      <w:r w:rsidRPr="00E270C3">
        <w:rPr>
          <w:i/>
        </w:rPr>
        <w:t xml:space="preserve"> </w:t>
      </w:r>
      <w:r w:rsidRPr="00E270C3">
        <w:t>Report and Order and Further Notice of Proposed Rulemaking,</w:t>
      </w:r>
      <w:r w:rsidRPr="00E270C3">
        <w:rPr>
          <w:i/>
        </w:rPr>
        <w:t xml:space="preserve"> </w:t>
      </w:r>
      <w:r w:rsidRPr="00E270C3">
        <w:t>10</w:t>
      </w:r>
      <w:r w:rsidRPr="00E270C3">
        <w:rPr>
          <w:i/>
        </w:rPr>
        <w:t xml:space="preserve"> </w:t>
      </w:r>
      <w:r w:rsidRPr="00E270C3">
        <w:t>FCC Rcd 1786, 1815, para. 84 (1994).</w:t>
      </w:r>
    </w:p>
  </w:footnote>
  <w:footnote w:id="8">
    <w:p w:rsidR="006C0544" w:rsidRPr="00B35607" w:rsidP="006C0544" w14:paraId="4A669421" w14:textId="36DD106C">
      <w:pPr>
        <w:pStyle w:val="xmsofootnotetext"/>
        <w:rPr>
          <w:b/>
        </w:rPr>
      </w:pPr>
      <w:r w:rsidRPr="00E270C3">
        <w:rPr>
          <w:rStyle w:val="FootnoteReference"/>
          <w:szCs w:val="20"/>
        </w:rPr>
        <w:footnoteRef/>
      </w:r>
      <w:r w:rsidRPr="00E270C3">
        <w:rPr>
          <w:rFonts w:ascii="Times New Roman" w:hAnsi="Times New Roman"/>
          <w:sz w:val="20"/>
          <w:szCs w:val="20"/>
        </w:rPr>
        <w:t xml:space="preserve"> </w:t>
      </w:r>
      <w:r w:rsidRPr="004F1DAE" w:rsidR="004F1DAE">
        <w:rPr>
          <w:rFonts w:ascii="Times New Roman" w:hAnsi="Times New Roman"/>
          <w:i/>
          <w:sz w:val="20"/>
          <w:szCs w:val="20"/>
        </w:rPr>
        <w:t>Viacom, Inc.</w:t>
      </w:r>
      <w:r w:rsidRPr="004F1DAE" w:rsidR="004F1DAE">
        <w:rPr>
          <w:rFonts w:ascii="Times New Roman" w:hAnsi="Times New Roman"/>
          <w:sz w:val="20"/>
          <w:szCs w:val="20"/>
        </w:rPr>
        <w:t>,</w:t>
      </w:r>
      <w:r w:rsidRPr="004F1DAE" w:rsidR="004F1DAE">
        <w:rPr>
          <w:rFonts w:ascii="Times New Roman" w:hAnsi="Times New Roman"/>
          <w:i/>
          <w:sz w:val="20"/>
          <w:szCs w:val="20"/>
        </w:rPr>
        <w:t xml:space="preserve"> ESPN, Inc.</w:t>
      </w:r>
      <w:r w:rsidRPr="004F1DAE" w:rsidR="004F1DAE">
        <w:rPr>
          <w:rFonts w:ascii="Times New Roman" w:hAnsi="Times New Roman"/>
          <w:sz w:val="20"/>
          <w:szCs w:val="20"/>
        </w:rPr>
        <w:t>, Forfeiture Order, 30 FCC Rcd 797, 797, para. 1 (2015) (</w:t>
      </w:r>
      <w:r w:rsidRPr="004F1DAE" w:rsidR="004F1DAE">
        <w:rPr>
          <w:rFonts w:ascii="Times New Roman" w:hAnsi="Times New Roman"/>
          <w:i/>
          <w:sz w:val="20"/>
          <w:szCs w:val="20"/>
        </w:rPr>
        <w:t>Viacom Forfeiture Order</w:t>
      </w:r>
      <w:r w:rsidRPr="004F1DAE" w:rsidR="004F1DAE">
        <w:rPr>
          <w:rFonts w:ascii="Times New Roman" w:hAnsi="Times New Roman"/>
          <w:sz w:val="20"/>
          <w:szCs w:val="20"/>
        </w:rPr>
        <w:t xml:space="preserve">) (“As many of the complaints about EAS abuse have said, misuse of the tones creates a ‘Cry Wolf’ scenario, which risks desensitizing the public to the significance of the tones in a real emergency.”); </w:t>
      </w:r>
      <w:r w:rsidRPr="00161576" w:rsidR="004F1DAE">
        <w:rPr>
          <w:rFonts w:ascii="Times New Roman" w:hAnsi="Times New Roman"/>
          <w:i/>
          <w:sz w:val="20"/>
        </w:rPr>
        <w:t xml:space="preserve">CBS </w:t>
      </w:r>
      <w:r w:rsidRPr="00161576" w:rsidR="004F1DAE">
        <w:rPr>
          <w:rFonts w:ascii="Times New Roman" w:hAnsi="Times New Roman"/>
          <w:i/>
          <w:sz w:val="20"/>
          <w:szCs w:val="20"/>
        </w:rPr>
        <w:t>NAL</w:t>
      </w:r>
      <w:r w:rsidR="00084F7D">
        <w:rPr>
          <w:rFonts w:ascii="Times New Roman" w:hAnsi="Times New Roman"/>
          <w:sz w:val="20"/>
          <w:szCs w:val="20"/>
        </w:rPr>
        <w:t>, 34 FCC Rcd 8417</w:t>
      </w:r>
      <w:r w:rsidR="00E23EB1">
        <w:rPr>
          <w:i/>
        </w:rPr>
        <w:t xml:space="preserve"> </w:t>
      </w:r>
      <w:r>
        <w:rPr>
          <w:rFonts w:ascii="Times New Roman" w:hAnsi="Times New Roman"/>
          <w:sz w:val="20"/>
          <w:szCs w:val="20"/>
        </w:rPr>
        <w:t>at 8418, n.4 (citations omitted).</w:t>
      </w:r>
    </w:p>
  </w:footnote>
  <w:footnote w:id="9">
    <w:p w:rsidR="006C0544" w:rsidRPr="000F1355" w:rsidP="006C0544" w14:paraId="5C4D9C57" w14:textId="499B9782">
      <w:pPr>
        <w:pStyle w:val="FootnoteText"/>
        <w:rPr>
          <w:highlight w:val="yellow"/>
        </w:rPr>
      </w:pPr>
      <w:r w:rsidRPr="00E270C3">
        <w:rPr>
          <w:rStyle w:val="FootnoteReference"/>
        </w:rPr>
        <w:footnoteRef/>
      </w:r>
      <w:r w:rsidRPr="00E270C3">
        <w:t xml:space="preserve"> </w:t>
      </w:r>
      <w:r w:rsidRPr="00E270C3">
        <w:rPr>
          <w:i/>
        </w:rPr>
        <w:t xml:space="preserve">See </w:t>
      </w:r>
      <w:r w:rsidRPr="00E270C3">
        <w:t xml:space="preserve">47 CFR § 11.31(a).    </w:t>
      </w:r>
    </w:p>
  </w:footnote>
  <w:footnote w:id="10">
    <w:p w:rsidR="00886479" w14:paraId="48017097" w14:textId="2388BD14">
      <w:pPr>
        <w:pStyle w:val="FootnoteText"/>
      </w:pPr>
      <w:r w:rsidRPr="00DC361E">
        <w:rPr>
          <w:rStyle w:val="FootnoteReference"/>
        </w:rPr>
        <w:footnoteRef/>
      </w:r>
      <w:r w:rsidRPr="00DC361E">
        <w:t xml:space="preserve"> </w:t>
      </w:r>
      <w:r w:rsidRPr="00DC361E">
        <w:rPr>
          <w:i/>
        </w:rPr>
        <w:t xml:space="preserve">See </w:t>
      </w:r>
      <w:r w:rsidRPr="00DC361E">
        <w:t>47 CFR § 11.31(a)</w:t>
      </w:r>
      <w:r w:rsidRPr="00144019" w:rsidR="00DC361E">
        <w:t>.</w:t>
      </w:r>
      <w:r w:rsidRPr="00DC361E">
        <w:rPr>
          <w:szCs w:val="22"/>
        </w:rPr>
        <w:t xml:space="preserve"> </w:t>
      </w:r>
      <w:r w:rsidRPr="00144019">
        <w:rPr>
          <w:szCs w:val="22"/>
          <w:highlight w:val="yellow"/>
        </w:rPr>
        <w:t xml:space="preserve"> </w:t>
      </w:r>
    </w:p>
  </w:footnote>
  <w:footnote w:id="11">
    <w:p w:rsidR="009C282A" w14:paraId="744AD078" w14:textId="6C0AE312">
      <w:pPr>
        <w:pStyle w:val="FootnoteText"/>
      </w:pPr>
      <w:r>
        <w:rPr>
          <w:rStyle w:val="FootnoteReference"/>
        </w:rPr>
        <w:footnoteRef/>
      </w:r>
      <w:r>
        <w:t xml:space="preserve"> </w:t>
      </w:r>
      <w:r w:rsidRPr="00E270C3">
        <w:rPr>
          <w:i/>
        </w:rPr>
        <w:t xml:space="preserve">See </w:t>
      </w:r>
      <w:r w:rsidRPr="00E270C3">
        <w:t>47 CFR §</w:t>
      </w:r>
      <w:r w:rsidRPr="00E270C3">
        <w:rPr>
          <w:b/>
        </w:rPr>
        <w:t xml:space="preserve"> </w:t>
      </w:r>
      <w:r w:rsidRPr="00E270C3">
        <w:t>11.45.</w:t>
      </w:r>
    </w:p>
  </w:footnote>
  <w:footnote w:id="12">
    <w:p w:rsidR="00130833" w14:paraId="4D66B6F5" w14:textId="79A5027A">
      <w:pPr>
        <w:pStyle w:val="FootnoteText"/>
      </w:pPr>
      <w:r>
        <w:rPr>
          <w:rStyle w:val="FootnoteReference"/>
        </w:rPr>
        <w:footnoteRef/>
      </w:r>
      <w:r>
        <w:t xml:space="preserve"> </w:t>
      </w:r>
      <w:r w:rsidR="00B72004">
        <w:t xml:space="preserve">Entercom, About Us, </w:t>
      </w:r>
      <w:hyperlink r:id="rId2" w:history="1">
        <w:r w:rsidRPr="00B72004" w:rsidR="00B72004">
          <w:rPr>
            <w:rStyle w:val="Hyperlink"/>
          </w:rPr>
          <w:t>https://entercom.com/about</w:t>
        </w:r>
      </w:hyperlink>
      <w:r w:rsidR="007C6CF2">
        <w:t xml:space="preserve"> (last visited Mar. 5, 2020).  </w:t>
      </w:r>
    </w:p>
  </w:footnote>
  <w:footnote w:id="13">
    <w:p w:rsidR="007C6CF2" w14:paraId="102B0C9E" w14:textId="3BE5C935">
      <w:pPr>
        <w:pStyle w:val="FootnoteText"/>
      </w:pPr>
      <w:r>
        <w:rPr>
          <w:rStyle w:val="FootnoteReference"/>
        </w:rPr>
        <w:footnoteRef/>
      </w:r>
      <w:r>
        <w:t xml:space="preserve"> Entercom, </w:t>
      </w:r>
      <w:r w:rsidR="00B72004">
        <w:t xml:space="preserve">Our Portfolio, Radio Stations, </w:t>
      </w:r>
      <w:hyperlink r:id="rId3" w:history="1">
        <w:r w:rsidRPr="00B72004" w:rsidR="00B72004">
          <w:rPr>
            <w:rStyle w:val="Hyperlink"/>
          </w:rPr>
          <w:t>https://entercom.com/radio-stations/</w:t>
        </w:r>
      </w:hyperlink>
      <w:r>
        <w:t xml:space="preserve"> (last visited Mar. 5, 2020).  </w:t>
      </w:r>
    </w:p>
  </w:footnote>
  <w:footnote w:id="14">
    <w:p w:rsidR="00464555" w:rsidP="00464555" w14:paraId="65785CC0" w14:textId="77777777">
      <w:pPr>
        <w:pStyle w:val="FootnoteText"/>
      </w:pPr>
      <w:r>
        <w:rPr>
          <w:rStyle w:val="FootnoteReference"/>
        </w:rPr>
        <w:footnoteRef/>
      </w:r>
      <w:r>
        <w:t xml:space="preserve"> </w:t>
      </w:r>
      <w:r w:rsidRPr="00E6684D">
        <w:t xml:space="preserve">The WEA system allows authorized </w:t>
      </w:r>
      <w:r>
        <w:t>f</w:t>
      </w:r>
      <w:r w:rsidRPr="00E6684D">
        <w:t xml:space="preserve">ederal, tribal, state, local and territorial government agencies to send geographically targeted emergency alerts to commercial wireless subscribers who have WEA-capable mobile devices and whose commercial wireless service provider has elected to offer the service.  Commercial wireless service providers’ participation in WEA is optional, but those electing to participate must follow the Commission’s rules.  </w:t>
      </w:r>
      <w:r w:rsidRPr="00781274">
        <w:rPr>
          <w:i/>
          <w:iCs/>
        </w:rPr>
        <w:t>See</w:t>
      </w:r>
      <w:r w:rsidRPr="00E6684D">
        <w:t xml:space="preserve"> 47 CFR Part 10.</w:t>
      </w:r>
    </w:p>
  </w:footnote>
  <w:footnote w:id="15">
    <w:p w:rsidR="00464555" w:rsidP="00464555" w14:paraId="558B1E65" w14:textId="77777777">
      <w:pPr>
        <w:pStyle w:val="FootnoteText"/>
      </w:pPr>
      <w:r>
        <w:rPr>
          <w:rStyle w:val="FootnoteReference"/>
        </w:rPr>
        <w:footnoteRef/>
      </w:r>
      <w:r>
        <w:t xml:space="preserve"> </w:t>
      </w:r>
      <w:r w:rsidRPr="00565B62">
        <w:rPr>
          <w:i/>
        </w:rPr>
        <w:t>Public Safety and Homeland Security Bureau Releases its Initial Findings Regarding the 2018 Nationwide Tests of Wireless Emergency Alerts and Emergency Alert System</w:t>
      </w:r>
      <w:r w:rsidRPr="00565B62">
        <w:t xml:space="preserve">, </w:t>
      </w:r>
      <w:r w:rsidRPr="00C85AA5">
        <w:t>PS Docket Nos. 15-91</w:t>
      </w:r>
      <w:r>
        <w:t xml:space="preserve"> and</w:t>
      </w:r>
      <w:r w:rsidRPr="00C85AA5">
        <w:t xml:space="preserve"> 15-94</w:t>
      </w:r>
      <w:r>
        <w:t xml:space="preserve">, </w:t>
      </w:r>
      <w:r w:rsidRPr="00565B62">
        <w:t xml:space="preserve">Public Notice, </w:t>
      </w:r>
      <w:r>
        <w:rPr>
          <w:rStyle w:val="item-value"/>
        </w:rPr>
        <w:t>33 FCC Rcd 12393</w:t>
      </w:r>
      <w:r w:rsidRPr="00565B62">
        <w:rPr>
          <w:rStyle w:val="item-value"/>
        </w:rPr>
        <w:t xml:space="preserve"> (PSHB 2018).</w:t>
      </w:r>
    </w:p>
  </w:footnote>
  <w:footnote w:id="16">
    <w:p w:rsidR="006C0544" w:rsidRPr="00565B62" w:rsidP="006C0544" w14:paraId="5E92FC9A" w14:textId="63F4C6C6">
      <w:pPr>
        <w:pStyle w:val="FootnoteText"/>
      </w:pPr>
      <w:r w:rsidRPr="00565B62">
        <w:rPr>
          <w:rStyle w:val="FootnoteReference"/>
        </w:rPr>
        <w:footnoteRef/>
      </w:r>
      <w:r w:rsidRPr="00565B62">
        <w:t xml:space="preserve"> Complaint No. 2815339-1 (Oct. 3, 2018) (Complaint) (on file in EB-IHD-19-00028718</w:t>
      </w:r>
      <w:r w:rsidR="001C090C">
        <w:t>)</w:t>
      </w:r>
      <w:r w:rsidRPr="00565B62">
        <w:t>.</w:t>
      </w:r>
      <w:r w:rsidR="001F0771">
        <w:t xml:space="preserve">  </w:t>
      </w:r>
    </w:p>
  </w:footnote>
  <w:footnote w:id="17">
    <w:p w:rsidR="006C0544" w:rsidRPr="00565B62" w:rsidP="006C0544" w14:paraId="47F18579" w14:textId="7AEBC8BA">
      <w:pPr>
        <w:pStyle w:val="FootnoteText"/>
      </w:pPr>
      <w:r w:rsidRPr="00565B62">
        <w:rPr>
          <w:rStyle w:val="FootnoteReference"/>
        </w:rPr>
        <w:footnoteRef/>
      </w:r>
      <w:r w:rsidR="00DA7C0E">
        <w:rPr>
          <w:i/>
          <w:iCs/>
        </w:rPr>
        <w:t xml:space="preserve"> </w:t>
      </w:r>
      <w:r w:rsidRPr="001022B0" w:rsidR="001022B0">
        <w:rPr>
          <w:i/>
          <w:iCs/>
        </w:rPr>
        <w:t>Id</w:t>
      </w:r>
      <w:r w:rsidR="001022B0">
        <w:t xml:space="preserve">. </w:t>
      </w:r>
    </w:p>
  </w:footnote>
  <w:footnote w:id="18">
    <w:p w:rsidR="006C0544" w:rsidRPr="00E270C3" w:rsidP="006C0544" w14:paraId="179A5185" w14:textId="77777777">
      <w:pPr>
        <w:pStyle w:val="FootnoteText"/>
      </w:pPr>
      <w:r w:rsidRPr="00E270C3">
        <w:rPr>
          <w:rStyle w:val="FootnoteReference"/>
        </w:rPr>
        <w:footnoteRef/>
      </w:r>
      <w:r w:rsidRPr="00E270C3">
        <w:t xml:space="preserve"> Letter of Inquiry from Christopher Sova, Deputy Chief, Investigations and Hearings Division, FCC Enforcement Bureau, to </w:t>
      </w:r>
      <w:r w:rsidRPr="00D427F3">
        <w:t>Andrew Sutor</w:t>
      </w:r>
      <w:r w:rsidRPr="00E270C3">
        <w:t xml:space="preserve">, </w:t>
      </w:r>
      <w:r w:rsidRPr="00D427F3">
        <w:t>Executive Vice President and General Counsel</w:t>
      </w:r>
      <w:r w:rsidRPr="00E270C3">
        <w:t xml:space="preserve">, </w:t>
      </w:r>
      <w:r w:rsidRPr="00D427F3">
        <w:t xml:space="preserve">Entercom License, LLC </w:t>
      </w:r>
      <w:r w:rsidRPr="00E270C3">
        <w:t>(June 2</w:t>
      </w:r>
      <w:r>
        <w:t>7</w:t>
      </w:r>
      <w:r w:rsidRPr="00E270C3">
        <w:t>, 201</w:t>
      </w:r>
      <w:r>
        <w:t>9</w:t>
      </w:r>
      <w:r w:rsidRPr="00E270C3">
        <w:t>) (on file in EB-IHD-</w:t>
      </w:r>
      <w:r w:rsidRPr="00D427F3">
        <w:t>19-00028718</w:t>
      </w:r>
      <w:r w:rsidRPr="00E270C3">
        <w:t>).</w:t>
      </w:r>
    </w:p>
  </w:footnote>
  <w:footnote w:id="19">
    <w:p w:rsidR="006C0544" w:rsidRPr="00E270C3" w:rsidP="006C0544" w14:paraId="163617A3" w14:textId="77777777">
      <w:pPr>
        <w:pStyle w:val="FootnoteText"/>
      </w:pPr>
      <w:r w:rsidRPr="00E270C3">
        <w:rPr>
          <w:rStyle w:val="FootnoteReference"/>
        </w:rPr>
        <w:footnoteRef/>
      </w:r>
      <w:r w:rsidRPr="00E270C3">
        <w:t xml:space="preserve"> </w:t>
      </w:r>
      <w:r w:rsidRPr="00E270C3">
        <w:rPr>
          <w:i/>
        </w:rPr>
        <w:t>Id.</w:t>
      </w:r>
    </w:p>
  </w:footnote>
  <w:footnote w:id="20">
    <w:p w:rsidR="006C0544" w:rsidRPr="00E270C3" w:rsidP="006C0544" w14:paraId="34358429" w14:textId="77777777">
      <w:pPr>
        <w:pStyle w:val="FootnoteText"/>
      </w:pPr>
      <w:r w:rsidRPr="00E270C3">
        <w:rPr>
          <w:rStyle w:val="FootnoteReference"/>
        </w:rPr>
        <w:footnoteRef/>
      </w:r>
      <w:r w:rsidRPr="00E270C3">
        <w:t xml:space="preserve"> </w:t>
      </w:r>
      <w:r>
        <w:t xml:space="preserve">Response to Letter of Inquiry, from Laura Berman, Senior Counsel, Entercom License, LLC, to Kathryn Hinton, Attorney Advisor, Investigations and Hearings Division, FCC Enforcement Bureau (Aug. 29, 2019) </w:t>
      </w:r>
      <w:r w:rsidRPr="00C0528F">
        <w:t>(on file in EB-</w:t>
      </w:r>
      <w:r>
        <w:t>IHD-19-00028718</w:t>
      </w:r>
      <w:r w:rsidRPr="00C0528F">
        <w:t>)</w:t>
      </w:r>
      <w:r>
        <w:t xml:space="preserve"> (LOI Response)</w:t>
      </w:r>
      <w:r w:rsidRPr="00E270C3">
        <w:t xml:space="preserve">. </w:t>
      </w:r>
    </w:p>
  </w:footnote>
  <w:footnote w:id="21">
    <w:p w:rsidR="006C0544" w:rsidP="006C0544" w14:paraId="041BD85D" w14:textId="77777777">
      <w:pPr>
        <w:pStyle w:val="FootnoteText"/>
      </w:pPr>
      <w:r>
        <w:rPr>
          <w:rStyle w:val="FootnoteReference"/>
        </w:rPr>
        <w:footnoteRef/>
      </w:r>
      <w:r>
        <w:t xml:space="preserve"> </w:t>
      </w:r>
      <w:r>
        <w:rPr>
          <w:i/>
        </w:rPr>
        <w:t>Id.</w:t>
      </w:r>
      <w:r>
        <w:t xml:space="preserve"> </w:t>
      </w:r>
      <w:bookmarkStart w:id="1" w:name="_Hlk25743038"/>
      <w:r>
        <w:t>at 2-3, Responses to Questions 1, 3.</w:t>
      </w:r>
      <w:bookmarkEnd w:id="1"/>
    </w:p>
  </w:footnote>
  <w:footnote w:id="22">
    <w:p w:rsidR="006C0544" w:rsidRPr="00EF26A5" w:rsidP="006C0544" w14:paraId="3B48157E" w14:textId="77777777">
      <w:pPr>
        <w:pStyle w:val="FootnoteText"/>
        <w:rPr>
          <w:i/>
        </w:rPr>
      </w:pPr>
      <w:r>
        <w:rPr>
          <w:rStyle w:val="FootnoteReference"/>
        </w:rPr>
        <w:footnoteRef/>
      </w:r>
      <w:r>
        <w:t xml:space="preserve"> </w:t>
      </w:r>
      <w:r>
        <w:rPr>
          <w:i/>
        </w:rPr>
        <w:t>Id.</w:t>
      </w:r>
      <w:r w:rsidRPr="00EF26A5">
        <w:t xml:space="preserve"> at 2</w:t>
      </w:r>
      <w:r>
        <w:t>, Response to Question 1</w:t>
      </w:r>
      <w:r w:rsidRPr="00EF26A5">
        <w:t>.</w:t>
      </w:r>
    </w:p>
  </w:footnote>
  <w:footnote w:id="23">
    <w:p w:rsidR="006C0544" w:rsidRPr="00D96F43" w:rsidP="006C0544" w14:paraId="576D54F8" w14:textId="77777777">
      <w:pPr>
        <w:pStyle w:val="FootnoteText"/>
      </w:pPr>
      <w:r>
        <w:rPr>
          <w:rStyle w:val="FootnoteReference"/>
        </w:rPr>
        <w:footnoteRef/>
      </w:r>
      <w:r>
        <w:t xml:space="preserve"> </w:t>
      </w:r>
      <w:r>
        <w:rPr>
          <w:i/>
        </w:rPr>
        <w:t>Id.</w:t>
      </w:r>
      <w:r>
        <w:t xml:space="preserve"> at 7, Response to Question 15.</w:t>
      </w:r>
    </w:p>
  </w:footnote>
  <w:footnote w:id="24">
    <w:p w:rsidR="006C0544" w:rsidRPr="00B25FD3" w:rsidP="006C0544" w14:paraId="186191E7" w14:textId="77777777">
      <w:pPr>
        <w:pStyle w:val="FootnoteText"/>
      </w:pPr>
      <w:r>
        <w:rPr>
          <w:rStyle w:val="FootnoteReference"/>
        </w:rPr>
        <w:footnoteRef/>
      </w:r>
      <w:r>
        <w:t xml:space="preserve"> </w:t>
      </w:r>
      <w:r>
        <w:rPr>
          <w:i/>
        </w:rPr>
        <w:t>Id.</w:t>
      </w:r>
      <w:r>
        <w:t xml:space="preserve"> at 2,</w:t>
      </w:r>
      <w:r w:rsidRPr="000670DD">
        <w:t xml:space="preserve"> </w:t>
      </w:r>
      <w:r>
        <w:t xml:space="preserve">Response to Question 1.  </w:t>
      </w:r>
    </w:p>
  </w:footnote>
  <w:footnote w:id="25">
    <w:p w:rsidR="006C0544" w:rsidRPr="00B25FD3" w:rsidP="006C0544" w14:paraId="7226FC4B" w14:textId="77777777">
      <w:pPr>
        <w:pStyle w:val="FootnoteText"/>
      </w:pPr>
      <w:r>
        <w:rPr>
          <w:rStyle w:val="FootnoteReference"/>
        </w:rPr>
        <w:footnoteRef/>
      </w:r>
      <w:r>
        <w:t xml:space="preserve"> </w:t>
      </w:r>
      <w:r>
        <w:rPr>
          <w:i/>
        </w:rPr>
        <w:t>Id.</w:t>
      </w:r>
    </w:p>
  </w:footnote>
  <w:footnote w:id="26">
    <w:p w:rsidR="006C0544" w:rsidP="006C0544" w14:paraId="5CA9BDFC" w14:textId="77777777">
      <w:pPr>
        <w:pStyle w:val="FootnoteText"/>
      </w:pPr>
      <w:r>
        <w:rPr>
          <w:rStyle w:val="FootnoteReference"/>
        </w:rPr>
        <w:footnoteRef/>
      </w:r>
      <w:r>
        <w:t xml:space="preserve"> </w:t>
      </w:r>
      <w:r>
        <w:rPr>
          <w:i/>
        </w:rPr>
        <w:t>Id.</w:t>
      </w:r>
      <w:r>
        <w:t xml:space="preserve">  With respect to online streaming, Entercom explains that the “programming was only available online on a simultaneous stream of the Station on the Station’s website through Radio.com and the Radio.com app.” </w:t>
      </w:r>
      <w:r>
        <w:rPr>
          <w:i/>
        </w:rPr>
        <w:t xml:space="preserve"> Id.</w:t>
      </w:r>
      <w:r>
        <w:t xml:space="preserve"> at 5-6, Response to Question 11. </w:t>
      </w:r>
    </w:p>
  </w:footnote>
  <w:footnote w:id="27">
    <w:p w:rsidR="006C0544" w:rsidP="006C0544" w14:paraId="1ED94CC1" w14:textId="77777777">
      <w:pPr>
        <w:pStyle w:val="FootnoteText"/>
      </w:pPr>
      <w:r>
        <w:rPr>
          <w:rStyle w:val="FootnoteReference"/>
        </w:rPr>
        <w:footnoteRef/>
      </w:r>
      <w:r>
        <w:t xml:space="preserve"> </w:t>
      </w:r>
      <w:r w:rsidRPr="00DC3E6B">
        <w:rPr>
          <w:i/>
        </w:rPr>
        <w:t>See</w:t>
      </w:r>
      <w:r>
        <w:t xml:space="preserve"> LOI Response </w:t>
      </w:r>
      <w:r w:rsidRPr="002B02F7">
        <w:t>at 2-3, Responses to Questions 1, 3.</w:t>
      </w:r>
    </w:p>
  </w:footnote>
  <w:footnote w:id="28">
    <w:p w:rsidR="006C0544" w:rsidP="006C0544" w14:paraId="11623825" w14:textId="77777777">
      <w:pPr>
        <w:pStyle w:val="FootnoteText"/>
      </w:pPr>
      <w:r>
        <w:rPr>
          <w:rStyle w:val="FootnoteReference"/>
        </w:rPr>
        <w:footnoteRef/>
      </w:r>
      <w:r>
        <w:t xml:space="preserve"> </w:t>
      </w:r>
      <w:r w:rsidRPr="002B02F7">
        <w:rPr>
          <w:i/>
        </w:rPr>
        <w:t>Id</w:t>
      </w:r>
      <w:r>
        <w:t>. at Attachments D-E.</w:t>
      </w:r>
    </w:p>
  </w:footnote>
  <w:footnote w:id="29">
    <w:p w:rsidR="006C0544" w:rsidP="006C0544" w14:paraId="0010A77B" w14:textId="77777777">
      <w:pPr>
        <w:pStyle w:val="FootnoteText"/>
      </w:pPr>
      <w:r>
        <w:rPr>
          <w:rStyle w:val="FootnoteReference"/>
        </w:rPr>
        <w:footnoteRef/>
      </w:r>
      <w:r>
        <w:t xml:space="preserve"> </w:t>
      </w:r>
      <w:r>
        <w:rPr>
          <w:i/>
        </w:rPr>
        <w:t>Id.</w:t>
      </w:r>
      <w:r>
        <w:t xml:space="preserve"> at 7, Response to Question 15. </w:t>
      </w:r>
    </w:p>
  </w:footnote>
  <w:footnote w:id="30">
    <w:p w:rsidR="006C0544" w:rsidP="006C0544" w14:paraId="19F5CA77" w14:textId="77777777">
      <w:pPr>
        <w:pStyle w:val="FootnoteText"/>
      </w:pPr>
      <w:r>
        <w:rPr>
          <w:rStyle w:val="FootnoteReference"/>
        </w:rPr>
        <w:footnoteRef/>
      </w:r>
      <w:r>
        <w:t xml:space="preserve"> </w:t>
      </w:r>
      <w:r>
        <w:rPr>
          <w:i/>
        </w:rPr>
        <w:t>Id.</w:t>
      </w:r>
      <w:r>
        <w:t xml:space="preserve"> at 2, 4, Responses to Questions 1, 5, 8. </w:t>
      </w:r>
    </w:p>
  </w:footnote>
  <w:footnote w:id="31">
    <w:p w:rsidR="006C0544" w:rsidP="006C0544" w14:paraId="0564F43A" w14:textId="77777777">
      <w:pPr>
        <w:pStyle w:val="FootnoteText"/>
      </w:pPr>
      <w:r>
        <w:rPr>
          <w:rStyle w:val="FootnoteReference"/>
        </w:rPr>
        <w:footnoteRef/>
      </w:r>
      <w:r>
        <w:t xml:space="preserve"> </w:t>
      </w:r>
      <w:r w:rsidRPr="00B35607">
        <w:rPr>
          <w:i/>
        </w:rPr>
        <w:t xml:space="preserve">CBS </w:t>
      </w:r>
      <w:r>
        <w:rPr>
          <w:i/>
        </w:rPr>
        <w:t xml:space="preserve">NAL, </w:t>
      </w:r>
      <w:r w:rsidRPr="00901E6A">
        <w:t>34 FCC Rcd at</w:t>
      </w:r>
      <w:r>
        <w:t xml:space="preserve"> 8424</w:t>
      </w:r>
      <w:r w:rsidRPr="00901E6A">
        <w:t>, para.</w:t>
      </w:r>
      <w:r>
        <w:t xml:space="preserve"> 17</w:t>
      </w:r>
      <w:r w:rsidRPr="00901E6A">
        <w:t>.</w:t>
      </w:r>
    </w:p>
  </w:footnote>
  <w:footnote w:id="32">
    <w:p w:rsidR="006C0544" w:rsidRPr="00F8724F" w:rsidP="006C0544" w14:paraId="0CFA10A9" w14:textId="77777777">
      <w:pPr>
        <w:pStyle w:val="FootnoteText"/>
      </w:pPr>
      <w:r>
        <w:rPr>
          <w:rStyle w:val="FootnoteReference"/>
        </w:rPr>
        <w:footnoteRef/>
      </w:r>
      <w:r>
        <w:t xml:space="preserve"> </w:t>
      </w:r>
      <w:r>
        <w:rPr>
          <w:i/>
        </w:rPr>
        <w:t>Id</w:t>
      </w:r>
      <w:r w:rsidRPr="00901E6A">
        <w:t>. at</w:t>
      </w:r>
      <w:r>
        <w:rPr>
          <w:i/>
        </w:rPr>
        <w:t xml:space="preserve"> </w:t>
      </w:r>
      <w:r>
        <w:t>8425</w:t>
      </w:r>
      <w:r w:rsidRPr="00901E6A">
        <w:t>, para.</w:t>
      </w:r>
      <w:r>
        <w:t xml:space="preserve"> 20</w:t>
      </w:r>
      <w:r w:rsidRPr="00901E6A">
        <w:t>.</w:t>
      </w:r>
    </w:p>
  </w:footnote>
  <w:footnote w:id="33">
    <w:p w:rsidR="006C0544" w:rsidP="006C0544" w14:paraId="705DDE87" w14:textId="3599A0F8">
      <w:pPr>
        <w:pStyle w:val="FootnoteText"/>
      </w:pPr>
      <w:r>
        <w:rPr>
          <w:rStyle w:val="FootnoteReference"/>
        </w:rPr>
        <w:footnoteRef/>
      </w:r>
      <w:r>
        <w:t xml:space="preserve"> </w:t>
      </w:r>
      <w:r w:rsidRPr="00DC3E6B">
        <w:rPr>
          <w:i/>
        </w:rPr>
        <w:t>See</w:t>
      </w:r>
      <w:r>
        <w:t xml:space="preserve"> LOI Response at </w:t>
      </w:r>
      <w:r w:rsidRPr="002B02F7">
        <w:t>2-3, Responses to Questions 1, 3</w:t>
      </w:r>
      <w:r>
        <w:t xml:space="preserve">; </w:t>
      </w:r>
      <w:r w:rsidR="00084F7D">
        <w:rPr>
          <w:i/>
        </w:rPr>
        <w:t>i</w:t>
      </w:r>
      <w:r w:rsidRPr="002B02F7">
        <w:rPr>
          <w:i/>
        </w:rPr>
        <w:t>d</w:t>
      </w:r>
      <w:r>
        <w:t>. at Attachments D-E.</w:t>
      </w:r>
    </w:p>
  </w:footnote>
  <w:footnote w:id="34">
    <w:p w:rsidR="006C0544" w:rsidP="006C0544" w14:paraId="5C2EE575" w14:textId="77777777">
      <w:pPr>
        <w:pStyle w:val="FootnoteText"/>
      </w:pPr>
      <w:r>
        <w:rPr>
          <w:rStyle w:val="FootnoteReference"/>
        </w:rPr>
        <w:footnoteRef/>
      </w:r>
      <w:r>
        <w:t xml:space="preserve"> </w:t>
      </w:r>
      <w:r>
        <w:rPr>
          <w:i/>
        </w:rPr>
        <w:t>Id.</w:t>
      </w:r>
      <w:r>
        <w:t xml:space="preserve"> </w:t>
      </w:r>
      <w:r w:rsidRPr="002B02F7">
        <w:t>at 2-3, Responses to Questions 1, 3.</w:t>
      </w:r>
    </w:p>
  </w:footnote>
  <w:footnote w:id="35">
    <w:p w:rsidR="00EC6570" w:rsidRPr="00947502" w:rsidP="00EC6570" w14:paraId="6372E384" w14:textId="77777777">
      <w:pPr>
        <w:pStyle w:val="FootnoteText"/>
        <w:rPr>
          <w:color w:val="000000"/>
        </w:rPr>
      </w:pPr>
      <w:r w:rsidRPr="00AE4DF4">
        <w:rPr>
          <w:rStyle w:val="FootnoteReference"/>
          <w:color w:val="000000"/>
        </w:rPr>
        <w:footnoteRef/>
      </w:r>
      <w:r w:rsidRPr="00AE4DF4">
        <w:rPr>
          <w:color w:val="000000"/>
        </w:rPr>
        <w:t xml:space="preserve"> 47 U.S.C. § 503(b).  </w:t>
      </w:r>
    </w:p>
  </w:footnote>
  <w:footnote w:id="36">
    <w:p w:rsidR="00EC6570" w:rsidRPr="00135AC3" w:rsidP="00EC6570" w14:paraId="3D71DF6A" w14:textId="77777777">
      <w:pPr>
        <w:pStyle w:val="FootnoteText"/>
      </w:pPr>
      <w:r w:rsidRPr="00135AC3">
        <w:rPr>
          <w:rStyle w:val="FootnoteReference"/>
          <w:color w:val="000000"/>
        </w:rPr>
        <w:footnoteRef/>
      </w:r>
      <w:r w:rsidRPr="00135AC3">
        <w:t xml:space="preserve">  47 U.S.C. § 503(b)(2)(A); 47 CFR § 1.80(b)(1).  These amounts reflect inflation adjustments of the forfeitures specified in </w:t>
      </w:r>
      <w:r>
        <w:t>section</w:t>
      </w:r>
      <w:r w:rsidRPr="00135AC3">
        <w:t xml:space="preserve"> 503(b)(2)(A).  The Federal Civil Penalties Inflation Adjustment Act Improvements Act of 2015, Pub. L. No 114-74, § 701, 129 Stat. 584, 599 (2015 Inflation Adjustment Act) requires agencies, starting in 2017, to adjust annually the civil monetary penalties covered thereunder, and to publish each such annual adjustment by January 15.  The 2015 Inflation Adjustment Act amended the Federal Civil Penalties Inflation Adjustment Act of 1990, which is codified, as amended, at 28 U.S.C. § 2461 note (Inflation Adjustment Act).  The Bureau released the order making the 2019 annual adjustment on December 19, 2018.  </w:t>
      </w:r>
      <w:r w:rsidRPr="00135AC3">
        <w:rPr>
          <w:i/>
          <w:iCs/>
        </w:rPr>
        <w:t xml:space="preserve">See Amendment of </w:t>
      </w:r>
      <w:r>
        <w:rPr>
          <w:i/>
          <w:iCs/>
        </w:rPr>
        <w:t>section</w:t>
      </w:r>
      <w:r w:rsidRPr="00135AC3">
        <w:rPr>
          <w:i/>
          <w:iCs/>
        </w:rPr>
        <w:t xml:space="preserve"> 1.80(b) of the Commission’s Rules, Adjustment of Civil Monetary Penalties to Reflect Inflation</w:t>
      </w:r>
      <w:r w:rsidRPr="00135AC3">
        <w:t xml:space="preserve">, Order, DA 18-1272 (EB Dec. 19, 2018), 2018 WL 6722625; </w:t>
      </w:r>
      <w:r w:rsidRPr="00135AC3">
        <w:rPr>
          <w:i/>
          <w:iCs/>
        </w:rPr>
        <w:t>see also Annual Adjustment of Civil Monetary Penalties to Reflect Inflation</w:t>
      </w:r>
      <w:r w:rsidRPr="00135AC3">
        <w:t xml:space="preserve">, 83 Fed. Reg. 4600 (Feb. 1, 2019) (setting February 1, 2019, as the effective date for the increases).  The 2015 Inflation Adjustment Act provides that the new penalty levels shall apply to penalties assessed after the effective date of the increase, “including [penalties] whose associated violation predated such increase.”  </w:t>
      </w:r>
      <w:r w:rsidRPr="00135AC3">
        <w:rPr>
          <w:i/>
          <w:iCs/>
        </w:rPr>
        <w:t>See</w:t>
      </w:r>
      <w:r w:rsidRPr="00135AC3">
        <w:t xml:space="preserve"> 28 U.S.C. § 2461 note, citing Inflation Adjustment Act, as amended, § 6.</w:t>
      </w:r>
    </w:p>
  </w:footnote>
  <w:footnote w:id="37">
    <w:p w:rsidR="00EC6570" w:rsidRPr="00135AC3" w:rsidP="00EC6570" w14:paraId="1D7D9B43" w14:textId="77777777">
      <w:pPr>
        <w:pStyle w:val="FootnoteText"/>
        <w:rPr>
          <w:color w:val="000000"/>
        </w:rPr>
      </w:pPr>
      <w:r w:rsidRPr="00135AC3">
        <w:rPr>
          <w:rStyle w:val="FootnoteReference"/>
          <w:color w:val="000000"/>
        </w:rPr>
        <w:footnoteRef/>
      </w:r>
      <w:r w:rsidRPr="00135AC3">
        <w:rPr>
          <w:color w:val="000000"/>
        </w:rPr>
        <w:t xml:space="preserve"> 47 U.S.C. § 503(b)(2)(E)</w:t>
      </w:r>
      <w:r>
        <w:rPr>
          <w:color w:val="000000"/>
        </w:rPr>
        <w:t>.</w:t>
      </w:r>
    </w:p>
  </w:footnote>
  <w:footnote w:id="38">
    <w:p w:rsidR="00EC6570" w:rsidRPr="00AE4DF4" w:rsidP="00EC6570" w14:paraId="76BA2790" w14:textId="77777777">
      <w:pPr>
        <w:pStyle w:val="FootnoteText"/>
        <w:rPr>
          <w:color w:val="000000"/>
        </w:rPr>
      </w:pPr>
      <w:r w:rsidRPr="00AE4DF4">
        <w:rPr>
          <w:rStyle w:val="FootnoteReference"/>
          <w:color w:val="000000"/>
        </w:rPr>
        <w:footnoteRef/>
      </w:r>
      <w:r w:rsidRPr="00AE4DF4">
        <w:rPr>
          <w:color w:val="000000"/>
        </w:rPr>
        <w:t xml:space="preserve"> 47 CFR § 1.80(b)(8), Note to paragraph (b)(8). </w:t>
      </w:r>
    </w:p>
  </w:footnote>
  <w:footnote w:id="39">
    <w:p w:rsidR="00EC6570" w:rsidRPr="00AE4DF4" w:rsidP="00EC6570" w14:paraId="5E8CB16D" w14:textId="77777777">
      <w:pPr>
        <w:pStyle w:val="FootnoteText"/>
        <w:rPr>
          <w:color w:val="000000"/>
        </w:rPr>
      </w:pPr>
      <w:r w:rsidRPr="00AE4DF4">
        <w:rPr>
          <w:rStyle w:val="FootnoteReference"/>
          <w:color w:val="000000"/>
        </w:rPr>
        <w:footnoteRef/>
      </w:r>
      <w:r w:rsidRPr="00AE4DF4">
        <w:rPr>
          <w:color w:val="000000"/>
        </w:rPr>
        <w:t xml:space="preserve"> </w:t>
      </w:r>
      <w:r w:rsidRPr="00AE4DF4">
        <w:rPr>
          <w:i/>
          <w:color w:val="000000"/>
        </w:rPr>
        <w:t>Id</w:t>
      </w:r>
      <w:r w:rsidRPr="00AE4DF4">
        <w:rPr>
          <w:color w:val="000000"/>
        </w:rPr>
        <w:t>.</w:t>
      </w:r>
    </w:p>
  </w:footnote>
  <w:footnote w:id="40">
    <w:p w:rsidR="00CD53D1" w:rsidRPr="00E270C3" w:rsidP="00CD53D1" w14:paraId="0610AD4F" w14:textId="6412350B">
      <w:pPr>
        <w:pStyle w:val="FootnoteText"/>
      </w:pPr>
      <w:r w:rsidRPr="00E270C3">
        <w:rPr>
          <w:rStyle w:val="FootnoteReference"/>
        </w:rPr>
        <w:footnoteRef/>
      </w:r>
      <w:r w:rsidRPr="00E270C3">
        <w:t xml:space="preserve"> </w:t>
      </w:r>
      <w:r w:rsidRPr="00D0501F">
        <w:rPr>
          <w:i/>
        </w:rPr>
        <w:t xml:space="preserve">See </w:t>
      </w:r>
      <w:r w:rsidRPr="00B35607">
        <w:rPr>
          <w:i/>
        </w:rPr>
        <w:t xml:space="preserve">CBS </w:t>
      </w:r>
      <w:r>
        <w:rPr>
          <w:i/>
        </w:rPr>
        <w:t xml:space="preserve">NAL, </w:t>
      </w:r>
      <w:r w:rsidRPr="00901E6A">
        <w:t>34 FCC Rcd</w:t>
      </w:r>
      <w:r>
        <w:t xml:space="preserve"> 8417</w:t>
      </w:r>
      <w:r w:rsidRPr="00901E6A">
        <w:t xml:space="preserve"> at</w:t>
      </w:r>
      <w:r>
        <w:t xml:space="preserve"> 8431</w:t>
      </w:r>
      <w:r w:rsidRPr="00901E6A">
        <w:t>, para.</w:t>
      </w:r>
      <w:r>
        <w:t xml:space="preserve"> 36; </w:t>
      </w:r>
      <w:r w:rsidRPr="00D0501F">
        <w:rPr>
          <w:i/>
        </w:rPr>
        <w:t>Viacom</w:t>
      </w:r>
      <w:r w:rsidRPr="00E270C3">
        <w:rPr>
          <w:i/>
        </w:rPr>
        <w:t xml:space="preserve"> Forfeiture Order</w:t>
      </w:r>
      <w:r w:rsidRPr="00E270C3">
        <w:t xml:space="preserve">, 30 FCC Rcd at 804, para. 19; </w:t>
      </w:r>
      <w:r w:rsidRPr="00E270C3">
        <w:rPr>
          <w:i/>
        </w:rPr>
        <w:t>Turner I</w:t>
      </w:r>
      <w:r w:rsidRPr="00E270C3">
        <w:t xml:space="preserve">, 28 FCC Rcd at 15459, para. 11; </w:t>
      </w:r>
      <w:r w:rsidRPr="00E270C3">
        <w:rPr>
          <w:i/>
        </w:rPr>
        <w:t>Turner II</w:t>
      </w:r>
      <w:r w:rsidRPr="00E270C3">
        <w:t>, 29 FCC Rcd at 757, para. 12.</w:t>
      </w:r>
    </w:p>
  </w:footnote>
  <w:footnote w:id="41">
    <w:p w:rsidR="00EC6570" w:rsidRPr="00AE4DF4" w:rsidP="00EC6570" w14:paraId="530C3274" w14:textId="77777777">
      <w:pPr>
        <w:pStyle w:val="FootnoteText"/>
        <w:rPr>
          <w:color w:val="000000"/>
        </w:rPr>
      </w:pPr>
      <w:r w:rsidRPr="00AE4DF4">
        <w:rPr>
          <w:rStyle w:val="FootnoteReference"/>
          <w:color w:val="000000"/>
        </w:rPr>
        <w:footnoteRef/>
      </w:r>
      <w:r w:rsidRPr="00AE4DF4">
        <w:rPr>
          <w:color w:val="000000"/>
        </w:rPr>
        <w:t xml:space="preserve"> </w:t>
      </w:r>
      <w:r w:rsidRPr="00AE4DF4">
        <w:rPr>
          <w:i/>
          <w:color w:val="000000"/>
        </w:rPr>
        <w:t>The Commission’s Forfeiture Policy Statement and Amendment of Section 1.80 of the Rules to Incorporate the Forfeiture Guidelines</w:t>
      </w:r>
      <w:r w:rsidRPr="00AE4DF4">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Pr>
          <w:i/>
          <w:color w:val="000000"/>
        </w:rPr>
        <w:t xml:space="preserve">1997 </w:t>
      </w:r>
      <w:r w:rsidRPr="00AE4DF4">
        <w:rPr>
          <w:i/>
          <w:color w:val="000000"/>
        </w:rPr>
        <w:t>Forfeiture Policy Statement</w:t>
      </w:r>
      <w:r w:rsidRPr="00AE4DF4">
        <w:rPr>
          <w:color w:val="000000"/>
        </w:rPr>
        <w:t xml:space="preserve">), </w:t>
      </w:r>
      <w:r w:rsidRPr="00AE4DF4">
        <w:rPr>
          <w:i/>
          <w:color w:val="000000"/>
        </w:rPr>
        <w:t>recons. denied</w:t>
      </w:r>
      <w:r w:rsidRPr="00AE4DF4">
        <w:rPr>
          <w:color w:val="000000"/>
        </w:rPr>
        <w:t>, Memorandum Opinion and Order, 15 FCC Rcd 303 (1999).</w:t>
      </w:r>
    </w:p>
  </w:footnote>
  <w:footnote w:id="42">
    <w:p w:rsidR="00614D30" w:rsidRPr="00E270C3" w:rsidP="00614D30" w14:paraId="6C95FD82" w14:textId="77777777">
      <w:pPr>
        <w:pStyle w:val="FootnoteText"/>
        <w:rPr>
          <w:color w:val="000000"/>
        </w:rPr>
      </w:pPr>
      <w:r w:rsidRPr="00E270C3">
        <w:rPr>
          <w:rStyle w:val="FootnoteReference"/>
          <w:color w:val="000000"/>
        </w:rPr>
        <w:footnoteRef/>
      </w:r>
      <w:r w:rsidRPr="00E270C3">
        <w:rPr>
          <w:color w:val="000000"/>
        </w:rPr>
        <w:t xml:space="preserve"> </w:t>
      </w:r>
      <w:r w:rsidRPr="00E270C3">
        <w:rPr>
          <w:i/>
          <w:color w:val="000000"/>
        </w:rPr>
        <w:t>Forfeiture Policy Statement</w:t>
      </w:r>
      <w:r>
        <w:rPr>
          <w:color w:val="000000"/>
        </w:rPr>
        <w:t xml:space="preserve">, </w:t>
      </w:r>
      <w:r w:rsidRPr="00E270C3">
        <w:rPr>
          <w:color w:val="000000"/>
        </w:rPr>
        <w:t xml:space="preserve">noting that “[a]lthough we have adopted the base forfeiture amounts as guidelines to provide a measure of predictability to the forfeiture process, we retain our discretion to depart from the guidelines and issue forfeitures on a case-by-case basis, under </w:t>
      </w:r>
      <w:r w:rsidRPr="00E270C3">
        <w:t>our</w:t>
      </w:r>
      <w:r w:rsidRPr="00E270C3">
        <w:rPr>
          <w:color w:val="000000"/>
        </w:rPr>
        <w:t xml:space="preserve"> general forfeiture authority contained in Section 503 of the Act”.</w:t>
      </w:r>
    </w:p>
  </w:footnote>
  <w:footnote w:id="43">
    <w:p w:rsidR="006C0544" w:rsidRPr="00E270C3" w:rsidP="006C0544" w14:paraId="09376AFF" w14:textId="77777777">
      <w:pPr>
        <w:pStyle w:val="FootnoteText"/>
      </w:pPr>
      <w:r w:rsidRPr="00E270C3">
        <w:rPr>
          <w:rStyle w:val="FootnoteReference"/>
        </w:rPr>
        <w:footnoteRef/>
      </w:r>
      <w:r w:rsidRPr="00E270C3">
        <w:t xml:space="preserve"> </w:t>
      </w:r>
      <w:r w:rsidRPr="00E270C3">
        <w:rPr>
          <w:i/>
        </w:rPr>
        <w:t>See Turner Broadcasting System, Inc.</w:t>
      </w:r>
      <w:r w:rsidRPr="00E270C3">
        <w:t>, Notice of Apparent Liability for Forfeiture, 29 FCC Rcd 752, 75</w:t>
      </w:r>
      <w:r>
        <w:t>7</w:t>
      </w:r>
      <w:r w:rsidRPr="00E270C3">
        <w:t xml:space="preserve">, para. </w:t>
      </w:r>
      <w:r>
        <w:t>13</w:t>
      </w:r>
      <w:r w:rsidRPr="00E270C3">
        <w:t xml:space="preserve"> (2014).</w:t>
      </w:r>
    </w:p>
  </w:footnote>
  <w:footnote w:id="44">
    <w:p w:rsidR="006C0544" w:rsidRPr="00E270C3" w:rsidP="006C0544" w14:paraId="2E106CB7" w14:textId="77777777">
      <w:pPr>
        <w:pStyle w:val="FootnoteText"/>
      </w:pPr>
      <w:r w:rsidRPr="00E270C3">
        <w:rPr>
          <w:rStyle w:val="FootnoteReference"/>
        </w:rPr>
        <w:footnoteRef/>
      </w:r>
      <w:r w:rsidRPr="00E270C3">
        <w:t xml:space="preserve"> </w:t>
      </w:r>
      <w:r>
        <w:rPr>
          <w:i/>
        </w:rPr>
        <w:t>Id.</w:t>
      </w:r>
    </w:p>
  </w:footnote>
  <w:footnote w:id="45">
    <w:p w:rsidR="006C0544" w:rsidP="006C0544" w14:paraId="4727652C" w14:textId="57784D97">
      <w:pPr>
        <w:pStyle w:val="FootnoteText"/>
      </w:pPr>
      <w:r>
        <w:rPr>
          <w:rStyle w:val="FootnoteReference"/>
        </w:rPr>
        <w:footnoteRef/>
      </w:r>
      <w:r>
        <w:t xml:space="preserve"> Nielsen New York Radio Ratings, </w:t>
      </w:r>
      <w:r w:rsidRPr="00A14C8E">
        <w:t>https://tlr.nielsen.com/tlr/public/ratingsDisplay.do?method=sortRatingTable&amp;</w:t>
      </w:r>
      <w:r>
        <w:t xml:space="preserve"> </w:t>
      </w:r>
      <w:r w:rsidRPr="00A14C8E">
        <w:t>sortingColumn=RateSurvey2</w:t>
      </w:r>
      <w:r>
        <w:t xml:space="preserve"> (last visited on Dec</w:t>
      </w:r>
      <w:r w:rsidR="001C090C">
        <w:t>.</w:t>
      </w:r>
      <w:r>
        <w:t xml:space="preserve"> 3, 2019).  </w:t>
      </w:r>
    </w:p>
  </w:footnote>
  <w:footnote w:id="46">
    <w:p w:rsidR="006C0544" w:rsidP="006C0544" w14:paraId="4D6127C5" w14:textId="3D457D5C">
      <w:pPr>
        <w:pStyle w:val="FootnoteText"/>
      </w:pPr>
      <w:r>
        <w:rPr>
          <w:rStyle w:val="FootnoteReference"/>
        </w:rPr>
        <w:footnoteRef/>
      </w:r>
      <w:r>
        <w:t xml:space="preserve"> Nielsen Fall 2019 Market Survey Rankings, </w:t>
      </w:r>
      <w:r w:rsidRPr="009C41E4">
        <w:t>https://www.nielsen.com/wp-content/uploads/sites/3/2019/09/market-populations-and-rankings.pdf</w:t>
      </w:r>
      <w:r>
        <w:t xml:space="preserve"> (last visited on Dec</w:t>
      </w:r>
      <w:r w:rsidR="001C090C">
        <w:t>.</w:t>
      </w:r>
      <w:r>
        <w:t xml:space="preserve"> 3, 2019). </w:t>
      </w:r>
    </w:p>
  </w:footnote>
  <w:footnote w:id="47">
    <w:p w:rsidR="006C0544" w:rsidP="006C0544" w14:paraId="233F81CA" w14:textId="77777777">
      <w:pPr>
        <w:pStyle w:val="FootnoteText"/>
      </w:pPr>
      <w:r>
        <w:rPr>
          <w:rStyle w:val="FootnoteReference"/>
        </w:rPr>
        <w:footnoteRef/>
      </w:r>
      <w:r>
        <w:t xml:space="preserve"> </w:t>
      </w:r>
      <w:r w:rsidRPr="00EC1AB9">
        <w:rPr>
          <w:i/>
        </w:rPr>
        <w:t>See</w:t>
      </w:r>
      <w:r>
        <w:t xml:space="preserve"> LOI Response. </w:t>
      </w:r>
    </w:p>
  </w:footnote>
  <w:footnote w:id="48">
    <w:p w:rsidR="006C0544" w:rsidP="006C0544" w14:paraId="2DDD6F1B" w14:textId="77777777">
      <w:pPr>
        <w:pStyle w:val="FootnoteText"/>
      </w:pPr>
      <w:r>
        <w:rPr>
          <w:rStyle w:val="FootnoteReference"/>
        </w:rPr>
        <w:footnoteRef/>
      </w:r>
      <w:r>
        <w:t xml:space="preserve"> </w:t>
      </w:r>
      <w:r w:rsidRPr="00E270C3">
        <w:rPr>
          <w:i/>
        </w:rPr>
        <w:t>See</w:t>
      </w:r>
      <w:r w:rsidRPr="00E270C3">
        <w:t xml:space="preserve"> </w:t>
      </w:r>
      <w:r w:rsidRPr="00E270C3">
        <w:rPr>
          <w:i/>
          <w:iCs/>
        </w:rPr>
        <w:t>SBC Communications Inc. v. FCC</w:t>
      </w:r>
      <w:r w:rsidRPr="00E270C3">
        <w:t>,</w:t>
      </w:r>
      <w:r w:rsidRPr="00E270C3">
        <w:rPr>
          <w:i/>
          <w:iCs/>
        </w:rPr>
        <w:t xml:space="preserve"> </w:t>
      </w:r>
      <w:r w:rsidRPr="00E270C3">
        <w:t>373 F.3d 140, 152 (D.C. Cir. 2004) (noting that “substantial and widespread” behavior with a national scope may warrant an increased forfeiture, and that it is “reasonable to expect that a larger fine might be necessary to deter a large company”).</w:t>
      </w:r>
    </w:p>
  </w:footnote>
  <w:footnote w:id="49">
    <w:p w:rsidR="006C0544" w:rsidRPr="004B4583" w:rsidP="006C0544" w14:paraId="22FC2851" w14:textId="77777777">
      <w:pPr>
        <w:pStyle w:val="FootnoteText"/>
      </w:pPr>
      <w:r w:rsidRPr="004B4583">
        <w:rPr>
          <w:rStyle w:val="FootnoteReference"/>
        </w:rPr>
        <w:footnoteRef/>
      </w:r>
      <w:r w:rsidRPr="004B4583">
        <w:t xml:space="preserve"> 47 U.S.C. § 503(b).</w:t>
      </w:r>
    </w:p>
  </w:footnote>
  <w:footnote w:id="50">
    <w:p w:rsidR="006C0544" w:rsidRPr="004B4583" w:rsidP="006C0544" w14:paraId="3EA3662C" w14:textId="77777777">
      <w:pPr>
        <w:pStyle w:val="FootnoteText"/>
      </w:pPr>
      <w:r w:rsidRPr="004B4583">
        <w:rPr>
          <w:rStyle w:val="FootnoteReference"/>
        </w:rPr>
        <w:footnoteRef/>
      </w:r>
      <w:r w:rsidRPr="004B4583">
        <w:t xml:space="preserve"> 47 </w:t>
      </w:r>
      <w:r>
        <w:t>CFR</w:t>
      </w:r>
      <w:r w:rsidRPr="004B4583">
        <w:t xml:space="preserve"> §</w:t>
      </w:r>
      <w:r>
        <w:t xml:space="preserve"> </w:t>
      </w:r>
      <w:r w:rsidRPr="004B4583">
        <w:t>1.80.</w:t>
      </w:r>
    </w:p>
  </w:footnote>
  <w:footnote w:id="51">
    <w:p w:rsidR="006C0544" w:rsidRPr="004B4583" w:rsidP="006C0544" w14:paraId="1D93690C" w14:textId="77777777">
      <w:pPr>
        <w:pStyle w:val="FootnoteText"/>
      </w:pPr>
      <w:r w:rsidRPr="004B4583">
        <w:rPr>
          <w:rStyle w:val="FootnoteReference"/>
        </w:rPr>
        <w:footnoteRef/>
      </w:r>
      <w:r w:rsidRPr="004B4583">
        <w:t xml:space="preserve"> 47 </w:t>
      </w:r>
      <w:r>
        <w:t>CFR</w:t>
      </w:r>
      <w:r w:rsidRPr="004B4583">
        <w:t xml:space="preserve"> §</w:t>
      </w:r>
      <w:r>
        <w:t xml:space="preserve"> 11.45</w:t>
      </w:r>
      <w:r w:rsidRPr="004B4583">
        <w:t>.</w:t>
      </w:r>
    </w:p>
  </w:footnote>
  <w:footnote w:id="52">
    <w:p w:rsidR="006C0544" w:rsidRPr="004B4583" w:rsidP="006C0544" w14:paraId="3B31BAA4" w14:textId="77777777">
      <w:pPr>
        <w:pStyle w:val="FootnoteText"/>
      </w:pPr>
      <w:r w:rsidRPr="004B4583">
        <w:rPr>
          <w:rStyle w:val="FootnoteReference"/>
        </w:rPr>
        <w:footnoteRef/>
      </w:r>
      <w:r w:rsidRPr="004B4583">
        <w:t xml:space="preserve"> 47 </w:t>
      </w:r>
      <w:r>
        <w:t>CFR</w:t>
      </w:r>
      <w:r w:rsidRPr="004B4583">
        <w:t xml:space="preserve"> §</w:t>
      </w:r>
      <w:r>
        <w:t xml:space="preserve"> </w:t>
      </w:r>
      <w:r w:rsidRPr="004B4583">
        <w:t>1.80.</w:t>
      </w:r>
    </w:p>
  </w:footnote>
  <w:footnote w:id="53">
    <w:p w:rsidR="006C0544" w:rsidRPr="00E270C3" w:rsidP="006C0544" w14:paraId="7DD1F1C7" w14:textId="77777777">
      <w:pPr>
        <w:pStyle w:val="FootnoteText"/>
      </w:pPr>
      <w:r w:rsidRPr="00E270C3">
        <w:rPr>
          <w:rStyle w:val="FootnoteReference"/>
        </w:rPr>
        <w:footnoteRef/>
      </w:r>
      <w:r w:rsidRPr="00E270C3">
        <w:t xml:space="preserve"> Payments made using the Commission’s Fee Filer system do not require the submission of an FCC Form 159.</w:t>
      </w:r>
    </w:p>
  </w:footnote>
  <w:footnote w:id="54">
    <w:p w:rsidR="006C0544" w:rsidRPr="00DC2D7C" w:rsidP="006C0544" w14:paraId="7A355514" w14:textId="3C76A17C">
      <w:pPr>
        <w:pStyle w:val="FootnoteText"/>
      </w:pPr>
      <w:r w:rsidRPr="00E270C3">
        <w:rPr>
          <w:rStyle w:val="FootnoteReference"/>
        </w:rPr>
        <w:footnoteRef/>
      </w:r>
      <w:r w:rsidRPr="00E270C3">
        <w:t xml:space="preserve"> For questions regarding payment procedures, please contact the Financial Operations Group Help Desk by phone at 1-877-480-3201 (option #6), or by e-mail at </w:t>
      </w:r>
      <w:hyperlink r:id="rId4" w:history="1">
        <w:r w:rsidRPr="00392C18" w:rsidR="000B0260">
          <w:rPr>
            <w:rStyle w:val="Hyperlink"/>
          </w:rPr>
          <w:t>ARINQUIRIES@fcc.gov</w:t>
        </w:r>
      </w:hyperlink>
      <w:r w:rsidRPr="00E270C3">
        <w:t>.</w:t>
      </w:r>
    </w:p>
  </w:footnote>
  <w:footnote w:id="55">
    <w:p w:rsidR="006C0544" w:rsidRPr="00E270C3" w:rsidP="006C0544" w14:paraId="6B0DCEC8" w14:textId="1D1F537E">
      <w:pPr>
        <w:pStyle w:val="FootnoteText"/>
      </w:pPr>
      <w:r w:rsidRPr="00E270C3">
        <w:rPr>
          <w:rStyle w:val="FootnoteReference"/>
        </w:rPr>
        <w:footnoteRef/>
      </w:r>
      <w:r w:rsidRPr="00E270C3">
        <w:t xml:space="preserve"> Instructions for completing the form may be obtained at </w:t>
      </w:r>
      <w:hyperlink r:id="rId5" w:history="1">
        <w:r w:rsidRPr="00F21B1F" w:rsidR="00B60697">
          <w:rPr>
            <w:rStyle w:val="Hyperlink"/>
          </w:rPr>
          <w:t>http://www.fcc.gov/Forms/Form159/159.pdf</w:t>
        </w:r>
      </w:hyperlink>
      <w:r w:rsidRPr="00E270C3">
        <w:t xml:space="preserve">. </w:t>
      </w:r>
    </w:p>
  </w:footnote>
  <w:footnote w:id="56">
    <w:p w:rsidR="006C0544" w:rsidRPr="00E270C3" w:rsidP="006C0544" w14:paraId="0BC2CBDD" w14:textId="77777777">
      <w:pPr>
        <w:pStyle w:val="FootnoteText"/>
        <w:rPr>
          <w:color w:val="000000"/>
        </w:rPr>
      </w:pPr>
      <w:r w:rsidRPr="00E270C3">
        <w:rPr>
          <w:rStyle w:val="FootnoteReference"/>
          <w:color w:val="000000"/>
        </w:rPr>
        <w:footnoteRef/>
      </w:r>
      <w:r w:rsidRPr="00E270C3">
        <w:rPr>
          <w:color w:val="000000"/>
        </w:rPr>
        <w:t xml:space="preserve"> </w:t>
      </w:r>
      <w:r w:rsidRPr="00E270C3">
        <w:rPr>
          <w:i/>
          <w:color w:val="000000"/>
        </w:rPr>
        <w:t>See</w:t>
      </w:r>
      <w:r w:rsidRPr="00E270C3">
        <w:rPr>
          <w:color w:val="000000"/>
        </w:rPr>
        <w:t xml:space="preserve"> 47 CFR § 1.1914.</w:t>
      </w:r>
    </w:p>
  </w:footnote>
  <w:footnote w:id="57">
    <w:p w:rsidR="006C0544" w:rsidRPr="00E76D83" w:rsidP="006C0544" w14:paraId="4B13A4D7" w14:textId="77777777">
      <w:pPr>
        <w:pStyle w:val="FootnoteText"/>
      </w:pPr>
      <w:r w:rsidRPr="00E270C3">
        <w:rPr>
          <w:rStyle w:val="FootnoteReference"/>
        </w:rPr>
        <w:footnoteRef/>
      </w:r>
      <w:r w:rsidRPr="00E270C3">
        <w:t xml:space="preserve"> </w:t>
      </w:r>
      <w:r w:rsidRPr="00E270C3">
        <w:rPr>
          <w:i/>
        </w:rPr>
        <w:t>Id.</w:t>
      </w:r>
      <w:r w:rsidRPr="00E270C3">
        <w:t xml:space="preserve">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C66B7" w14:paraId="6EFA17D8" w14:textId="4E243712">
    <w:pPr>
      <w:pStyle w:val="Header"/>
    </w:pPr>
    <w:r>
      <w:tab/>
      <w:t>Federal Communications Commission</w:t>
    </w:r>
    <w:r>
      <w:tab/>
    </w:r>
    <w:r w:rsidR="00CC6A41">
      <w:rPr>
        <w:spacing w:val="-2"/>
      </w:rPr>
      <w:t>DA 20-</w:t>
    </w:r>
    <w:r w:rsidR="005E642B">
      <w:rPr>
        <w:spacing w:val="-2"/>
      </w:rPr>
      <w:t>227</w:t>
    </w:r>
  </w:p>
  <w:p w:rsidR="00D25FB5" w14:paraId="0B71AD9C" w14:textId="6EC08FF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31E022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A7C0E" w:rsidP="003C66B7" w14:paraId="75C650B6" w14:textId="5E6196D0">
    <w:pPr>
      <w:pStyle w:val="Header"/>
    </w:pPr>
    <w:r w:rsidRPr="003C66B7">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3C66B7">
      <w:tab/>
      <w:t>Federal Communications Commission</w:t>
    </w:r>
    <w:r w:rsidRPr="003C66B7">
      <w:tab/>
    </w:r>
    <w:r w:rsidRPr="003C66B7" w:rsidR="006C0544">
      <w:rPr>
        <w:spacing w:val="-2"/>
      </w:rPr>
      <w:t>DA 20-</w:t>
    </w:r>
    <w:r w:rsidR="005E642B">
      <w:rPr>
        <w:spacing w:val="-2"/>
      </w:rPr>
      <w:t>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FBF6FBA"/>
    <w:multiLevelType w:val="hybridMultilevel"/>
    <w:tmpl w:val="E0FEFF3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C997CC2"/>
    <w:multiLevelType w:val="multilevel"/>
    <w:tmpl w:val="010C6432"/>
    <w:lvl w:ilvl="0">
      <w:start w:val="1"/>
      <w:numFmt w:val="decimal"/>
      <w:lvlText w:val="%1."/>
      <w:lvlJc w:val="left"/>
      <w:pPr>
        <w:tabs>
          <w:tab w:val="num" w:pos="1260"/>
        </w:tabs>
        <w:ind w:left="180" w:firstLine="720"/>
      </w:pPr>
      <w:rPr>
        <w:rFonts w:ascii="Times New Roman" w:hAnsi="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432817C4"/>
    <w:multiLevelType w:val="multilevel"/>
    <w:tmpl w:val="010C6432"/>
    <w:lvl w:ilvl="0">
      <w:start w:val="1"/>
      <w:numFmt w:val="decimal"/>
      <w:lvlText w:val="%1."/>
      <w:lvlJc w:val="left"/>
      <w:pPr>
        <w:tabs>
          <w:tab w:val="num" w:pos="1260"/>
        </w:tabs>
        <w:ind w:left="180" w:firstLine="720"/>
      </w:pPr>
      <w:rPr>
        <w:rFonts w:ascii="Times New Roman" w:hAnsi="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34EA4870"/>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sz w:val="22"/>
        <w:szCs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8"/>
  </w:num>
  <w:num w:numId="8">
    <w:abstractNumId w:val="6"/>
  </w:num>
  <w:num w:numId="9">
    <w:abstractNumId w:val="4"/>
  </w:num>
  <w:num w:numId="10">
    <w:abstractNumId w:val="5"/>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4"/>
    <w:rsid w:val="000062D5"/>
    <w:rsid w:val="000075A5"/>
    <w:rsid w:val="00020B17"/>
    <w:rsid w:val="00030459"/>
    <w:rsid w:val="00031C2A"/>
    <w:rsid w:val="0003549C"/>
    <w:rsid w:val="00036039"/>
    <w:rsid w:val="00037F90"/>
    <w:rsid w:val="000417EC"/>
    <w:rsid w:val="00044157"/>
    <w:rsid w:val="000670DD"/>
    <w:rsid w:val="00084F7D"/>
    <w:rsid w:val="000875BF"/>
    <w:rsid w:val="00096D8C"/>
    <w:rsid w:val="000B0260"/>
    <w:rsid w:val="000C0B65"/>
    <w:rsid w:val="000C6E69"/>
    <w:rsid w:val="000D2495"/>
    <w:rsid w:val="000D5293"/>
    <w:rsid w:val="000D7D65"/>
    <w:rsid w:val="000E05FE"/>
    <w:rsid w:val="000E3D42"/>
    <w:rsid w:val="000F1355"/>
    <w:rsid w:val="000F3A4E"/>
    <w:rsid w:val="001022B0"/>
    <w:rsid w:val="00122BD5"/>
    <w:rsid w:val="00130833"/>
    <w:rsid w:val="00133F79"/>
    <w:rsid w:val="00135386"/>
    <w:rsid w:val="00135AC3"/>
    <w:rsid w:val="00136DA2"/>
    <w:rsid w:val="00144019"/>
    <w:rsid w:val="00161576"/>
    <w:rsid w:val="0017191F"/>
    <w:rsid w:val="00193061"/>
    <w:rsid w:val="00194A66"/>
    <w:rsid w:val="001A3A01"/>
    <w:rsid w:val="001B0D96"/>
    <w:rsid w:val="001B7AC2"/>
    <w:rsid w:val="001C090C"/>
    <w:rsid w:val="001C136C"/>
    <w:rsid w:val="001C7A05"/>
    <w:rsid w:val="001C7C9C"/>
    <w:rsid w:val="001D6BCF"/>
    <w:rsid w:val="001E01CA"/>
    <w:rsid w:val="001F0771"/>
    <w:rsid w:val="001F4314"/>
    <w:rsid w:val="001F4538"/>
    <w:rsid w:val="00201011"/>
    <w:rsid w:val="00202133"/>
    <w:rsid w:val="00210120"/>
    <w:rsid w:val="00227F9D"/>
    <w:rsid w:val="002355B0"/>
    <w:rsid w:val="002363DE"/>
    <w:rsid w:val="00251173"/>
    <w:rsid w:val="0026243A"/>
    <w:rsid w:val="0026492C"/>
    <w:rsid w:val="002745F7"/>
    <w:rsid w:val="00275CF5"/>
    <w:rsid w:val="0028301F"/>
    <w:rsid w:val="00285017"/>
    <w:rsid w:val="002962CA"/>
    <w:rsid w:val="002A2D2E"/>
    <w:rsid w:val="002B02F7"/>
    <w:rsid w:val="002B1494"/>
    <w:rsid w:val="002C00E8"/>
    <w:rsid w:val="002C4CCE"/>
    <w:rsid w:val="002D1185"/>
    <w:rsid w:val="00315E5B"/>
    <w:rsid w:val="00324ACC"/>
    <w:rsid w:val="00327507"/>
    <w:rsid w:val="00331BD2"/>
    <w:rsid w:val="00332F06"/>
    <w:rsid w:val="003337EA"/>
    <w:rsid w:val="00343749"/>
    <w:rsid w:val="00347F12"/>
    <w:rsid w:val="003660ED"/>
    <w:rsid w:val="00370E02"/>
    <w:rsid w:val="00392C18"/>
    <w:rsid w:val="003A30FB"/>
    <w:rsid w:val="003B0550"/>
    <w:rsid w:val="003B694F"/>
    <w:rsid w:val="003C02CE"/>
    <w:rsid w:val="003C0CA5"/>
    <w:rsid w:val="003C66B7"/>
    <w:rsid w:val="003E663B"/>
    <w:rsid w:val="003F171C"/>
    <w:rsid w:val="00412FC5"/>
    <w:rsid w:val="004173E8"/>
    <w:rsid w:val="00422276"/>
    <w:rsid w:val="00423CD9"/>
    <w:rsid w:val="004242F1"/>
    <w:rsid w:val="00425E91"/>
    <w:rsid w:val="00440339"/>
    <w:rsid w:val="00440FC6"/>
    <w:rsid w:val="00445A00"/>
    <w:rsid w:val="00450F4E"/>
    <w:rsid w:val="00451B0F"/>
    <w:rsid w:val="00464555"/>
    <w:rsid w:val="004647D5"/>
    <w:rsid w:val="00481B5B"/>
    <w:rsid w:val="00492AAB"/>
    <w:rsid w:val="004948E1"/>
    <w:rsid w:val="004A737D"/>
    <w:rsid w:val="004B31BE"/>
    <w:rsid w:val="004B4583"/>
    <w:rsid w:val="004C2EE3"/>
    <w:rsid w:val="004C67A7"/>
    <w:rsid w:val="004E4958"/>
    <w:rsid w:val="004E4A22"/>
    <w:rsid w:val="004E54BD"/>
    <w:rsid w:val="004F1DAE"/>
    <w:rsid w:val="00501E51"/>
    <w:rsid w:val="005029DB"/>
    <w:rsid w:val="00511279"/>
    <w:rsid w:val="00511968"/>
    <w:rsid w:val="0051375C"/>
    <w:rsid w:val="00517793"/>
    <w:rsid w:val="0052606F"/>
    <w:rsid w:val="0055614C"/>
    <w:rsid w:val="00565A85"/>
    <w:rsid w:val="00565B62"/>
    <w:rsid w:val="00566D06"/>
    <w:rsid w:val="00590D4D"/>
    <w:rsid w:val="005932E0"/>
    <w:rsid w:val="0059631D"/>
    <w:rsid w:val="005C4F3F"/>
    <w:rsid w:val="005E14C2"/>
    <w:rsid w:val="005E642B"/>
    <w:rsid w:val="00607BA5"/>
    <w:rsid w:val="0061180A"/>
    <w:rsid w:val="00614D30"/>
    <w:rsid w:val="006241D9"/>
    <w:rsid w:val="006245A0"/>
    <w:rsid w:val="00626EB6"/>
    <w:rsid w:val="006301D6"/>
    <w:rsid w:val="0063495B"/>
    <w:rsid w:val="00655D03"/>
    <w:rsid w:val="00661881"/>
    <w:rsid w:val="00677E1F"/>
    <w:rsid w:val="00682C2B"/>
    <w:rsid w:val="00683388"/>
    <w:rsid w:val="00683F84"/>
    <w:rsid w:val="006840D2"/>
    <w:rsid w:val="006859B4"/>
    <w:rsid w:val="0069267A"/>
    <w:rsid w:val="006A6A81"/>
    <w:rsid w:val="006C0544"/>
    <w:rsid w:val="006C2C96"/>
    <w:rsid w:val="006D10FC"/>
    <w:rsid w:val="006E3199"/>
    <w:rsid w:val="006E5542"/>
    <w:rsid w:val="006E7813"/>
    <w:rsid w:val="006F2A88"/>
    <w:rsid w:val="006F7393"/>
    <w:rsid w:val="0070224F"/>
    <w:rsid w:val="007115F7"/>
    <w:rsid w:val="0074290B"/>
    <w:rsid w:val="00753B39"/>
    <w:rsid w:val="00777C78"/>
    <w:rsid w:val="00781274"/>
    <w:rsid w:val="00782577"/>
    <w:rsid w:val="00785689"/>
    <w:rsid w:val="00791943"/>
    <w:rsid w:val="00795A93"/>
    <w:rsid w:val="0079754B"/>
    <w:rsid w:val="007A1E6D"/>
    <w:rsid w:val="007B0EB2"/>
    <w:rsid w:val="007C562B"/>
    <w:rsid w:val="007C6CF2"/>
    <w:rsid w:val="007E47DE"/>
    <w:rsid w:val="00810B6F"/>
    <w:rsid w:val="00813DFF"/>
    <w:rsid w:val="00822CE0"/>
    <w:rsid w:val="00823D3D"/>
    <w:rsid w:val="00841AB1"/>
    <w:rsid w:val="00866F50"/>
    <w:rsid w:val="00877644"/>
    <w:rsid w:val="00882663"/>
    <w:rsid w:val="00886479"/>
    <w:rsid w:val="00890275"/>
    <w:rsid w:val="008A079D"/>
    <w:rsid w:val="008C5577"/>
    <w:rsid w:val="008C68F1"/>
    <w:rsid w:val="008E5910"/>
    <w:rsid w:val="0090167E"/>
    <w:rsid w:val="00901E6A"/>
    <w:rsid w:val="00903541"/>
    <w:rsid w:val="00903D86"/>
    <w:rsid w:val="00920A32"/>
    <w:rsid w:val="00921803"/>
    <w:rsid w:val="00926503"/>
    <w:rsid w:val="00934783"/>
    <w:rsid w:val="009457F3"/>
    <w:rsid w:val="00947502"/>
    <w:rsid w:val="009502BA"/>
    <w:rsid w:val="0096412B"/>
    <w:rsid w:val="009726D8"/>
    <w:rsid w:val="00974BC6"/>
    <w:rsid w:val="00975C29"/>
    <w:rsid w:val="00977F5D"/>
    <w:rsid w:val="009803CA"/>
    <w:rsid w:val="009824A9"/>
    <w:rsid w:val="009843AD"/>
    <w:rsid w:val="00997FFB"/>
    <w:rsid w:val="009A73A1"/>
    <w:rsid w:val="009C282A"/>
    <w:rsid w:val="009C41E4"/>
    <w:rsid w:val="009D7308"/>
    <w:rsid w:val="009F76DB"/>
    <w:rsid w:val="00A063A0"/>
    <w:rsid w:val="00A10D2C"/>
    <w:rsid w:val="00A14C8E"/>
    <w:rsid w:val="00A26D27"/>
    <w:rsid w:val="00A32C3B"/>
    <w:rsid w:val="00A45F4F"/>
    <w:rsid w:val="00A5585D"/>
    <w:rsid w:val="00A600A9"/>
    <w:rsid w:val="00A64A90"/>
    <w:rsid w:val="00A74201"/>
    <w:rsid w:val="00A84AF5"/>
    <w:rsid w:val="00A90822"/>
    <w:rsid w:val="00A91172"/>
    <w:rsid w:val="00AA15D7"/>
    <w:rsid w:val="00AA3284"/>
    <w:rsid w:val="00AA55B7"/>
    <w:rsid w:val="00AA5B9E"/>
    <w:rsid w:val="00AA5D8C"/>
    <w:rsid w:val="00AA7542"/>
    <w:rsid w:val="00AB2407"/>
    <w:rsid w:val="00AB53DF"/>
    <w:rsid w:val="00AB5678"/>
    <w:rsid w:val="00AB7B17"/>
    <w:rsid w:val="00AC6DFE"/>
    <w:rsid w:val="00AD6394"/>
    <w:rsid w:val="00AD6ECE"/>
    <w:rsid w:val="00AE4DF4"/>
    <w:rsid w:val="00AF7E4C"/>
    <w:rsid w:val="00B07E5C"/>
    <w:rsid w:val="00B11931"/>
    <w:rsid w:val="00B21DA5"/>
    <w:rsid w:val="00B25FD3"/>
    <w:rsid w:val="00B32F8A"/>
    <w:rsid w:val="00B3522E"/>
    <w:rsid w:val="00B35607"/>
    <w:rsid w:val="00B47088"/>
    <w:rsid w:val="00B503E3"/>
    <w:rsid w:val="00B60697"/>
    <w:rsid w:val="00B6620F"/>
    <w:rsid w:val="00B72004"/>
    <w:rsid w:val="00B811F7"/>
    <w:rsid w:val="00BA5DC6"/>
    <w:rsid w:val="00BA6196"/>
    <w:rsid w:val="00BB6335"/>
    <w:rsid w:val="00BC6D8C"/>
    <w:rsid w:val="00BD1929"/>
    <w:rsid w:val="00BD49C3"/>
    <w:rsid w:val="00BE0688"/>
    <w:rsid w:val="00BE6676"/>
    <w:rsid w:val="00C0528F"/>
    <w:rsid w:val="00C05BAD"/>
    <w:rsid w:val="00C17487"/>
    <w:rsid w:val="00C268DC"/>
    <w:rsid w:val="00C34006"/>
    <w:rsid w:val="00C36B4C"/>
    <w:rsid w:val="00C37AAA"/>
    <w:rsid w:val="00C426B1"/>
    <w:rsid w:val="00C46B2C"/>
    <w:rsid w:val="00C66160"/>
    <w:rsid w:val="00C721AC"/>
    <w:rsid w:val="00C74125"/>
    <w:rsid w:val="00C85AA5"/>
    <w:rsid w:val="00C90D6A"/>
    <w:rsid w:val="00C94738"/>
    <w:rsid w:val="00CA247E"/>
    <w:rsid w:val="00CA6D21"/>
    <w:rsid w:val="00CC6A41"/>
    <w:rsid w:val="00CC72B6"/>
    <w:rsid w:val="00CD3C95"/>
    <w:rsid w:val="00CD53D1"/>
    <w:rsid w:val="00CD72C9"/>
    <w:rsid w:val="00CD7A94"/>
    <w:rsid w:val="00CE0751"/>
    <w:rsid w:val="00D0218D"/>
    <w:rsid w:val="00D0501F"/>
    <w:rsid w:val="00D25FB5"/>
    <w:rsid w:val="00D30852"/>
    <w:rsid w:val="00D3707A"/>
    <w:rsid w:val="00D402EE"/>
    <w:rsid w:val="00D422FE"/>
    <w:rsid w:val="00D427F3"/>
    <w:rsid w:val="00D44223"/>
    <w:rsid w:val="00D5596A"/>
    <w:rsid w:val="00D75209"/>
    <w:rsid w:val="00D831DC"/>
    <w:rsid w:val="00D873B2"/>
    <w:rsid w:val="00D945A2"/>
    <w:rsid w:val="00D96F43"/>
    <w:rsid w:val="00DA2529"/>
    <w:rsid w:val="00DA7C0E"/>
    <w:rsid w:val="00DB130A"/>
    <w:rsid w:val="00DB2EBB"/>
    <w:rsid w:val="00DB5246"/>
    <w:rsid w:val="00DC10A1"/>
    <w:rsid w:val="00DC2D7C"/>
    <w:rsid w:val="00DC361E"/>
    <w:rsid w:val="00DC3E6B"/>
    <w:rsid w:val="00DC655F"/>
    <w:rsid w:val="00DC6AF0"/>
    <w:rsid w:val="00DD0B59"/>
    <w:rsid w:val="00DD5A26"/>
    <w:rsid w:val="00DD7EBD"/>
    <w:rsid w:val="00DF62B6"/>
    <w:rsid w:val="00E03A8D"/>
    <w:rsid w:val="00E07225"/>
    <w:rsid w:val="00E23EB1"/>
    <w:rsid w:val="00E270C3"/>
    <w:rsid w:val="00E30E88"/>
    <w:rsid w:val="00E31FC3"/>
    <w:rsid w:val="00E4452D"/>
    <w:rsid w:val="00E46A57"/>
    <w:rsid w:val="00E5409F"/>
    <w:rsid w:val="00E6684D"/>
    <w:rsid w:val="00E7135C"/>
    <w:rsid w:val="00E76D83"/>
    <w:rsid w:val="00E91059"/>
    <w:rsid w:val="00E97B55"/>
    <w:rsid w:val="00EB17F2"/>
    <w:rsid w:val="00EC08F8"/>
    <w:rsid w:val="00EC1AB9"/>
    <w:rsid w:val="00EC6570"/>
    <w:rsid w:val="00ED2F0B"/>
    <w:rsid w:val="00ED3D21"/>
    <w:rsid w:val="00EE55E5"/>
    <w:rsid w:val="00EE6488"/>
    <w:rsid w:val="00EF26A5"/>
    <w:rsid w:val="00EF75E6"/>
    <w:rsid w:val="00F021FA"/>
    <w:rsid w:val="00F046D4"/>
    <w:rsid w:val="00F10C18"/>
    <w:rsid w:val="00F14821"/>
    <w:rsid w:val="00F21B1F"/>
    <w:rsid w:val="00F23961"/>
    <w:rsid w:val="00F62E97"/>
    <w:rsid w:val="00F64209"/>
    <w:rsid w:val="00F8724F"/>
    <w:rsid w:val="00F93BF5"/>
    <w:rsid w:val="00FA5052"/>
    <w:rsid w:val="00FA54DD"/>
    <w:rsid w:val="00FA6AA1"/>
    <w:rsid w:val="00FB095B"/>
    <w:rsid w:val="00FD1001"/>
    <w:rsid w:val="00FD10C9"/>
    <w:rsid w:val="00FD5632"/>
    <w:rsid w:val="00FE1EB7"/>
    <w:rsid w:val="00FF5F71"/>
    <w:rsid w:val="00FF65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D5"/>
    <w:pPr>
      <w:widowControl w:val="0"/>
    </w:pPr>
    <w:rPr>
      <w:snapToGrid w:val="0"/>
      <w:kern w:val="28"/>
      <w:sz w:val="22"/>
    </w:rPr>
  </w:style>
  <w:style w:type="paragraph" w:styleId="Heading1">
    <w:name w:val="heading 1"/>
    <w:basedOn w:val="Normal"/>
    <w:next w:val="ParaNum"/>
    <w:link w:val="Heading1Char"/>
    <w:qFormat/>
    <w:rsid w:val="004647D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647D5"/>
    <w:pPr>
      <w:keepNext/>
      <w:numPr>
        <w:ilvl w:val="1"/>
        <w:numId w:val="3"/>
      </w:numPr>
      <w:spacing w:after="120"/>
      <w:outlineLvl w:val="1"/>
    </w:pPr>
    <w:rPr>
      <w:b/>
    </w:rPr>
  </w:style>
  <w:style w:type="paragraph" w:styleId="Heading3">
    <w:name w:val="heading 3"/>
    <w:basedOn w:val="Normal"/>
    <w:next w:val="ParaNum"/>
    <w:qFormat/>
    <w:rsid w:val="004647D5"/>
    <w:pPr>
      <w:keepNext/>
      <w:numPr>
        <w:ilvl w:val="2"/>
        <w:numId w:val="3"/>
      </w:numPr>
      <w:tabs>
        <w:tab w:val="left" w:pos="2160"/>
      </w:tabs>
      <w:spacing w:after="120"/>
      <w:outlineLvl w:val="2"/>
    </w:pPr>
    <w:rPr>
      <w:b/>
    </w:rPr>
  </w:style>
  <w:style w:type="paragraph" w:styleId="Heading4">
    <w:name w:val="heading 4"/>
    <w:basedOn w:val="Normal"/>
    <w:next w:val="ParaNum"/>
    <w:qFormat/>
    <w:rsid w:val="004647D5"/>
    <w:pPr>
      <w:keepNext/>
      <w:numPr>
        <w:ilvl w:val="3"/>
        <w:numId w:val="3"/>
      </w:numPr>
      <w:tabs>
        <w:tab w:val="left" w:pos="2880"/>
      </w:tabs>
      <w:spacing w:after="120"/>
      <w:outlineLvl w:val="3"/>
    </w:pPr>
    <w:rPr>
      <w:b/>
    </w:rPr>
  </w:style>
  <w:style w:type="paragraph" w:styleId="Heading5">
    <w:name w:val="heading 5"/>
    <w:basedOn w:val="Normal"/>
    <w:next w:val="ParaNum"/>
    <w:qFormat/>
    <w:rsid w:val="004647D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647D5"/>
    <w:pPr>
      <w:numPr>
        <w:ilvl w:val="5"/>
        <w:numId w:val="3"/>
      </w:numPr>
      <w:tabs>
        <w:tab w:val="left" w:pos="4320"/>
      </w:tabs>
      <w:spacing w:after="120"/>
      <w:outlineLvl w:val="5"/>
    </w:pPr>
    <w:rPr>
      <w:b/>
    </w:rPr>
  </w:style>
  <w:style w:type="paragraph" w:styleId="Heading7">
    <w:name w:val="heading 7"/>
    <w:basedOn w:val="Normal"/>
    <w:next w:val="ParaNum"/>
    <w:qFormat/>
    <w:rsid w:val="004647D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647D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647D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47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7D5"/>
  </w:style>
  <w:style w:type="paragraph" w:customStyle="1" w:styleId="ParaNum">
    <w:name w:val="ParaNum"/>
    <w:basedOn w:val="Normal"/>
    <w:rsid w:val="004647D5"/>
    <w:pPr>
      <w:numPr>
        <w:numId w:val="2"/>
      </w:numPr>
      <w:spacing w:after="120"/>
    </w:pPr>
  </w:style>
  <w:style w:type="paragraph" w:styleId="EndnoteText">
    <w:name w:val="endnote text"/>
    <w:basedOn w:val="Normal"/>
    <w:semiHidden/>
    <w:rsid w:val="004647D5"/>
    <w:rPr>
      <w:sz w:val="20"/>
    </w:rPr>
  </w:style>
  <w:style w:type="character" w:styleId="EndnoteReference">
    <w:name w:val="endnote reference"/>
    <w:semiHidden/>
    <w:rsid w:val="004647D5"/>
    <w:rPr>
      <w:vertAlign w:val="superscript"/>
    </w:rPr>
  </w:style>
  <w:style w:type="paragraph" w:styleId="FootnoteText">
    <w:name w:val="footnote text"/>
    <w:aliases w:val="Footnote Text Char Char Char Char2,Footnote Text Char1 Char Char Char Char Char,Footnote Text Char1 Char Char2,Footnote Text Char2,Footnote Text Char2 Char Char1 Char Char1,Footnote Text Char2 Char1,f,fn,ft,rrfootnote,rrfootnote Char Char"/>
    <w:link w:val="FootnoteTextChar"/>
    <w:rsid w:val="004647D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647D5"/>
    <w:rPr>
      <w:rFonts w:ascii="Times New Roman" w:hAnsi="Times New Roman"/>
      <w:dstrike w:val="0"/>
      <w:color w:val="auto"/>
      <w:sz w:val="20"/>
      <w:vertAlign w:val="superscript"/>
    </w:rPr>
  </w:style>
  <w:style w:type="paragraph" w:styleId="TOC1">
    <w:name w:val="toc 1"/>
    <w:basedOn w:val="Normal"/>
    <w:next w:val="Normal"/>
    <w:semiHidden/>
    <w:rsid w:val="004647D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47D5"/>
    <w:pPr>
      <w:tabs>
        <w:tab w:val="left" w:pos="720"/>
        <w:tab w:val="right" w:leader="dot" w:pos="9360"/>
      </w:tabs>
      <w:suppressAutoHyphens/>
      <w:ind w:left="720" w:right="720" w:hanging="360"/>
    </w:pPr>
    <w:rPr>
      <w:noProof/>
    </w:rPr>
  </w:style>
  <w:style w:type="paragraph" w:styleId="TOC3">
    <w:name w:val="toc 3"/>
    <w:basedOn w:val="Normal"/>
    <w:next w:val="Normal"/>
    <w:semiHidden/>
    <w:rsid w:val="004647D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47D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47D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47D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47D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47D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47D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47D5"/>
    <w:pPr>
      <w:tabs>
        <w:tab w:val="right" w:pos="9360"/>
      </w:tabs>
      <w:suppressAutoHyphens/>
    </w:pPr>
  </w:style>
  <w:style w:type="character" w:customStyle="1" w:styleId="EquationCaption">
    <w:name w:val="_Equation Caption"/>
    <w:rsid w:val="004647D5"/>
  </w:style>
  <w:style w:type="paragraph" w:styleId="Header">
    <w:name w:val="header"/>
    <w:basedOn w:val="Normal"/>
    <w:autoRedefine/>
    <w:rsid w:val="004647D5"/>
    <w:pPr>
      <w:tabs>
        <w:tab w:val="center" w:pos="4680"/>
        <w:tab w:val="right" w:pos="9360"/>
      </w:tabs>
    </w:pPr>
    <w:rPr>
      <w:b/>
    </w:rPr>
  </w:style>
  <w:style w:type="paragraph" w:styleId="Footer">
    <w:name w:val="footer"/>
    <w:basedOn w:val="Normal"/>
    <w:link w:val="FooterChar"/>
    <w:uiPriority w:val="99"/>
    <w:rsid w:val="004647D5"/>
    <w:pPr>
      <w:tabs>
        <w:tab w:val="center" w:pos="4320"/>
        <w:tab w:val="right" w:pos="8640"/>
      </w:tabs>
    </w:pPr>
  </w:style>
  <w:style w:type="character" w:styleId="PageNumber">
    <w:name w:val="page number"/>
    <w:basedOn w:val="DefaultParagraphFont"/>
    <w:rsid w:val="004647D5"/>
  </w:style>
  <w:style w:type="paragraph" w:styleId="BlockText">
    <w:name w:val="Block Text"/>
    <w:basedOn w:val="Normal"/>
    <w:rsid w:val="004647D5"/>
    <w:pPr>
      <w:spacing w:after="240"/>
      <w:ind w:left="1440" w:right="1440"/>
    </w:pPr>
  </w:style>
  <w:style w:type="paragraph" w:customStyle="1" w:styleId="Paratitle">
    <w:name w:val="Para title"/>
    <w:basedOn w:val="Normal"/>
    <w:rsid w:val="004647D5"/>
    <w:pPr>
      <w:tabs>
        <w:tab w:val="center" w:pos="9270"/>
      </w:tabs>
      <w:spacing w:after="240"/>
    </w:pPr>
    <w:rPr>
      <w:spacing w:val="-2"/>
    </w:rPr>
  </w:style>
  <w:style w:type="paragraph" w:customStyle="1" w:styleId="Bullet">
    <w:name w:val="Bullet"/>
    <w:basedOn w:val="Normal"/>
    <w:rsid w:val="004647D5"/>
    <w:pPr>
      <w:tabs>
        <w:tab w:val="left" w:pos="2160"/>
      </w:tabs>
      <w:spacing w:after="220"/>
      <w:ind w:left="2160" w:hanging="720"/>
    </w:pPr>
  </w:style>
  <w:style w:type="paragraph" w:customStyle="1" w:styleId="TableFormat">
    <w:name w:val="TableFormat"/>
    <w:basedOn w:val="Bullet"/>
    <w:rsid w:val="004647D5"/>
    <w:pPr>
      <w:tabs>
        <w:tab w:val="clear" w:pos="2160"/>
        <w:tab w:val="left" w:pos="5040"/>
      </w:tabs>
      <w:ind w:left="5040" w:hanging="3600"/>
    </w:pPr>
  </w:style>
  <w:style w:type="paragraph" w:customStyle="1" w:styleId="TOCTitle">
    <w:name w:val="TOC Title"/>
    <w:basedOn w:val="Normal"/>
    <w:rsid w:val="004647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47D5"/>
    <w:pPr>
      <w:jc w:val="center"/>
    </w:pPr>
    <w:rPr>
      <w:rFonts w:ascii="Times New Roman Bold" w:hAnsi="Times New Roman Bold"/>
      <w:b/>
      <w:bCs/>
      <w:caps/>
      <w:szCs w:val="22"/>
    </w:rPr>
  </w:style>
  <w:style w:type="character" w:styleId="Hyperlink">
    <w:name w:val="Hyperlink"/>
    <w:rsid w:val="004647D5"/>
    <w:rPr>
      <w:color w:val="0000FF"/>
      <w:u w:val="single"/>
    </w:rPr>
  </w:style>
  <w:style w:type="character" w:customStyle="1" w:styleId="FooterChar">
    <w:name w:val="Footer Char"/>
    <w:link w:val="Footer"/>
    <w:uiPriority w:val="99"/>
    <w:rsid w:val="004647D5"/>
    <w:rPr>
      <w:snapToGrid w:val="0"/>
      <w:kern w:val="28"/>
      <w:sz w:val="22"/>
    </w:rPr>
  </w:style>
  <w:style w:type="character" w:customStyle="1" w:styleId="Heading1Char">
    <w:name w:val="Heading 1 Char"/>
    <w:link w:val="Heading1"/>
    <w:rsid w:val="006C0544"/>
    <w:rPr>
      <w:rFonts w:ascii="Times New Roman Bold" w:hAnsi="Times New Roman Bold"/>
      <w:b/>
      <w:caps/>
      <w:snapToGrid w:val="0"/>
      <w:kern w:val="28"/>
      <w:sz w:val="22"/>
    </w:rPr>
  </w:style>
  <w:style w:type="character" w:customStyle="1" w:styleId="Heading2Char">
    <w:name w:val="Heading 2 Char"/>
    <w:link w:val="Heading2"/>
    <w:rsid w:val="006C0544"/>
    <w:rPr>
      <w:b/>
      <w:snapToGrid w:val="0"/>
      <w:kern w:val="28"/>
      <w:sz w:val="22"/>
    </w:rPr>
  </w:style>
  <w:style w:type="character" w:customStyle="1" w:styleId="documentbody1">
    <w:name w:val="documentbody1"/>
    <w:rsid w:val="006C0544"/>
    <w:rPr>
      <w:rFonts w:ascii="Verdana" w:hAnsi="Verdana" w:hint="default"/>
      <w:sz w:val="19"/>
      <w:szCs w:val="19"/>
      <w:shd w:val="clear" w:color="auto" w:fill="FFFFFF"/>
    </w:rPr>
  </w:style>
  <w:style w:type="character" w:customStyle="1" w:styleId="FootnoteTextChar">
    <w:name w:val="Footnote Text Char"/>
    <w:aliases w:val="Footnote Text Char Char Char Char2 Char,Footnote Text Char1 Char Char Char Char Char Char,Footnote Text Char1 Char Char2 Char,Footnote Text Char2 Char,Footnote Text Char2 Char Char1 Char Char1 Char,Footnote Text Char2 Char1 Char"/>
    <w:link w:val="FootnoteText"/>
    <w:rsid w:val="006C0544"/>
  </w:style>
  <w:style w:type="paragraph" w:customStyle="1" w:styleId="xmsofootnotetext">
    <w:name w:val="x_msofootnotetext"/>
    <w:basedOn w:val="Normal"/>
    <w:rsid w:val="006C0544"/>
    <w:pPr>
      <w:widowControl/>
      <w:spacing w:after="120"/>
    </w:pPr>
    <w:rPr>
      <w:rFonts w:ascii="Calibri" w:eastAsia="Calibri" w:hAnsi="Calibri"/>
      <w:szCs w:val="22"/>
    </w:rPr>
  </w:style>
  <w:style w:type="character" w:customStyle="1" w:styleId="item-value">
    <w:name w:val="item-value"/>
    <w:rsid w:val="006C0544"/>
  </w:style>
  <w:style w:type="character" w:styleId="CommentReference">
    <w:name w:val="annotation reference"/>
    <w:basedOn w:val="DefaultParagraphFont"/>
    <w:rsid w:val="00251173"/>
    <w:rPr>
      <w:sz w:val="16"/>
      <w:szCs w:val="16"/>
    </w:rPr>
  </w:style>
  <w:style w:type="paragraph" w:styleId="CommentText">
    <w:name w:val="annotation text"/>
    <w:basedOn w:val="Normal"/>
    <w:link w:val="CommentTextChar"/>
    <w:rsid w:val="00251173"/>
  </w:style>
  <w:style w:type="character" w:customStyle="1" w:styleId="CommentTextChar">
    <w:name w:val="Comment Text Char"/>
    <w:basedOn w:val="DefaultParagraphFont"/>
    <w:link w:val="CommentText"/>
    <w:rsid w:val="00251173"/>
  </w:style>
  <w:style w:type="paragraph" w:styleId="CommentSubject">
    <w:name w:val="annotation subject"/>
    <w:basedOn w:val="CommentText"/>
    <w:next w:val="CommentText"/>
    <w:link w:val="CommentSubjectChar"/>
    <w:rsid w:val="00251173"/>
    <w:rPr>
      <w:b/>
      <w:bCs/>
    </w:rPr>
  </w:style>
  <w:style w:type="character" w:customStyle="1" w:styleId="CommentSubjectChar">
    <w:name w:val="Comment Subject Char"/>
    <w:basedOn w:val="CommentTextChar"/>
    <w:link w:val="CommentSubject"/>
    <w:rsid w:val="00251173"/>
    <w:rPr>
      <w:b/>
      <w:bCs/>
    </w:rPr>
  </w:style>
  <w:style w:type="paragraph" w:styleId="BalloonText">
    <w:name w:val="Balloon Text"/>
    <w:basedOn w:val="Normal"/>
    <w:link w:val="BalloonTextChar"/>
    <w:semiHidden/>
    <w:unhideWhenUsed/>
    <w:rsid w:val="00251173"/>
    <w:rPr>
      <w:rFonts w:ascii="Segoe UI" w:hAnsi="Segoe UI" w:cs="Segoe UI"/>
      <w:sz w:val="18"/>
      <w:szCs w:val="18"/>
    </w:rPr>
  </w:style>
  <w:style w:type="character" w:customStyle="1" w:styleId="BalloonTextChar">
    <w:name w:val="Balloon Text Char"/>
    <w:basedOn w:val="DefaultParagraphFont"/>
    <w:link w:val="BalloonText"/>
    <w:semiHidden/>
    <w:rsid w:val="00251173"/>
    <w:rPr>
      <w:rFonts w:ascii="Segoe UI" w:hAnsi="Segoe UI" w:cs="Segoe UI"/>
      <w:sz w:val="18"/>
      <w:szCs w:val="18"/>
    </w:rPr>
  </w:style>
  <w:style w:type="character" w:customStyle="1" w:styleId="UnresolvedMention">
    <w:name w:val="Unresolved Mention"/>
    <w:basedOn w:val="DefaultParagraphFont"/>
    <w:uiPriority w:val="99"/>
    <w:semiHidden/>
    <w:unhideWhenUsed/>
    <w:rsid w:val="00193061"/>
    <w:rPr>
      <w:color w:val="605E5C"/>
      <w:shd w:val="clear" w:color="auto" w:fill="E1DFDD"/>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193061"/>
    <w:rPr>
      <w:sz w:val="20"/>
      <w:szCs w:val="20"/>
    </w:rPr>
  </w:style>
  <w:style w:type="character" w:customStyle="1" w:styleId="cosearchterm">
    <w:name w:val="co_searchterm"/>
    <w:rsid w:val="00044157"/>
  </w:style>
  <w:style w:type="paragraph" w:styleId="ListParagraph">
    <w:name w:val="List Paragraph"/>
    <w:basedOn w:val="Normal"/>
    <w:uiPriority w:val="34"/>
    <w:qFormat/>
    <w:rsid w:val="000D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opher.Sova@fcc.gov" TargetMode="External" /><Relationship Id="rId11" Type="http://schemas.openxmlformats.org/officeDocument/2006/relationships/hyperlink" Target="mailto:Kenneth.Scheibel@fcc.gov" TargetMode="External" /><Relationship Id="rId12" Type="http://schemas.openxmlformats.org/officeDocument/2006/relationships/hyperlink" Target="mailto:Anya.Baez@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Jeffrey.Ge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media-library-data/1465326763240-4152791226bbd49cf46aff8cd5f43bb1/Emergency_Alert_System_Fact_Sheet_2016.pdf" TargetMode="External" /><Relationship Id="rId2" Type="http://schemas.openxmlformats.org/officeDocument/2006/relationships/hyperlink" Target="https://entercom.com/about" TargetMode="External" /><Relationship Id="rId3" Type="http://schemas.openxmlformats.org/officeDocument/2006/relationships/hyperlink" Target="https://entercom.com/radio-stations/" TargetMode="External" /><Relationship Id="rId4" Type="http://schemas.openxmlformats.org/officeDocument/2006/relationships/hyperlink" Target="mailto:ARINQUIRIES@fcc.gov" TargetMode="External" /><Relationship Id="rId5"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