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67049" w:rsidP="00267049" w14:paraId="7CFFADA5"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267049" w:rsidP="00267049" w14:paraId="77B57F36" w14:textId="77777777">
      <w:pPr>
        <w:pStyle w:val="StyleBoldCentered"/>
      </w:pPr>
      <w:r>
        <w:t>F</w:t>
      </w:r>
      <w:r>
        <w:rPr>
          <w:caps w:val="0"/>
        </w:rPr>
        <w:t>ederal Communications Commission</w:t>
      </w:r>
    </w:p>
    <w:p w:rsidR="00267049" w:rsidP="00267049" w14:paraId="08DE2698" w14:textId="77777777">
      <w:pPr>
        <w:pStyle w:val="StyleBoldCentered"/>
      </w:pPr>
      <w:r>
        <w:rPr>
          <w:caps w:val="0"/>
        </w:rPr>
        <w:t>Washington, D.C. 20554</w:t>
      </w:r>
    </w:p>
    <w:p w:rsidR="00267049" w:rsidP="00267049" w14:paraId="4D7B3EF4" w14:textId="77777777"/>
    <w:p w:rsidR="00267049" w:rsidP="00267049" w14:paraId="0C2AF727" w14:textId="77777777"/>
    <w:tbl>
      <w:tblPr>
        <w:tblW w:w="0" w:type="auto"/>
        <w:tblLayout w:type="fixed"/>
        <w:tblLook w:val="0000"/>
      </w:tblPr>
      <w:tblGrid>
        <w:gridCol w:w="4698"/>
        <w:gridCol w:w="630"/>
        <w:gridCol w:w="4248"/>
      </w:tblGrid>
      <w:tr w14:paraId="4200868B" w14:textId="77777777" w:rsidTr="00C80EA3">
        <w:tblPrEx>
          <w:tblW w:w="0" w:type="auto"/>
          <w:tblLayout w:type="fixed"/>
          <w:tblLook w:val="0000"/>
        </w:tblPrEx>
        <w:tc>
          <w:tcPr>
            <w:tcW w:w="4698" w:type="dxa"/>
          </w:tcPr>
          <w:p w:rsidR="00267049" w:rsidP="00C80EA3" w14:paraId="675844D8" w14:textId="77777777">
            <w:pPr>
              <w:tabs>
                <w:tab w:val="center" w:pos="4680"/>
              </w:tabs>
              <w:suppressAutoHyphens/>
              <w:rPr>
                <w:spacing w:val="-2"/>
              </w:rPr>
            </w:pPr>
            <w:r>
              <w:rPr>
                <w:spacing w:val="-2"/>
              </w:rPr>
              <w:t>In the Matter of</w:t>
            </w:r>
          </w:p>
          <w:p w:rsidR="00267049" w:rsidP="00C80EA3" w14:paraId="4055FCB8" w14:textId="77777777">
            <w:pPr>
              <w:tabs>
                <w:tab w:val="center" w:pos="4680"/>
              </w:tabs>
              <w:suppressAutoHyphens/>
              <w:rPr>
                <w:spacing w:val="-2"/>
              </w:rPr>
            </w:pPr>
          </w:p>
          <w:p w:rsidR="00267049" w:rsidRPr="007115F7" w:rsidP="00C80EA3" w14:paraId="3DCCE80D" w14:textId="77777777">
            <w:pPr>
              <w:tabs>
                <w:tab w:val="center" w:pos="4680"/>
              </w:tabs>
              <w:suppressAutoHyphens/>
              <w:rPr>
                <w:spacing w:val="-2"/>
              </w:rPr>
            </w:pPr>
            <w:r>
              <w:rPr>
                <w:spacing w:val="-2"/>
              </w:rPr>
              <w:t>Missouri Network Alliance, LLC</w:t>
            </w:r>
          </w:p>
        </w:tc>
        <w:tc>
          <w:tcPr>
            <w:tcW w:w="630" w:type="dxa"/>
          </w:tcPr>
          <w:p w:rsidR="00267049" w:rsidP="00C80EA3" w14:paraId="78EEFFF4" w14:textId="77777777">
            <w:pPr>
              <w:tabs>
                <w:tab w:val="center" w:pos="4680"/>
              </w:tabs>
              <w:suppressAutoHyphens/>
              <w:rPr>
                <w:b/>
                <w:spacing w:val="-2"/>
              </w:rPr>
            </w:pPr>
            <w:r>
              <w:rPr>
                <w:b/>
                <w:spacing w:val="-2"/>
              </w:rPr>
              <w:t>)</w:t>
            </w:r>
          </w:p>
          <w:p w:rsidR="00267049" w:rsidP="00C80EA3" w14:paraId="03DE2D8E" w14:textId="77777777">
            <w:pPr>
              <w:tabs>
                <w:tab w:val="center" w:pos="4680"/>
              </w:tabs>
              <w:suppressAutoHyphens/>
              <w:rPr>
                <w:b/>
                <w:spacing w:val="-2"/>
              </w:rPr>
            </w:pPr>
            <w:r>
              <w:rPr>
                <w:b/>
                <w:spacing w:val="-2"/>
              </w:rPr>
              <w:t>)</w:t>
            </w:r>
          </w:p>
          <w:p w:rsidR="00267049" w:rsidP="00C80EA3" w14:paraId="7D864213" w14:textId="77777777">
            <w:pPr>
              <w:tabs>
                <w:tab w:val="center" w:pos="4680"/>
              </w:tabs>
              <w:suppressAutoHyphens/>
              <w:rPr>
                <w:b/>
                <w:spacing w:val="-2"/>
              </w:rPr>
            </w:pPr>
            <w:r>
              <w:rPr>
                <w:b/>
                <w:spacing w:val="-2"/>
              </w:rPr>
              <w:t>)</w:t>
            </w:r>
          </w:p>
          <w:p w:rsidR="00267049" w:rsidP="00C80EA3" w14:paraId="22A1DA86" w14:textId="77777777">
            <w:pPr>
              <w:tabs>
                <w:tab w:val="center" w:pos="4680"/>
              </w:tabs>
              <w:suppressAutoHyphens/>
              <w:rPr>
                <w:b/>
                <w:spacing w:val="-2"/>
              </w:rPr>
            </w:pPr>
            <w:r>
              <w:rPr>
                <w:b/>
                <w:spacing w:val="-2"/>
              </w:rPr>
              <w:t>)</w:t>
            </w:r>
          </w:p>
          <w:p w:rsidR="00267049" w:rsidP="00C80EA3" w14:paraId="364917D4" w14:textId="77777777">
            <w:pPr>
              <w:tabs>
                <w:tab w:val="center" w:pos="4680"/>
              </w:tabs>
              <w:suppressAutoHyphens/>
              <w:rPr>
                <w:b/>
                <w:spacing w:val="-2"/>
              </w:rPr>
            </w:pPr>
            <w:r>
              <w:rPr>
                <w:b/>
                <w:spacing w:val="-2"/>
              </w:rPr>
              <w:t>)</w:t>
            </w:r>
          </w:p>
          <w:p w:rsidR="00267049" w:rsidP="00C80EA3" w14:paraId="2D23EEFE" w14:textId="77777777">
            <w:pPr>
              <w:tabs>
                <w:tab w:val="center" w:pos="4680"/>
              </w:tabs>
              <w:suppressAutoHyphens/>
              <w:rPr>
                <w:b/>
                <w:spacing w:val="-2"/>
              </w:rPr>
            </w:pPr>
            <w:r>
              <w:rPr>
                <w:b/>
                <w:spacing w:val="-2"/>
              </w:rPr>
              <w:t>)</w:t>
            </w:r>
          </w:p>
          <w:p w:rsidR="00267049" w:rsidP="00C80EA3" w14:paraId="56944AFB" w14:textId="77777777">
            <w:pPr>
              <w:tabs>
                <w:tab w:val="center" w:pos="4680"/>
              </w:tabs>
              <w:suppressAutoHyphens/>
              <w:rPr>
                <w:b/>
                <w:spacing w:val="-2"/>
              </w:rPr>
            </w:pPr>
            <w:r>
              <w:rPr>
                <w:b/>
                <w:spacing w:val="-2"/>
              </w:rPr>
              <w:t>)</w:t>
            </w:r>
          </w:p>
          <w:p w:rsidR="00267049" w:rsidRPr="00A254D3" w:rsidP="00C80EA3" w14:paraId="120D6EAE" w14:textId="77777777">
            <w:pPr>
              <w:tabs>
                <w:tab w:val="center" w:pos="4680"/>
              </w:tabs>
              <w:suppressAutoHyphens/>
              <w:rPr>
                <w:b/>
                <w:spacing w:val="-2"/>
              </w:rPr>
            </w:pPr>
            <w:r>
              <w:rPr>
                <w:b/>
                <w:spacing w:val="-2"/>
              </w:rPr>
              <w:t>)</w:t>
            </w:r>
          </w:p>
        </w:tc>
        <w:tc>
          <w:tcPr>
            <w:tcW w:w="4248" w:type="dxa"/>
          </w:tcPr>
          <w:p w:rsidR="00267049" w:rsidP="00C80EA3" w14:paraId="285BC77A" w14:textId="77777777">
            <w:pPr>
              <w:tabs>
                <w:tab w:val="center" w:pos="4680"/>
              </w:tabs>
              <w:suppressAutoHyphens/>
              <w:rPr>
                <w:spacing w:val="-2"/>
              </w:rPr>
            </w:pPr>
          </w:p>
          <w:p w:rsidR="00267049" w:rsidP="00C80EA3" w14:paraId="64006AFC" w14:textId="77777777">
            <w:pPr>
              <w:pStyle w:val="TOAHeading"/>
              <w:tabs>
                <w:tab w:val="center" w:pos="4680"/>
                <w:tab w:val="clear" w:pos="9360"/>
              </w:tabs>
              <w:rPr>
                <w:spacing w:val="-2"/>
              </w:rPr>
            </w:pPr>
          </w:p>
          <w:p w:rsidR="00267049" w:rsidP="00C80EA3" w14:paraId="7F153350" w14:textId="77777777">
            <w:pPr>
              <w:tabs>
                <w:tab w:val="center" w:pos="4680"/>
              </w:tabs>
              <w:suppressAutoHyphens/>
              <w:rPr>
                <w:spacing w:val="-2"/>
              </w:rPr>
            </w:pPr>
            <w:r>
              <w:rPr>
                <w:spacing w:val="-2"/>
              </w:rPr>
              <w:t>File No.: EB-IHD-19-00029224</w:t>
            </w:r>
          </w:p>
          <w:p w:rsidR="00267049" w:rsidP="00C80EA3" w14:paraId="6B5E883C" w14:textId="06A4BC5D">
            <w:pPr>
              <w:tabs>
                <w:tab w:val="center" w:pos="4680"/>
              </w:tabs>
              <w:suppressAutoHyphens/>
              <w:rPr>
                <w:spacing w:val="-2"/>
              </w:rPr>
            </w:pPr>
            <w:r>
              <w:rPr>
                <w:spacing w:val="-2"/>
              </w:rPr>
              <w:t xml:space="preserve">Acct. No.: </w:t>
            </w:r>
            <w:r w:rsidRPr="00864CFF">
              <w:rPr>
                <w:spacing w:val="-2"/>
              </w:rPr>
              <w:t>202032080020</w:t>
            </w:r>
          </w:p>
          <w:p w:rsidR="00267049" w:rsidP="00C80EA3" w14:paraId="249D4F86" w14:textId="77777777">
            <w:pPr>
              <w:tabs>
                <w:tab w:val="center" w:pos="4680"/>
              </w:tabs>
              <w:suppressAutoHyphens/>
              <w:rPr>
                <w:spacing w:val="-2"/>
              </w:rPr>
            </w:pPr>
            <w:r>
              <w:rPr>
                <w:spacing w:val="-2"/>
              </w:rPr>
              <w:t xml:space="preserve">FRN: </w:t>
            </w:r>
            <w:r w:rsidRPr="009A5C97">
              <w:rPr>
                <w:spacing w:val="-2"/>
              </w:rPr>
              <w:t>0015540669</w:t>
            </w:r>
          </w:p>
        </w:tc>
      </w:tr>
    </w:tbl>
    <w:p w:rsidR="00267049" w:rsidP="00267049" w14:paraId="29366B8C" w14:textId="77777777"/>
    <w:p w:rsidR="00267049" w:rsidP="00267049" w14:paraId="27C8A6AA" w14:textId="77777777">
      <w:pPr>
        <w:pStyle w:val="StyleBoldCentered"/>
      </w:pPr>
      <w:r>
        <w:t>ORDER</w:t>
      </w:r>
    </w:p>
    <w:p w:rsidR="00267049" w:rsidP="00267049" w14:paraId="57AE8233" w14:textId="77777777">
      <w:pPr>
        <w:tabs>
          <w:tab w:val="left" w:pos="-720"/>
        </w:tabs>
        <w:suppressAutoHyphens/>
        <w:spacing w:line="227" w:lineRule="auto"/>
        <w:rPr>
          <w:spacing w:val="-2"/>
        </w:rPr>
      </w:pPr>
    </w:p>
    <w:p w:rsidR="00267049" w:rsidRPr="00D36906" w:rsidP="00267049" w14:paraId="5CC5D271" w14:textId="7EB9D2C3">
      <w:pPr>
        <w:tabs>
          <w:tab w:val="left" w:pos="720"/>
          <w:tab w:val="right" w:pos="9360"/>
        </w:tabs>
        <w:suppressAutoHyphens/>
        <w:spacing w:line="227" w:lineRule="auto"/>
        <w:rPr>
          <w:spacing w:val="-2"/>
        </w:rPr>
      </w:pPr>
      <w:r>
        <w:rPr>
          <w:b/>
          <w:spacing w:val="-2"/>
        </w:rPr>
        <w:t>Adopted</w:t>
      </w:r>
      <w:r w:rsidRPr="00D36906">
        <w:rPr>
          <w:b/>
          <w:spacing w:val="-2"/>
        </w:rPr>
        <w:t xml:space="preserve">:  </w:t>
      </w:r>
      <w:r w:rsidRPr="00D36906" w:rsidR="00D36906">
        <w:rPr>
          <w:b/>
          <w:spacing w:val="-2"/>
        </w:rPr>
        <w:t>March</w:t>
      </w:r>
      <w:r w:rsidRPr="00D36906">
        <w:rPr>
          <w:b/>
          <w:spacing w:val="-2"/>
        </w:rPr>
        <w:t xml:space="preserve"> </w:t>
      </w:r>
      <w:r w:rsidR="00BC3EBE">
        <w:rPr>
          <w:b/>
          <w:spacing w:val="-2"/>
        </w:rPr>
        <w:t>30</w:t>
      </w:r>
      <w:r w:rsidRPr="00D36906">
        <w:rPr>
          <w:b/>
          <w:spacing w:val="-2"/>
        </w:rPr>
        <w:t>, 2020</w:t>
      </w:r>
      <w:r w:rsidRPr="00D36906">
        <w:rPr>
          <w:b/>
          <w:spacing w:val="-2"/>
        </w:rPr>
        <w:tab/>
        <w:t xml:space="preserve">Released:  </w:t>
      </w:r>
      <w:r w:rsidRPr="00D36906" w:rsidR="00D36906">
        <w:rPr>
          <w:b/>
          <w:spacing w:val="-2"/>
        </w:rPr>
        <w:t>March</w:t>
      </w:r>
      <w:r w:rsidRPr="00D36906">
        <w:rPr>
          <w:b/>
          <w:spacing w:val="-2"/>
        </w:rPr>
        <w:t xml:space="preserve"> </w:t>
      </w:r>
      <w:r w:rsidR="00BC3EBE">
        <w:rPr>
          <w:b/>
          <w:spacing w:val="-2"/>
        </w:rPr>
        <w:t>30</w:t>
      </w:r>
      <w:r w:rsidRPr="00D36906">
        <w:rPr>
          <w:b/>
          <w:spacing w:val="-2"/>
        </w:rPr>
        <w:t>, 2020</w:t>
      </w:r>
    </w:p>
    <w:p w:rsidR="00267049" w:rsidRPr="00D36906" w:rsidP="00267049" w14:paraId="2C2712D1" w14:textId="77777777"/>
    <w:p w:rsidR="00267049" w:rsidRPr="00D36906" w:rsidP="00267049" w14:paraId="7209A6A0" w14:textId="77777777">
      <w:pPr>
        <w:rPr>
          <w:spacing w:val="-2"/>
        </w:rPr>
      </w:pPr>
      <w:r w:rsidRPr="00D36906">
        <w:t xml:space="preserve">By the </w:t>
      </w:r>
      <w:r w:rsidRPr="00D36906">
        <w:rPr>
          <w:spacing w:val="-2"/>
        </w:rPr>
        <w:t>Chief, Enforcement Bureau:</w:t>
      </w:r>
    </w:p>
    <w:p w:rsidR="00267049" w:rsidRPr="00D36906" w:rsidP="00267049" w14:paraId="774A4BFF" w14:textId="77777777">
      <w:pPr>
        <w:rPr>
          <w:spacing w:val="-2"/>
        </w:rPr>
      </w:pPr>
    </w:p>
    <w:p w:rsidR="00267049" w:rsidP="00267049" w14:paraId="785269D9" w14:textId="77777777">
      <w:pPr>
        <w:pStyle w:val="ParaNum"/>
        <w:rPr>
          <w:color w:val="000000"/>
        </w:rPr>
      </w:pPr>
      <w:r w:rsidRPr="00D36906">
        <w:t>The Enforcement Bureau (Bureau) of the Federal Communications Commission (Commission) has entered into a Consent</w:t>
      </w:r>
      <w:r w:rsidRPr="00015200">
        <w:t xml:space="preserve"> Decree to resolve its investigation into whether M</w:t>
      </w:r>
      <w:r>
        <w:t>issouri Network Alliance</w:t>
      </w:r>
      <w:r w:rsidRPr="00015200">
        <w:t xml:space="preserve">, LLC (MNA) violated the Commission’s rules related </w:t>
      </w:r>
      <w:r>
        <w:t xml:space="preserve">to the sale of its assets to Bluebird Media, LLC (Bluebird) </w:t>
      </w:r>
      <w:r w:rsidRPr="00015200">
        <w:t>prior to receiving approval from the Commission’s Wireline Competition Bureau.</w:t>
      </w:r>
      <w:r w:rsidRPr="00D84548">
        <w:t xml:space="preserve">  </w:t>
      </w:r>
      <w:r w:rsidRPr="00015200">
        <w:t>Sections 63.03 and 63.04 of the Commission’s rules</w:t>
      </w:r>
      <w:r>
        <w:t xml:space="preserve"> require prior approval to enable the Commission to apply a public interest standard in evaluating possible risks to competition and consumers that could result from transfers of control of entities holding federally granted authorizations pursuant to section 214 of the Act.  T</w:t>
      </w:r>
      <w:r w:rsidRPr="00D84548">
        <w:t xml:space="preserve">o settle this matter, </w:t>
      </w:r>
      <w:r>
        <w:t xml:space="preserve">MNA </w:t>
      </w:r>
      <w:r w:rsidRPr="00D84548">
        <w:t xml:space="preserve">admits that it </w:t>
      </w:r>
      <w:r>
        <w:t>failed to obtain the Commission’s approval prior to the sale of assets to Bluebird</w:t>
      </w:r>
      <w:r w:rsidRPr="00D84548">
        <w:t xml:space="preserve">, </w:t>
      </w:r>
      <w:r>
        <w:t xml:space="preserve">and </w:t>
      </w:r>
      <w:r w:rsidRPr="00D84548">
        <w:t xml:space="preserve">will implement a compliance </w:t>
      </w:r>
      <w:r>
        <w:t xml:space="preserve">plan </w:t>
      </w:r>
      <w:r w:rsidRPr="00D84548">
        <w:t>and pay a</w:t>
      </w:r>
      <w:r>
        <w:t>n</w:t>
      </w:r>
      <w:r w:rsidRPr="00D84548">
        <w:t xml:space="preserve"> </w:t>
      </w:r>
      <w:r>
        <w:t>$8,000</w:t>
      </w:r>
      <w:r w:rsidRPr="00D84548">
        <w:t xml:space="preserve"> </w:t>
      </w:r>
      <w:r>
        <w:t>civil penalty.</w:t>
      </w:r>
      <w:r w:rsidRPr="00D84548">
        <w:t xml:space="preserve"> </w:t>
      </w:r>
    </w:p>
    <w:p w:rsidR="00267049" w:rsidRPr="00532386" w:rsidP="00267049" w14:paraId="0CB39F8C" w14:textId="77777777">
      <w:pPr>
        <w:pStyle w:val="ParaNum"/>
      </w:pPr>
      <w:r w:rsidRPr="00532386">
        <w:t xml:space="preserve">After reviewing the terms of the Consent Decree and evaluating the facts before us, we find that the public interest would be served by adopting the Consent Decree and terminating the </w:t>
      </w:r>
      <w:r w:rsidRPr="00015200">
        <w:t xml:space="preserve">referenced investigation regarding </w:t>
      </w:r>
      <w:r>
        <w:t>MNA’s</w:t>
      </w:r>
      <w:r w:rsidRPr="00015200">
        <w:t xml:space="preserve"> compliance with the Commission’s rules requiring</w:t>
      </w:r>
      <w:r>
        <w:t xml:space="preserve"> prior Commission approval for the sale of assets as set forth in</w:t>
      </w:r>
      <w:r w:rsidRPr="00532386">
        <w:rPr>
          <w:color w:val="000000"/>
        </w:rPr>
        <w:t xml:space="preserve"> </w:t>
      </w:r>
      <w:r>
        <w:rPr>
          <w:color w:val="000000"/>
        </w:rPr>
        <w:t>s</w:t>
      </w:r>
      <w:r w:rsidRPr="006961A0">
        <w:t xml:space="preserve">ection 214 of the Communications Act of </w:t>
      </w:r>
      <w:r w:rsidRPr="00015200">
        <w:t>1934, as amended (Act)</w:t>
      </w:r>
      <w:r>
        <w:rPr>
          <w:rStyle w:val="FootnoteReference"/>
          <w:sz w:val="22"/>
          <w:szCs w:val="22"/>
        </w:rPr>
        <w:footnoteReference w:id="3"/>
      </w:r>
      <w:r w:rsidRPr="00015200">
        <w:t>, and</w:t>
      </w:r>
      <w:r>
        <w:t xml:space="preserve"> the relevant Commission rules.</w:t>
      </w:r>
      <w:r>
        <w:rPr>
          <w:rStyle w:val="FootnoteReference"/>
          <w:sz w:val="22"/>
          <w:szCs w:val="22"/>
        </w:rPr>
        <w:footnoteReference w:id="4"/>
      </w:r>
      <w:r w:rsidRPr="00015200">
        <w:t xml:space="preserve"> </w:t>
      </w:r>
      <w:r>
        <w:t xml:space="preserve"> </w:t>
      </w:r>
      <w:r w:rsidRPr="00015200">
        <w:t>In the</w:t>
      </w:r>
      <w:r w:rsidRPr="00532386">
        <w:t xml:space="preserve"> absence of material new evidence relating to this matter, we do not set for hearing the question of </w:t>
      </w:r>
      <w:r>
        <w:t xml:space="preserve">MNA’s </w:t>
      </w:r>
      <w:r w:rsidRPr="00532386">
        <w:t>basic qualifications to hold or obtain any Commission license or authorization.</w:t>
      </w:r>
      <w:r>
        <w:rPr>
          <w:rStyle w:val="FootnoteReference"/>
          <w:szCs w:val="22"/>
        </w:rPr>
        <w:footnoteReference w:id="5"/>
      </w:r>
    </w:p>
    <w:p w:rsidR="00267049" w:rsidP="00267049" w14:paraId="61FC7F1F" w14:textId="77777777">
      <w:pPr>
        <w:pStyle w:val="ParaNum"/>
      </w:pPr>
      <w:r w:rsidRPr="00D84548">
        <w:t xml:space="preserve">Accordingly, </w:t>
      </w:r>
      <w:r w:rsidRPr="00D84548">
        <w:rPr>
          <w:b/>
        </w:rPr>
        <w:t xml:space="preserve">IT IS ORDERED </w:t>
      </w:r>
      <w:r w:rsidRPr="00D84548">
        <w:t xml:space="preserve">that, pursuant to </w:t>
      </w:r>
      <w:r>
        <w:t>s</w:t>
      </w:r>
      <w:r w:rsidRPr="00D84548">
        <w:t>ection 4(i</w:t>
      </w:r>
      <w:r>
        <w:t xml:space="preserve">) </w:t>
      </w:r>
      <w:r w:rsidRPr="00D84548">
        <w:t>of the Act</w:t>
      </w:r>
      <w:r>
        <w:rPr>
          <w:rStyle w:val="FootnoteReference"/>
          <w:szCs w:val="22"/>
        </w:rPr>
        <w:footnoteReference w:id="6"/>
      </w:r>
      <w:r w:rsidRPr="00D84548">
        <w:t xml:space="preserve"> and the authority delegated by </w:t>
      </w:r>
      <w:r>
        <w:t>s</w:t>
      </w:r>
      <w:r w:rsidRPr="00D84548">
        <w:t xml:space="preserve">ections 0.111 and 0.311 of the </w:t>
      </w:r>
      <w:r>
        <w:t>Commission’s r</w:t>
      </w:r>
      <w:r w:rsidRPr="00D84548">
        <w:t>ules,</w:t>
      </w:r>
      <w:r>
        <w:rPr>
          <w:rStyle w:val="FootnoteReference"/>
          <w:szCs w:val="22"/>
        </w:rPr>
        <w:footnoteReference w:id="7"/>
      </w:r>
      <w:r w:rsidRPr="00D84548">
        <w:t xml:space="preserve"> the attached Consent Decree </w:t>
      </w:r>
      <w:r w:rsidRPr="00D84548">
        <w:rPr>
          <w:b/>
        </w:rPr>
        <w:t xml:space="preserve">IS ADOPTED </w:t>
      </w:r>
      <w:r w:rsidRPr="00D84548">
        <w:t>and its terms incorporated by reference.</w:t>
      </w:r>
    </w:p>
    <w:p w:rsidR="00267049" w:rsidP="00D35CE7" w14:paraId="2EA5AA1F" w14:textId="77777777">
      <w:pPr>
        <w:pStyle w:val="ParaNum"/>
        <w:widowControl/>
      </w:pPr>
      <w:r w:rsidRPr="004A147B">
        <w:rPr>
          <w:b/>
        </w:rPr>
        <w:t>IT IS FURTHER ORDERED</w:t>
      </w:r>
      <w:r w:rsidRPr="004A147B">
        <w:t xml:space="preserve"> that the above-captioned matter </w:t>
      </w:r>
      <w:r w:rsidRPr="004A147B">
        <w:rPr>
          <w:b/>
        </w:rPr>
        <w:t>IS TERMINATED</w:t>
      </w:r>
      <w:r w:rsidRPr="004A147B">
        <w:t xml:space="preserve">.  </w:t>
      </w:r>
    </w:p>
    <w:p w:rsidR="00267049" w:rsidP="00267049" w14:paraId="247C2348" w14:textId="77777777">
      <w:pPr>
        <w:pStyle w:val="ParaNum"/>
        <w:numPr>
          <w:ilvl w:val="0"/>
          <w:numId w:val="0"/>
        </w:numPr>
      </w:pPr>
    </w:p>
    <w:p w:rsidR="00267049" w:rsidRPr="00015200" w:rsidP="00267049" w14:paraId="49624797" w14:textId="20B3A69D">
      <w:pPr>
        <w:pStyle w:val="ParaNum"/>
      </w:pPr>
      <w:r w:rsidRPr="00D84548">
        <w:rPr>
          <w:b/>
        </w:rPr>
        <w:t>IT IS FURTHER ORDERED</w:t>
      </w:r>
      <w:r w:rsidRPr="00D84548">
        <w:t xml:space="preserve"> that a copy of this Order and Consent Decree </w:t>
      </w:r>
      <w:r w:rsidRPr="008B0E5F">
        <w:t xml:space="preserve">shall be </w:t>
      </w:r>
      <w:bookmarkStart w:id="1" w:name="_Hlk36115189"/>
      <w:r w:rsidR="00BE7EE5">
        <w:t xml:space="preserve">served via e-mail </w:t>
      </w:r>
      <w:r w:rsidR="004077B0">
        <w:t>to Bennett Ross, counsel for</w:t>
      </w:r>
      <w:r w:rsidR="00BE7EE5">
        <w:t xml:space="preserve"> </w:t>
      </w:r>
      <w:bookmarkEnd w:id="1"/>
      <w:r>
        <w:t xml:space="preserve">Missouri Network Alliance, LLC, </w:t>
      </w:r>
      <w:r w:rsidR="00BE7EE5">
        <w:t xml:space="preserve">at </w:t>
      </w:r>
      <w:hyperlink r:id="rId5" w:history="1">
        <w:r w:rsidRPr="003F3346" w:rsidR="00BE7EE5">
          <w:rPr>
            <w:rStyle w:val="Hyperlink"/>
          </w:rPr>
          <w:t>bross@wiley.law</w:t>
        </w:r>
      </w:hyperlink>
      <w:r>
        <w:t xml:space="preserve">. </w:t>
      </w:r>
    </w:p>
    <w:p w:rsidR="00267049" w:rsidP="00267049" w14:paraId="5A613BCD" w14:textId="77777777">
      <w:pPr>
        <w:pStyle w:val="ParaNum"/>
        <w:keepNext/>
        <w:keepLines/>
        <w:widowControl/>
        <w:numPr>
          <w:ilvl w:val="0"/>
          <w:numId w:val="0"/>
        </w:numPr>
        <w:tabs>
          <w:tab w:val="left" w:pos="1440"/>
        </w:tabs>
        <w:spacing w:after="240"/>
        <w:rPr>
          <w:b/>
        </w:rPr>
      </w:pPr>
    </w:p>
    <w:p w:rsidR="00267049" w:rsidRPr="00A10C05" w:rsidP="00267049" w14:paraId="5F402068" w14:textId="77777777">
      <w:pPr>
        <w:keepNext/>
        <w:keepLines/>
        <w:widowControl/>
        <w:outlineLvl w:val="0"/>
        <w:rPr>
          <w:szCs w:val="22"/>
        </w:rPr>
      </w:pPr>
      <w:r w:rsidRPr="00A10C05">
        <w:rPr>
          <w:szCs w:val="22"/>
        </w:rPr>
        <w:tab/>
      </w:r>
      <w:r w:rsidRPr="00A10C05">
        <w:rPr>
          <w:szCs w:val="22"/>
        </w:rPr>
        <w:tab/>
      </w:r>
      <w:r w:rsidRPr="00A10C05">
        <w:rPr>
          <w:szCs w:val="22"/>
        </w:rPr>
        <w:tab/>
      </w:r>
      <w:r w:rsidRPr="00A10C05">
        <w:rPr>
          <w:szCs w:val="22"/>
        </w:rPr>
        <w:tab/>
      </w:r>
      <w:r w:rsidRPr="00A10C05">
        <w:rPr>
          <w:szCs w:val="22"/>
        </w:rPr>
        <w:tab/>
        <w:t>FEDERAL COMMUNICATIONS COMMISSION</w:t>
      </w:r>
    </w:p>
    <w:p w:rsidR="00267049" w:rsidRPr="00A10C05" w:rsidP="00267049" w14:paraId="3A281611" w14:textId="77777777">
      <w:pPr>
        <w:keepNext/>
        <w:keepLines/>
        <w:widowControl/>
        <w:rPr>
          <w:szCs w:val="22"/>
        </w:rPr>
      </w:pPr>
    </w:p>
    <w:p w:rsidR="00267049" w:rsidRPr="00A10C05" w:rsidP="00267049" w14:paraId="2EE34D50" w14:textId="77777777">
      <w:pPr>
        <w:keepNext/>
        <w:keepLines/>
        <w:widowControl/>
        <w:rPr>
          <w:szCs w:val="22"/>
        </w:rPr>
      </w:pPr>
    </w:p>
    <w:p w:rsidR="00267049" w:rsidRPr="00A10C05" w:rsidP="00267049" w14:paraId="6119C64F" w14:textId="77777777">
      <w:pPr>
        <w:keepNext/>
        <w:keepLines/>
        <w:widowControl/>
        <w:rPr>
          <w:szCs w:val="22"/>
        </w:rPr>
      </w:pPr>
    </w:p>
    <w:p w:rsidR="00267049" w:rsidRPr="00A10C05" w:rsidP="00267049" w14:paraId="34D9B325" w14:textId="77777777">
      <w:pPr>
        <w:keepNext/>
        <w:keepLines/>
        <w:widowControl/>
        <w:outlineLvl w:val="0"/>
        <w:rPr>
          <w:szCs w:val="22"/>
        </w:rPr>
      </w:pPr>
    </w:p>
    <w:p w:rsidR="00267049" w:rsidRPr="00A10C05" w:rsidP="00267049" w14:paraId="1EBA623E" w14:textId="77777777">
      <w:pPr>
        <w:keepNext/>
        <w:keepLines/>
        <w:widowControl/>
        <w:outlineLvl w:val="0"/>
        <w:rPr>
          <w:szCs w:val="22"/>
        </w:rPr>
      </w:pPr>
      <w:r w:rsidRPr="00A10C05">
        <w:rPr>
          <w:szCs w:val="22"/>
        </w:rPr>
        <w:tab/>
      </w:r>
      <w:r w:rsidRPr="00A10C05">
        <w:rPr>
          <w:szCs w:val="22"/>
        </w:rPr>
        <w:tab/>
      </w:r>
      <w:r w:rsidRPr="00A10C05">
        <w:rPr>
          <w:szCs w:val="22"/>
        </w:rPr>
        <w:tab/>
      </w:r>
      <w:r w:rsidRPr="00A10C05">
        <w:rPr>
          <w:szCs w:val="22"/>
        </w:rPr>
        <w:tab/>
      </w:r>
      <w:r w:rsidRPr="00A10C05">
        <w:rPr>
          <w:szCs w:val="22"/>
        </w:rPr>
        <w:tab/>
        <w:t xml:space="preserve">Rosemary C. Harold </w:t>
      </w:r>
    </w:p>
    <w:p w:rsidR="00267049" w:rsidRPr="00BB180C" w:rsidP="00267049" w14:paraId="6F57A928" w14:textId="77777777">
      <w:pPr>
        <w:keepNext/>
        <w:keepLines/>
        <w:widowControl/>
        <w:outlineLvl w:val="0"/>
        <w:rPr>
          <w:szCs w:val="22"/>
        </w:rPr>
      </w:pPr>
      <w:r w:rsidRPr="00A10C05">
        <w:rPr>
          <w:szCs w:val="22"/>
        </w:rPr>
        <w:tab/>
      </w:r>
      <w:r w:rsidRPr="00A10C05">
        <w:rPr>
          <w:szCs w:val="22"/>
        </w:rPr>
        <w:tab/>
      </w:r>
      <w:r w:rsidRPr="00A10C05">
        <w:rPr>
          <w:szCs w:val="22"/>
        </w:rPr>
        <w:tab/>
      </w:r>
      <w:r w:rsidRPr="00A10C05">
        <w:rPr>
          <w:szCs w:val="22"/>
        </w:rPr>
        <w:tab/>
      </w:r>
      <w:r w:rsidRPr="00A10C05">
        <w:rPr>
          <w:szCs w:val="22"/>
        </w:rPr>
        <w:tab/>
      </w:r>
      <w:r w:rsidRPr="00BB180C">
        <w:rPr>
          <w:szCs w:val="22"/>
        </w:rPr>
        <w:t xml:space="preserve">Chief </w:t>
      </w:r>
    </w:p>
    <w:p w:rsidR="00267049" w:rsidP="00267049" w14:paraId="11014C0F" w14:textId="2452D834">
      <w:pPr>
        <w:keepNext/>
        <w:keepLines/>
        <w:widowControl/>
        <w:ind w:left="2880" w:firstLine="720"/>
        <w:outlineLvl w:val="0"/>
        <w:rPr>
          <w:szCs w:val="22"/>
        </w:rPr>
      </w:pPr>
      <w:r w:rsidRPr="00BB180C">
        <w:rPr>
          <w:szCs w:val="22"/>
        </w:rPr>
        <w:t>Enforcement Bureau</w:t>
      </w:r>
    </w:p>
    <w:p w:rsidR="00267049" w:rsidP="00267049" w14:paraId="3E7CC61A" w14:textId="77777777">
      <w:pPr>
        <w:keepNext/>
        <w:keepLines/>
        <w:widowControl/>
        <w:ind w:left="2880" w:firstLine="720"/>
        <w:outlineLvl w:val="0"/>
        <w:rPr>
          <w:szCs w:val="22"/>
        </w:rPr>
        <w:sectPr w:rsidSect="0055614C">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2240" w:h="15840"/>
          <w:pgMar w:top="1440" w:right="1440" w:bottom="720" w:left="1440" w:header="720" w:footer="720" w:gutter="0"/>
          <w:pgNumType w:start="1"/>
          <w:cols w:space="720"/>
          <w:noEndnote/>
          <w:titlePg/>
        </w:sectPr>
      </w:pPr>
    </w:p>
    <w:p w:rsidR="00823B51" w:rsidRPr="00843A5F" w:rsidP="00823B51" w14:paraId="7B0E0F56" w14:textId="77777777">
      <w:pPr>
        <w:widowControl/>
        <w:jc w:val="center"/>
        <w:rPr>
          <w:b/>
        </w:rPr>
      </w:pPr>
      <w:r w:rsidRPr="00843A5F">
        <w:rPr>
          <w:rFonts w:ascii="Times New Roman Bold" w:hAnsi="Times New Roman Bold"/>
          <w:b/>
        </w:rPr>
        <w:t>Before</w:t>
      </w:r>
      <w:r w:rsidRPr="00843A5F">
        <w:rPr>
          <w:b/>
        </w:rPr>
        <w:t xml:space="preserve"> the</w:t>
      </w:r>
    </w:p>
    <w:p w:rsidR="00823B51" w:rsidRPr="00843A5F" w:rsidP="00823B51" w14:paraId="656F486E" w14:textId="77777777">
      <w:pPr>
        <w:pStyle w:val="StyleBoldCentered"/>
        <w:widowControl/>
      </w:pPr>
      <w:r w:rsidRPr="00843A5F">
        <w:t>F</w:t>
      </w:r>
      <w:r w:rsidRPr="00843A5F">
        <w:rPr>
          <w:caps w:val="0"/>
        </w:rPr>
        <w:t>ederal Communications Commission</w:t>
      </w:r>
    </w:p>
    <w:p w:rsidR="00823B51" w:rsidRPr="00843A5F" w:rsidP="00823B51" w14:paraId="793A9D44" w14:textId="77777777">
      <w:pPr>
        <w:pStyle w:val="StyleBoldCentered"/>
        <w:widowControl/>
      </w:pPr>
      <w:r w:rsidRPr="00843A5F">
        <w:rPr>
          <w:caps w:val="0"/>
        </w:rPr>
        <w:t>Washington, DC 20554</w:t>
      </w:r>
    </w:p>
    <w:p w:rsidR="00823B51" w:rsidRPr="00843A5F" w:rsidP="00823B51" w14:paraId="58B03CD4" w14:textId="77777777">
      <w:pPr>
        <w:widowControl/>
      </w:pPr>
    </w:p>
    <w:tbl>
      <w:tblPr>
        <w:tblW w:w="9576" w:type="dxa"/>
        <w:tblLayout w:type="fixed"/>
        <w:tblLook w:val="0000"/>
      </w:tblPr>
      <w:tblGrid>
        <w:gridCol w:w="4698"/>
        <w:gridCol w:w="630"/>
        <w:gridCol w:w="4248"/>
      </w:tblGrid>
      <w:tr w14:paraId="5431328D" w14:textId="77777777" w:rsidTr="007F565C">
        <w:tblPrEx>
          <w:tblW w:w="9576" w:type="dxa"/>
          <w:tblLayout w:type="fixed"/>
          <w:tblLook w:val="0000"/>
        </w:tblPrEx>
        <w:trPr>
          <w:trHeight w:val="1332"/>
        </w:trPr>
        <w:tc>
          <w:tcPr>
            <w:tcW w:w="4698" w:type="dxa"/>
          </w:tcPr>
          <w:p w:rsidR="00823B51" w:rsidRPr="006038C2" w:rsidP="007F565C" w14:paraId="7C1A660E" w14:textId="77777777">
            <w:pPr>
              <w:widowControl/>
              <w:tabs>
                <w:tab w:val="center" w:pos="4680"/>
              </w:tabs>
              <w:suppressAutoHyphens/>
              <w:rPr>
                <w:spacing w:val="-2"/>
              </w:rPr>
            </w:pPr>
            <w:r w:rsidRPr="006038C2">
              <w:rPr>
                <w:spacing w:val="-2"/>
              </w:rPr>
              <w:t>In the Matter of</w:t>
            </w:r>
          </w:p>
          <w:p w:rsidR="00823B51" w:rsidRPr="006038C2" w:rsidP="007F565C" w14:paraId="1BCA2D83" w14:textId="77777777">
            <w:pPr>
              <w:widowControl/>
              <w:tabs>
                <w:tab w:val="center" w:pos="4680"/>
              </w:tabs>
              <w:suppressAutoHyphens/>
              <w:rPr>
                <w:spacing w:val="-2"/>
              </w:rPr>
            </w:pPr>
          </w:p>
          <w:p w:rsidR="00823B51" w:rsidRPr="006038C2" w:rsidP="007F565C" w14:paraId="3640A8F9" w14:textId="2489ED14">
            <w:pPr>
              <w:widowControl/>
              <w:tabs>
                <w:tab w:val="center" w:pos="4680"/>
              </w:tabs>
              <w:suppressAutoHyphens/>
              <w:rPr>
                <w:spacing w:val="-2"/>
              </w:rPr>
            </w:pPr>
            <w:r>
              <w:rPr>
                <w:spacing w:val="-2"/>
              </w:rPr>
              <w:t>Missouri Network Alliance, LLC</w:t>
            </w:r>
          </w:p>
        </w:tc>
        <w:tc>
          <w:tcPr>
            <w:tcW w:w="630" w:type="dxa"/>
          </w:tcPr>
          <w:p w:rsidR="00823B51" w:rsidRPr="007C0B39" w:rsidP="007F565C" w14:paraId="699F1CA4" w14:textId="77777777">
            <w:pPr>
              <w:widowControl/>
              <w:tabs>
                <w:tab w:val="center" w:pos="4680"/>
              </w:tabs>
              <w:suppressAutoHyphens/>
              <w:rPr>
                <w:b/>
                <w:spacing w:val="-2"/>
              </w:rPr>
            </w:pPr>
            <w:r w:rsidRPr="007C0B39">
              <w:rPr>
                <w:b/>
                <w:spacing w:val="-2"/>
              </w:rPr>
              <w:t>)</w:t>
            </w:r>
          </w:p>
          <w:p w:rsidR="00823B51" w:rsidRPr="007C0B39" w:rsidP="007F565C" w14:paraId="181AA4A9" w14:textId="77777777">
            <w:pPr>
              <w:widowControl/>
              <w:tabs>
                <w:tab w:val="center" w:pos="4680"/>
              </w:tabs>
              <w:suppressAutoHyphens/>
              <w:rPr>
                <w:b/>
                <w:spacing w:val="-2"/>
              </w:rPr>
            </w:pPr>
            <w:r w:rsidRPr="007C0B39">
              <w:rPr>
                <w:b/>
                <w:spacing w:val="-2"/>
              </w:rPr>
              <w:t>)</w:t>
            </w:r>
          </w:p>
          <w:p w:rsidR="00823B51" w:rsidRPr="007C0B39" w:rsidP="007F565C" w14:paraId="512B9C25" w14:textId="77777777">
            <w:pPr>
              <w:widowControl/>
              <w:tabs>
                <w:tab w:val="center" w:pos="4680"/>
              </w:tabs>
              <w:suppressAutoHyphens/>
              <w:rPr>
                <w:b/>
                <w:spacing w:val="-2"/>
              </w:rPr>
            </w:pPr>
            <w:r w:rsidRPr="007C0B39">
              <w:rPr>
                <w:b/>
                <w:spacing w:val="-2"/>
              </w:rPr>
              <w:t>)</w:t>
            </w:r>
          </w:p>
          <w:p w:rsidR="00823B51" w:rsidRPr="007C0B39" w:rsidP="007F565C" w14:paraId="11120C7D" w14:textId="77777777">
            <w:pPr>
              <w:widowControl/>
              <w:tabs>
                <w:tab w:val="center" w:pos="4680"/>
              </w:tabs>
              <w:suppressAutoHyphens/>
              <w:rPr>
                <w:b/>
                <w:spacing w:val="-2"/>
              </w:rPr>
            </w:pPr>
            <w:r w:rsidRPr="007C0B39">
              <w:rPr>
                <w:b/>
                <w:spacing w:val="-2"/>
              </w:rPr>
              <w:t>)</w:t>
            </w:r>
          </w:p>
          <w:p w:rsidR="00823B51" w:rsidP="007F565C" w14:paraId="7C75D11A" w14:textId="4C4A088A">
            <w:pPr>
              <w:widowControl/>
              <w:tabs>
                <w:tab w:val="center" w:pos="4680"/>
              </w:tabs>
              <w:suppressAutoHyphens/>
              <w:rPr>
                <w:b/>
                <w:spacing w:val="-2"/>
              </w:rPr>
            </w:pPr>
            <w:r w:rsidRPr="007C0B39">
              <w:rPr>
                <w:b/>
                <w:spacing w:val="-2"/>
              </w:rPr>
              <w:t>)</w:t>
            </w:r>
          </w:p>
          <w:p w:rsidR="004E64C2" w:rsidP="007F565C" w14:paraId="4F366C99" w14:textId="5C2D0C60">
            <w:pPr>
              <w:widowControl/>
              <w:tabs>
                <w:tab w:val="center" w:pos="4680"/>
              </w:tabs>
              <w:suppressAutoHyphens/>
              <w:rPr>
                <w:b/>
                <w:spacing w:val="-2"/>
              </w:rPr>
            </w:pPr>
            <w:r>
              <w:rPr>
                <w:b/>
                <w:spacing w:val="-2"/>
              </w:rPr>
              <w:t>)</w:t>
            </w:r>
          </w:p>
          <w:p w:rsidR="004E64C2" w:rsidP="007F565C" w14:paraId="4740B7BC" w14:textId="1311B95A">
            <w:pPr>
              <w:widowControl/>
              <w:tabs>
                <w:tab w:val="center" w:pos="4680"/>
              </w:tabs>
              <w:suppressAutoHyphens/>
              <w:rPr>
                <w:b/>
                <w:spacing w:val="-2"/>
              </w:rPr>
            </w:pPr>
            <w:r>
              <w:rPr>
                <w:b/>
                <w:spacing w:val="-2"/>
              </w:rPr>
              <w:t>)</w:t>
            </w:r>
          </w:p>
          <w:p w:rsidR="000B17E0" w:rsidRPr="007C0B39" w:rsidP="007F565C" w14:paraId="2A0077FB" w14:textId="6F079A31">
            <w:pPr>
              <w:widowControl/>
              <w:tabs>
                <w:tab w:val="center" w:pos="4680"/>
              </w:tabs>
              <w:suppressAutoHyphens/>
              <w:rPr>
                <w:b/>
                <w:spacing w:val="-2"/>
              </w:rPr>
            </w:pPr>
            <w:r>
              <w:rPr>
                <w:b/>
                <w:spacing w:val="-2"/>
              </w:rPr>
              <w:t>)</w:t>
            </w:r>
          </w:p>
          <w:p w:rsidR="00823B51" w:rsidRPr="007C0B39" w:rsidP="007F565C" w14:paraId="4EE3CD67" w14:textId="77777777">
            <w:pPr>
              <w:widowControl/>
              <w:tabs>
                <w:tab w:val="center" w:pos="4680"/>
              </w:tabs>
              <w:suppressAutoHyphens/>
              <w:rPr>
                <w:spacing w:val="-2"/>
              </w:rPr>
            </w:pPr>
          </w:p>
        </w:tc>
        <w:tc>
          <w:tcPr>
            <w:tcW w:w="4248" w:type="dxa"/>
          </w:tcPr>
          <w:p w:rsidR="00823B51" w:rsidP="007F565C" w14:paraId="144BC51B" w14:textId="77777777">
            <w:pPr>
              <w:widowControl/>
              <w:tabs>
                <w:tab w:val="center" w:pos="4680"/>
              </w:tabs>
              <w:suppressAutoHyphens/>
              <w:ind w:left="432"/>
              <w:rPr>
                <w:spacing w:val="-2"/>
              </w:rPr>
            </w:pPr>
          </w:p>
          <w:p w:rsidR="00823B51" w:rsidP="007F565C" w14:paraId="39D56ABC" w14:textId="77777777">
            <w:pPr>
              <w:widowControl/>
              <w:tabs>
                <w:tab w:val="center" w:pos="4680"/>
              </w:tabs>
              <w:suppressAutoHyphens/>
              <w:ind w:left="432"/>
              <w:rPr>
                <w:spacing w:val="-2"/>
              </w:rPr>
            </w:pPr>
          </w:p>
          <w:p w:rsidR="00823B51" w:rsidRPr="00864CFF" w:rsidP="007F565C" w14:paraId="4D408BC4" w14:textId="77777777">
            <w:pPr>
              <w:widowControl/>
              <w:tabs>
                <w:tab w:val="center" w:pos="4680"/>
              </w:tabs>
              <w:suppressAutoHyphens/>
              <w:ind w:left="432"/>
              <w:rPr>
                <w:spacing w:val="-2"/>
              </w:rPr>
            </w:pPr>
            <w:r w:rsidRPr="00864CFF">
              <w:rPr>
                <w:spacing w:val="-2"/>
              </w:rPr>
              <w:t>File No.: EB-IHD-19-00029224</w:t>
            </w:r>
          </w:p>
          <w:p w:rsidR="00823B51" w:rsidRPr="00864CFF" w:rsidP="007F565C" w14:paraId="1FEC8DBE" w14:textId="4254ACAA">
            <w:pPr>
              <w:widowControl/>
              <w:tabs>
                <w:tab w:val="center" w:pos="4680"/>
              </w:tabs>
              <w:suppressAutoHyphens/>
              <w:ind w:left="432"/>
              <w:rPr>
                <w:spacing w:val="-2"/>
              </w:rPr>
            </w:pPr>
            <w:r w:rsidRPr="007A44F3">
              <w:rPr>
                <w:spacing w:val="-2"/>
              </w:rPr>
              <w:t xml:space="preserve">Acct. No.: </w:t>
            </w:r>
            <w:r w:rsidRPr="00864CFF" w:rsidR="00864CFF">
              <w:rPr>
                <w:spacing w:val="-2"/>
              </w:rPr>
              <w:t>202032080020</w:t>
            </w:r>
          </w:p>
          <w:p w:rsidR="00823B51" w:rsidRPr="007C0B39" w:rsidP="007F565C" w14:paraId="42766C9A" w14:textId="5A58D4BB">
            <w:pPr>
              <w:widowControl/>
              <w:tabs>
                <w:tab w:val="center" w:pos="4680"/>
              </w:tabs>
              <w:suppressAutoHyphens/>
              <w:ind w:left="432"/>
              <w:rPr>
                <w:spacing w:val="-2"/>
              </w:rPr>
            </w:pPr>
            <w:r w:rsidRPr="00864CFF">
              <w:rPr>
                <w:spacing w:val="-2"/>
              </w:rPr>
              <w:t xml:space="preserve">FRN: </w:t>
            </w:r>
            <w:r w:rsidRPr="00864CFF" w:rsidR="00E632D9">
              <w:rPr>
                <w:spacing w:val="-2"/>
              </w:rPr>
              <w:t>0015540669</w:t>
            </w:r>
          </w:p>
        </w:tc>
      </w:tr>
    </w:tbl>
    <w:p w:rsidR="00823B51" w:rsidP="00823B51" w14:paraId="7E6D268F" w14:textId="6093F352">
      <w:pPr>
        <w:pStyle w:val="StyleBoldCentered"/>
        <w:widowControl/>
      </w:pPr>
      <w:r w:rsidRPr="007C0B39">
        <w:t>CONSENT DECREE</w:t>
      </w:r>
    </w:p>
    <w:p w:rsidR="00A53CDE" w:rsidRPr="007C0B39" w:rsidP="00823B51" w14:paraId="26EA865A" w14:textId="77777777">
      <w:pPr>
        <w:pStyle w:val="StyleBoldCentered"/>
        <w:widowControl/>
      </w:pPr>
    </w:p>
    <w:p w:rsidR="004E64C2" w:rsidRPr="004E64C2" w:rsidP="004E64C2" w14:paraId="0A0223D1" w14:textId="103C8B80">
      <w:pPr>
        <w:pStyle w:val="ParaNum"/>
        <w:numPr>
          <w:ilvl w:val="0"/>
          <w:numId w:val="8"/>
        </w:numPr>
        <w:tabs>
          <w:tab w:val="clear" w:pos="1080"/>
          <w:tab w:val="num" w:pos="1440"/>
        </w:tabs>
        <w:rPr>
          <w:szCs w:val="22"/>
        </w:rPr>
      </w:pPr>
      <w:r>
        <w:t>T</w:t>
      </w:r>
      <w:r w:rsidRPr="007C0B39" w:rsidR="00823B51">
        <w:t xml:space="preserve">he Enforcement Bureau of the Federal Communications Commission </w:t>
      </w:r>
      <w:r w:rsidRPr="00983BF8" w:rsidR="00823B51">
        <w:t xml:space="preserve">and </w:t>
      </w:r>
      <w:r w:rsidR="00942A53">
        <w:t>Missouri Network Alliance, LLC (MNA)</w:t>
      </w:r>
      <w:r w:rsidR="00942A53">
        <w:rPr>
          <w:szCs w:val="22"/>
        </w:rPr>
        <w:t>,</w:t>
      </w:r>
      <w:r w:rsidRPr="00983BF8" w:rsidR="00823B51">
        <w:t xml:space="preserve"> by their authorized representatives, hereby enter into this Consent Decree for the purpose of terminating the Enforcement Bureau’s </w:t>
      </w:r>
      <w:r w:rsidR="00942A53">
        <w:t>I</w:t>
      </w:r>
      <w:r w:rsidRPr="00983BF8" w:rsidR="00942A53">
        <w:t>nvestigation</w:t>
      </w:r>
      <w:r w:rsidRPr="00983BF8" w:rsidR="00823B51">
        <w:t xml:space="preserve">, as defined below, into whether </w:t>
      </w:r>
      <w:r w:rsidRPr="00983BF8" w:rsidR="00B64CD5">
        <w:t xml:space="preserve">MNA </w:t>
      </w:r>
      <w:r w:rsidRPr="00983BF8" w:rsidR="00823B51">
        <w:t xml:space="preserve">violated </w:t>
      </w:r>
      <w:r w:rsidR="00012352">
        <w:t>s</w:t>
      </w:r>
      <w:r w:rsidRPr="00983BF8" w:rsidR="00012352">
        <w:rPr>
          <w:szCs w:val="22"/>
        </w:rPr>
        <w:t xml:space="preserve">ection </w:t>
      </w:r>
      <w:r w:rsidRPr="00983BF8" w:rsidR="00823B51">
        <w:rPr>
          <w:szCs w:val="22"/>
        </w:rPr>
        <w:t>214 of the Communications Act of 1934, as amended,</w:t>
      </w:r>
      <w:r>
        <w:rPr>
          <w:rStyle w:val="FootnoteReference"/>
        </w:rPr>
        <w:footnoteReference w:id="8"/>
      </w:r>
      <w:r w:rsidRPr="00983BF8" w:rsidR="00823B51">
        <w:rPr>
          <w:szCs w:val="22"/>
        </w:rPr>
        <w:t xml:space="preserve"> and </w:t>
      </w:r>
      <w:r w:rsidR="0060751E">
        <w:rPr>
          <w:szCs w:val="22"/>
        </w:rPr>
        <w:t>s</w:t>
      </w:r>
      <w:r w:rsidRPr="00983BF8" w:rsidR="00823B51">
        <w:rPr>
          <w:szCs w:val="22"/>
        </w:rPr>
        <w:t>ections 63.03</w:t>
      </w:r>
      <w:r w:rsidRPr="00983BF8" w:rsidR="00206E95">
        <w:rPr>
          <w:szCs w:val="22"/>
        </w:rPr>
        <w:t xml:space="preserve"> and</w:t>
      </w:r>
      <w:r w:rsidRPr="00983BF8" w:rsidR="00823B51">
        <w:rPr>
          <w:szCs w:val="22"/>
        </w:rPr>
        <w:t xml:space="preserve"> 63.04 of the Commission’s rules,</w:t>
      </w:r>
      <w:r>
        <w:rPr>
          <w:rStyle w:val="FootnoteReference"/>
        </w:rPr>
        <w:footnoteReference w:id="9"/>
      </w:r>
      <w:r w:rsidRPr="00983BF8" w:rsidR="00823B51">
        <w:rPr>
          <w:szCs w:val="22"/>
        </w:rPr>
        <w:t xml:space="preserve"> related to the sale of assets to </w:t>
      </w:r>
      <w:r w:rsidRPr="00983BF8" w:rsidR="00B64CD5">
        <w:rPr>
          <w:szCs w:val="22"/>
        </w:rPr>
        <w:t xml:space="preserve">Bluebird Media, LLC (Bluebird) </w:t>
      </w:r>
      <w:r w:rsidRPr="00983BF8" w:rsidR="00823B51">
        <w:rPr>
          <w:szCs w:val="22"/>
        </w:rPr>
        <w:t>prior to</w:t>
      </w:r>
      <w:r w:rsidRPr="00823B51" w:rsidR="00823B51">
        <w:rPr>
          <w:szCs w:val="22"/>
        </w:rPr>
        <w:t xml:space="preserve"> receiving approval from the Commission’s Wireline Competition </w:t>
      </w:r>
      <w:r w:rsidR="00B64CD5">
        <w:rPr>
          <w:szCs w:val="22"/>
        </w:rPr>
        <w:t>Bureau</w:t>
      </w:r>
      <w:r w:rsidR="004D48AD">
        <w:rPr>
          <w:szCs w:val="22"/>
        </w:rPr>
        <w:t>.</w:t>
      </w:r>
      <w:r w:rsidR="00033778">
        <w:rPr>
          <w:szCs w:val="22"/>
        </w:rPr>
        <w:t xml:space="preserve"> </w:t>
      </w:r>
      <w:r w:rsidR="00F37361">
        <w:rPr>
          <w:szCs w:val="22"/>
        </w:rPr>
        <w:t xml:space="preserve"> </w:t>
      </w:r>
      <w:r w:rsidR="00F00D57">
        <w:rPr>
          <w:szCs w:val="22"/>
        </w:rPr>
        <w:t>This action will send a message to the industry that the Commission takes its role in reviewing regulate</w:t>
      </w:r>
      <w:r w:rsidR="007F6DF4">
        <w:rPr>
          <w:szCs w:val="22"/>
        </w:rPr>
        <w:t>e</w:t>
      </w:r>
      <w:r w:rsidR="00F00D57">
        <w:rPr>
          <w:szCs w:val="22"/>
        </w:rPr>
        <w:t xml:space="preserve"> transactions seriously and remains vigilant of transactions that do not comply with these rules. </w:t>
      </w:r>
    </w:p>
    <w:p w:rsidR="00B64CD5" w:rsidRPr="007C0B39" w:rsidP="00B64CD5" w14:paraId="0EABF51F" w14:textId="77777777">
      <w:pPr>
        <w:pStyle w:val="Heading1"/>
        <w:widowControl/>
      </w:pPr>
      <w:r w:rsidRPr="007C0B39">
        <w:t>DEFINITIONS</w:t>
      </w:r>
    </w:p>
    <w:p w:rsidR="00B64CD5" w:rsidRPr="006038C2" w:rsidP="00B64CD5" w14:paraId="75E751CB" w14:textId="77777777">
      <w:pPr>
        <w:pStyle w:val="ParaNum"/>
        <w:widowControl/>
      </w:pPr>
      <w:r w:rsidRPr="006038C2">
        <w:t>For the purposes of this Consent Decree, the following definitions shall apply:</w:t>
      </w:r>
    </w:p>
    <w:p w:rsidR="00B64CD5" w:rsidRPr="006038C2" w:rsidP="00B64CD5" w14:paraId="4639C70A" w14:textId="77777777">
      <w:pPr>
        <w:widowControl/>
        <w:numPr>
          <w:ilvl w:val="0"/>
          <w:numId w:val="9"/>
        </w:numPr>
        <w:tabs>
          <w:tab w:val="clear" w:pos="1224"/>
        </w:tabs>
        <w:spacing w:after="120"/>
        <w:ind w:left="1890"/>
      </w:pPr>
      <w:r w:rsidRPr="006038C2">
        <w:t>“Act”</w:t>
      </w:r>
      <w:r w:rsidRPr="008B0E5F">
        <w:rPr>
          <w:rStyle w:val="ParaNumChar"/>
        </w:rPr>
        <w:t xml:space="preserve"> </w:t>
      </w:r>
      <w:r w:rsidRPr="006038C2">
        <w:t>means the Communications Act of 1934, as amended.</w:t>
      </w:r>
      <w:r>
        <w:rPr>
          <w:rStyle w:val="FootnoteReference"/>
        </w:rPr>
        <w:footnoteReference w:id="10"/>
      </w:r>
    </w:p>
    <w:p w:rsidR="00B64CD5" w:rsidRPr="006038C2" w:rsidP="00B64CD5" w14:paraId="3195B2DC" w14:textId="77777777">
      <w:pPr>
        <w:widowControl/>
        <w:numPr>
          <w:ilvl w:val="0"/>
          <w:numId w:val="9"/>
        </w:numPr>
        <w:tabs>
          <w:tab w:val="clear" w:pos="1224"/>
        </w:tabs>
        <w:spacing w:after="120"/>
        <w:ind w:left="1890"/>
      </w:pPr>
      <w:r w:rsidRPr="006038C2">
        <w:t>“Adopting Order” means an order of the Bureau adopting the terms of this Consent Decree without change, addition, deletion, or modification.</w:t>
      </w:r>
    </w:p>
    <w:p w:rsidR="00056450" w:rsidP="00056450" w14:paraId="010008F6" w14:textId="77777777">
      <w:pPr>
        <w:widowControl/>
        <w:numPr>
          <w:ilvl w:val="0"/>
          <w:numId w:val="9"/>
        </w:numPr>
        <w:tabs>
          <w:tab w:val="clear" w:pos="1224"/>
        </w:tabs>
        <w:spacing w:after="120"/>
        <w:ind w:left="1890"/>
      </w:pPr>
      <w:r w:rsidRPr="006038C2">
        <w:t>“</w:t>
      </w:r>
      <w:r>
        <w:t>Bluebird</w:t>
      </w:r>
      <w:r w:rsidRPr="006038C2">
        <w:t xml:space="preserve">” means </w:t>
      </w:r>
      <w:r>
        <w:t>Bluebird Media, LLC an</w:t>
      </w:r>
      <w:r w:rsidRPr="006038C2">
        <w:t>d its affiliates, subsidiaries, predecessors-in-interest, and successors-in-interest.</w:t>
      </w:r>
    </w:p>
    <w:p w:rsidR="00B64CD5" w:rsidRPr="006038C2" w:rsidP="00056450" w14:paraId="56FB6ECC" w14:textId="722654DC">
      <w:pPr>
        <w:widowControl/>
        <w:numPr>
          <w:ilvl w:val="0"/>
          <w:numId w:val="9"/>
        </w:numPr>
        <w:tabs>
          <w:tab w:val="clear" w:pos="1224"/>
        </w:tabs>
        <w:spacing w:after="120"/>
        <w:ind w:left="1890"/>
      </w:pPr>
      <w:r w:rsidRPr="006038C2">
        <w:t>“Bureau” means the Enforcement Bureau of the Federal Communications Commission.</w:t>
      </w:r>
    </w:p>
    <w:p w:rsidR="00B64CD5" w:rsidRPr="006038C2" w:rsidP="00B64CD5" w14:paraId="06D66FE4" w14:textId="346953AD">
      <w:pPr>
        <w:widowControl/>
        <w:numPr>
          <w:ilvl w:val="0"/>
          <w:numId w:val="9"/>
        </w:numPr>
        <w:tabs>
          <w:tab w:val="clear" w:pos="1224"/>
        </w:tabs>
        <w:spacing w:after="120"/>
        <w:ind w:left="1890"/>
      </w:pPr>
      <w:r w:rsidRPr="006038C2">
        <w:t>“Commission” and “FCC” mean the Federal Communications Commission and all its bureaus and offices.</w:t>
      </w:r>
    </w:p>
    <w:p w:rsidR="00B64CD5" w:rsidRPr="006038C2" w:rsidP="00B64CD5" w14:paraId="6B8F20E4" w14:textId="3DD1D3F8">
      <w:pPr>
        <w:widowControl/>
        <w:numPr>
          <w:ilvl w:val="0"/>
          <w:numId w:val="9"/>
        </w:numPr>
        <w:tabs>
          <w:tab w:val="clear" w:pos="1224"/>
        </w:tabs>
        <w:spacing w:after="120"/>
        <w:ind w:left="1890"/>
      </w:pPr>
      <w:r w:rsidRPr="006038C2">
        <w:t xml:space="preserve">“Communications Laws” means collectively, the Act, the Rules, </w:t>
      </w:r>
      <w:r w:rsidRPr="00983BF8">
        <w:t xml:space="preserve">and the published and promulgated orders and decisions of the Commission to which MNA </w:t>
      </w:r>
      <w:r>
        <w:t>is subject by virtue of its</w:t>
      </w:r>
      <w:r w:rsidRPr="006038C2">
        <w:t xml:space="preserve"> business activities, including but not limited to the Section 214 Rules.</w:t>
      </w:r>
    </w:p>
    <w:p w:rsidR="00056450" w:rsidP="00056450" w14:paraId="435E4F2D" w14:textId="11B34AFB">
      <w:pPr>
        <w:widowControl/>
        <w:numPr>
          <w:ilvl w:val="0"/>
          <w:numId w:val="9"/>
        </w:numPr>
        <w:tabs>
          <w:tab w:val="clear" w:pos="1224"/>
        </w:tabs>
        <w:spacing w:after="120"/>
        <w:ind w:left="1890"/>
      </w:pPr>
      <w:r>
        <w:t xml:space="preserve">“Company” or “MNA” means Missouri Network Alliance, LLC and its affiliates, subsidiaries, predecessors-in-interest, and successors-in-interest. </w:t>
      </w:r>
    </w:p>
    <w:p w:rsidR="000B17E0" w:rsidRPr="006038C2" w:rsidP="000B17E0" w14:paraId="2650385B" w14:textId="77777777">
      <w:pPr>
        <w:widowControl/>
        <w:spacing w:after="120"/>
      </w:pPr>
    </w:p>
    <w:p w:rsidR="00B64CD5" w:rsidRPr="008E2C6D" w:rsidP="00056450" w14:paraId="6CEDCB54" w14:textId="50F318AB">
      <w:pPr>
        <w:widowControl/>
        <w:numPr>
          <w:ilvl w:val="0"/>
          <w:numId w:val="9"/>
        </w:numPr>
        <w:tabs>
          <w:tab w:val="clear" w:pos="1224"/>
        </w:tabs>
        <w:spacing w:after="120"/>
        <w:ind w:left="1890"/>
      </w:pPr>
      <w:r w:rsidRPr="006038C2">
        <w:t xml:space="preserve">“Compliance Plan” means the </w:t>
      </w:r>
      <w:r w:rsidRPr="008E2C6D">
        <w:t>compliance obligations, program, and procedures described in this Consent Decree at paragraph 16.</w:t>
      </w:r>
    </w:p>
    <w:p w:rsidR="00B64CD5" w:rsidRPr="006038C2" w:rsidP="00B64CD5" w14:paraId="799E4322" w14:textId="4767AF1A">
      <w:pPr>
        <w:widowControl/>
        <w:numPr>
          <w:ilvl w:val="0"/>
          <w:numId w:val="9"/>
        </w:numPr>
        <w:tabs>
          <w:tab w:val="clear" w:pos="1224"/>
        </w:tabs>
        <w:spacing w:after="120"/>
        <w:ind w:left="1890"/>
      </w:pPr>
      <w:r w:rsidRPr="008E2C6D">
        <w:t>“Covered Employees” means all employees and agents</w:t>
      </w:r>
      <w:r w:rsidRPr="006038C2">
        <w:t xml:space="preserve"> of </w:t>
      </w:r>
      <w:r w:rsidR="00321D28">
        <w:t xml:space="preserve">MNA </w:t>
      </w:r>
      <w:r w:rsidRPr="006038C2">
        <w:t xml:space="preserve">who perform, supervise, oversee, or manage the performance of duties that relate to </w:t>
      </w:r>
      <w:r w:rsidRPr="003C7962" w:rsidR="00027B04">
        <w:t>MNA’s</w:t>
      </w:r>
      <w:r w:rsidRPr="006038C2">
        <w:t xml:space="preserve"> responsibilities under the Communications Laws, including the Section 214 Rules.</w:t>
      </w:r>
    </w:p>
    <w:p w:rsidR="00B64CD5" w:rsidRPr="005118E3" w:rsidP="00B64CD5" w14:paraId="478265AA" w14:textId="6FB54A7D">
      <w:pPr>
        <w:widowControl/>
        <w:numPr>
          <w:ilvl w:val="0"/>
          <w:numId w:val="9"/>
        </w:numPr>
        <w:tabs>
          <w:tab w:val="clear" w:pos="1224"/>
        </w:tabs>
        <w:spacing w:after="120"/>
        <w:ind w:left="1890"/>
      </w:pPr>
      <w:r w:rsidRPr="006038C2">
        <w:t xml:space="preserve">“Effective Date” means the date by which both the Bureau </w:t>
      </w:r>
      <w:r w:rsidRPr="005118E3">
        <w:t xml:space="preserve">and </w:t>
      </w:r>
      <w:r w:rsidR="00413764">
        <w:t>MNA</w:t>
      </w:r>
      <w:r w:rsidRPr="005118E3">
        <w:t xml:space="preserve"> have signed the Consent Decree.</w:t>
      </w:r>
    </w:p>
    <w:p w:rsidR="00B64CD5" w:rsidRPr="006038C2" w:rsidP="00B64CD5" w14:paraId="6C403FAB" w14:textId="2DFBD3EA">
      <w:pPr>
        <w:widowControl/>
        <w:numPr>
          <w:ilvl w:val="0"/>
          <w:numId w:val="9"/>
        </w:numPr>
        <w:tabs>
          <w:tab w:val="clear" w:pos="1224"/>
        </w:tabs>
        <w:spacing w:after="120"/>
        <w:ind w:left="1890"/>
      </w:pPr>
      <w:r w:rsidRPr="006038C2">
        <w:t xml:space="preserve">“Investigation” means the investigation commenced by the Bureau in </w:t>
      </w:r>
      <w:r w:rsidRPr="002D3DBD" w:rsidR="002D3DBD">
        <w:t>EB-IHD-19-00029224</w:t>
      </w:r>
      <w:r w:rsidR="002D3DBD">
        <w:t xml:space="preserve"> </w:t>
      </w:r>
      <w:r w:rsidRPr="006038C2">
        <w:t xml:space="preserve">regarding whether </w:t>
      </w:r>
      <w:r w:rsidR="002D3DBD">
        <w:t xml:space="preserve">MNA </w:t>
      </w:r>
      <w:r w:rsidRPr="006038C2">
        <w:t>violated the Section 214 Rules.</w:t>
      </w:r>
    </w:p>
    <w:p w:rsidR="00B64CD5" w:rsidRPr="006038C2" w:rsidP="00B64CD5" w14:paraId="77D768A5" w14:textId="1EE9C739">
      <w:pPr>
        <w:widowControl/>
        <w:numPr>
          <w:ilvl w:val="0"/>
          <w:numId w:val="9"/>
        </w:numPr>
        <w:tabs>
          <w:tab w:val="clear" w:pos="1224"/>
        </w:tabs>
        <w:spacing w:after="120"/>
        <w:ind w:left="1890"/>
      </w:pPr>
      <w:r w:rsidRPr="006038C2">
        <w:t xml:space="preserve">“LOI” means the Letter of Inquiry issued by the Bureau to </w:t>
      </w:r>
      <w:r w:rsidR="00016CF9">
        <w:t>Bluebird</w:t>
      </w:r>
      <w:r w:rsidRPr="006038C2">
        <w:t xml:space="preserve"> on </w:t>
      </w:r>
      <w:r w:rsidR="00016CF9">
        <w:t>June 4, 2019,</w:t>
      </w:r>
      <w:r w:rsidRPr="006038C2">
        <w:t xml:space="preserve"> investigating </w:t>
      </w:r>
      <w:r w:rsidR="00CD24B6">
        <w:t xml:space="preserve">potential </w:t>
      </w:r>
      <w:r w:rsidRPr="006038C2">
        <w:t>violat</w:t>
      </w:r>
      <w:r w:rsidR="00CD24B6">
        <w:t>ions of</w:t>
      </w:r>
      <w:r w:rsidRPr="006038C2">
        <w:rPr>
          <w:color w:val="000000"/>
        </w:rPr>
        <w:t xml:space="preserve"> the S</w:t>
      </w:r>
      <w:r w:rsidRPr="006038C2">
        <w:t xml:space="preserve">ection 214 Rules related to the transfer of control of </w:t>
      </w:r>
      <w:r w:rsidR="00016CF9">
        <w:t>MNA’s</w:t>
      </w:r>
      <w:r w:rsidRPr="006038C2">
        <w:t xml:space="preserve"> authorizations to provide domestic and international service, prior to receiving approval from the Commission’s Wireline Competition Bureau</w:t>
      </w:r>
      <w:r>
        <w:t>.</w:t>
      </w:r>
    </w:p>
    <w:p w:rsidR="00056450" w:rsidP="00056450" w14:paraId="50B27E2D" w14:textId="77777777">
      <w:pPr>
        <w:widowControl/>
        <w:numPr>
          <w:ilvl w:val="0"/>
          <w:numId w:val="9"/>
        </w:numPr>
        <w:tabs>
          <w:tab w:val="clear" w:pos="1224"/>
        </w:tabs>
        <w:spacing w:after="120"/>
        <w:ind w:left="1890"/>
      </w:pPr>
      <w:r>
        <w:t>“MNA Holdings</w:t>
      </w:r>
      <w:r w:rsidRPr="006038C2">
        <w:t xml:space="preserve">” means </w:t>
      </w:r>
      <w:r>
        <w:t>MNA Holdings, LLC</w:t>
      </w:r>
      <w:r w:rsidRPr="006038C2">
        <w:t xml:space="preserve"> and its affiliates, subsidiaries, predecessors-in-interest, and successors-in-interest.</w:t>
      </w:r>
    </w:p>
    <w:p w:rsidR="00B64CD5" w:rsidRPr="006038C2" w:rsidP="00056450" w14:paraId="1DD686F1" w14:textId="30FD73CD">
      <w:pPr>
        <w:widowControl/>
        <w:numPr>
          <w:ilvl w:val="0"/>
          <w:numId w:val="9"/>
        </w:numPr>
        <w:tabs>
          <w:tab w:val="clear" w:pos="1224"/>
        </w:tabs>
        <w:spacing w:after="120"/>
        <w:ind w:left="1890"/>
      </w:pPr>
      <w:r w:rsidRPr="006038C2">
        <w:t xml:space="preserve">“Operating Procedures” means the standard internal operating procedures and compliance policies established by </w:t>
      </w:r>
      <w:r w:rsidR="001B2C64">
        <w:t xml:space="preserve">MNA </w:t>
      </w:r>
      <w:r w:rsidRPr="006038C2">
        <w:t>to implement the Compliance Plan.</w:t>
      </w:r>
    </w:p>
    <w:p w:rsidR="00B64CD5" w:rsidRPr="006038C2" w:rsidP="00B64CD5" w14:paraId="4A038EE9" w14:textId="334B1893">
      <w:pPr>
        <w:widowControl/>
        <w:numPr>
          <w:ilvl w:val="0"/>
          <w:numId w:val="9"/>
        </w:numPr>
        <w:tabs>
          <w:tab w:val="clear" w:pos="1224"/>
        </w:tabs>
        <w:spacing w:after="120"/>
        <w:ind w:left="1890"/>
      </w:pPr>
      <w:r w:rsidRPr="006038C2">
        <w:t xml:space="preserve">“Parties” means </w:t>
      </w:r>
      <w:r w:rsidR="002D3DBD">
        <w:t xml:space="preserve">MNA </w:t>
      </w:r>
      <w:r w:rsidRPr="006038C2">
        <w:t>and the Bureau, each of which is a “Party.”</w:t>
      </w:r>
    </w:p>
    <w:p w:rsidR="00B64CD5" w:rsidRPr="006038C2" w:rsidP="00B64CD5" w14:paraId="058E65CD" w14:textId="77777777">
      <w:pPr>
        <w:widowControl/>
        <w:numPr>
          <w:ilvl w:val="0"/>
          <w:numId w:val="9"/>
        </w:numPr>
        <w:tabs>
          <w:tab w:val="clear" w:pos="1224"/>
        </w:tabs>
        <w:spacing w:after="120"/>
        <w:ind w:left="1890"/>
      </w:pPr>
      <w:r w:rsidRPr="006038C2">
        <w:t>“Rules” means the Commission’s regulations found in Title 47 of the Code of Federal Regulations.</w:t>
      </w:r>
    </w:p>
    <w:p w:rsidR="00B64CD5" w:rsidP="00B64CD5" w14:paraId="7EDD2EA3" w14:textId="6E8EC53C">
      <w:pPr>
        <w:widowControl/>
        <w:numPr>
          <w:ilvl w:val="0"/>
          <w:numId w:val="9"/>
        </w:numPr>
        <w:tabs>
          <w:tab w:val="clear" w:pos="1224"/>
        </w:tabs>
        <w:spacing w:after="120"/>
        <w:ind w:left="1890"/>
      </w:pPr>
      <w:r w:rsidRPr="006038C2">
        <w:t xml:space="preserve">“Section 214 Rules” means </w:t>
      </w:r>
      <w:r w:rsidR="008978B8">
        <w:t>s</w:t>
      </w:r>
      <w:r w:rsidRPr="006038C2">
        <w:t xml:space="preserve">ection 214 of the Act and other provisions of the Act, the Rules, and Commission orders related to the construction, acquisition, operation, or transmission of lines of communication, including any Rules </w:t>
      </w:r>
      <w:r>
        <w:t>imple</w:t>
      </w:r>
      <w:r w:rsidRPr="006038C2">
        <w:t xml:space="preserve">menting </w:t>
      </w:r>
      <w:r w:rsidR="007F6DF4">
        <w:t>s</w:t>
      </w:r>
      <w:r w:rsidRPr="006038C2">
        <w:t>ection 214 and any related Commission orders.</w:t>
      </w:r>
    </w:p>
    <w:p w:rsidR="000B17E0" w:rsidRPr="006038C2" w:rsidP="0066381D" w14:paraId="76318841" w14:textId="77777777">
      <w:pPr>
        <w:widowControl/>
        <w:spacing w:after="120"/>
      </w:pPr>
    </w:p>
    <w:p w:rsidR="00B64CD5" w:rsidRPr="007C0B39" w:rsidP="00B64CD5" w14:paraId="06531AA8" w14:textId="77777777">
      <w:pPr>
        <w:pStyle w:val="Heading1"/>
        <w:widowControl/>
        <w:rPr>
          <w:szCs w:val="22"/>
        </w:rPr>
      </w:pPr>
      <w:r w:rsidRPr="007C0B39">
        <w:t>BACKGROUND</w:t>
      </w:r>
    </w:p>
    <w:p w:rsidR="00B64CD5" w:rsidP="00B64CD5" w14:paraId="3D3240D3" w14:textId="766AE555">
      <w:pPr>
        <w:pStyle w:val="ParaNum"/>
        <w:widowControl/>
      </w:pPr>
      <w:r w:rsidRPr="009B4E30">
        <w:t xml:space="preserve">Section 214(a) of the Act </w:t>
      </w:r>
      <w:r w:rsidRPr="00533E13">
        <w:t>requires telecommunications carriers to obtain a certificate of public convenience and necessity from the Commission before constructing, acquiring, operating, or engaging in the transmission of common carrier communications services over communications lines, and before discontinuing, reducing, or impairing service to a community.</w:t>
      </w:r>
      <w:r>
        <w:rPr>
          <w:rStyle w:val="FootnoteReference"/>
        </w:rPr>
        <w:footnoteReference w:id="11"/>
      </w:r>
      <w:r w:rsidRPr="00533E13">
        <w:t xml:space="preserve"> </w:t>
      </w:r>
      <w:r w:rsidR="003053C3">
        <w:t xml:space="preserve"> </w:t>
      </w:r>
      <w:r>
        <w:t xml:space="preserve">The Commission granted all </w:t>
      </w:r>
      <w:r w:rsidR="00A34C07">
        <w:t xml:space="preserve">domestic </w:t>
      </w:r>
      <w:r>
        <w:t xml:space="preserve">carriers blanket </w:t>
      </w:r>
      <w:r w:rsidR="00A34C07">
        <w:t>entry certification</w:t>
      </w:r>
      <w:r w:rsidR="003053C3">
        <w:t xml:space="preserve"> under </w:t>
      </w:r>
      <w:r w:rsidR="008978B8">
        <w:t>s</w:t>
      </w:r>
      <w:r w:rsidR="003053C3">
        <w:t>ection 214</w:t>
      </w:r>
      <w:r w:rsidR="00A34C07">
        <w:t xml:space="preserve"> </w:t>
      </w:r>
      <w:r>
        <w:t xml:space="preserve">to provide domestic interstate services and to construct, acquire, </w:t>
      </w:r>
      <w:r w:rsidR="00A34C07">
        <w:t>and</w:t>
      </w:r>
      <w:r>
        <w:t xml:space="preserve"> operate any domestic transmission line.</w:t>
      </w:r>
      <w:r>
        <w:rPr>
          <w:rStyle w:val="FootnoteReference"/>
        </w:rPr>
        <w:footnoteReference w:id="12"/>
      </w:r>
      <w:r>
        <w:t xml:space="preserve">  </w:t>
      </w:r>
      <w:r w:rsidR="003053C3">
        <w:t xml:space="preserve">Section 63.03 of the Rules, however, still requires that </w:t>
      </w:r>
      <w:r>
        <w:t xml:space="preserve">any domestic carrier seeking to transfer control of lines or </w:t>
      </w:r>
      <w:r w:rsidR="003053C3">
        <w:t xml:space="preserve">its </w:t>
      </w:r>
      <w:r>
        <w:t xml:space="preserve">authorization to operate </w:t>
      </w:r>
      <w:r w:rsidR="003053C3">
        <w:t>under</w:t>
      </w:r>
      <w:r>
        <w:t xml:space="preserve"> </w:t>
      </w:r>
      <w:r w:rsidR="008978B8">
        <w:t xml:space="preserve">section </w:t>
      </w:r>
      <w:r>
        <w:t xml:space="preserve">214 of the Act </w:t>
      </w:r>
      <w:r w:rsidR="003053C3">
        <w:t>(due to</w:t>
      </w:r>
      <w:r>
        <w:t xml:space="preserve"> an acquisition of corporate control</w:t>
      </w:r>
      <w:r w:rsidR="003053C3">
        <w:t>)</w:t>
      </w:r>
      <w:r>
        <w:t xml:space="preserve"> must obtain prior approval from the Commission.</w:t>
      </w:r>
      <w:r>
        <w:rPr>
          <w:rStyle w:val="FootnoteReference"/>
        </w:rPr>
        <w:footnoteReference w:id="13"/>
      </w:r>
      <w:r>
        <w:t xml:space="preserve">  T</w:t>
      </w:r>
      <w:r>
        <w:rPr>
          <w:snapToGrid/>
          <w:szCs w:val="22"/>
        </w:rPr>
        <w:t>he Commission has determined that</w:t>
      </w:r>
      <w:r w:rsidRPr="008F6786">
        <w:rPr>
          <w:snapToGrid/>
          <w:szCs w:val="22"/>
        </w:rPr>
        <w:t xml:space="preserve"> </w:t>
      </w:r>
      <w:r>
        <w:rPr>
          <w:snapToGrid/>
          <w:szCs w:val="22"/>
        </w:rPr>
        <w:t xml:space="preserve">transactions involving the </w:t>
      </w:r>
      <w:r w:rsidRPr="008B0E5F">
        <w:t xml:space="preserve">sale of a </w:t>
      </w:r>
      <w:r w:rsidRPr="008B0E5F">
        <w:t>telecommunications provider’s customer base should be treated as transfers of control requiring Commission approval.</w:t>
      </w:r>
      <w:r>
        <w:rPr>
          <w:rStyle w:val="FootnoteReference"/>
        </w:rPr>
        <w:footnoteReference w:id="14"/>
      </w:r>
      <w:r w:rsidRPr="008B0E5F">
        <w:t xml:space="preserve">  </w:t>
      </w:r>
      <w:r>
        <w:t>Section 63.04 sets forth the required contents of domestic transfer of control applications.</w:t>
      </w:r>
      <w:r>
        <w:rPr>
          <w:rStyle w:val="FootnoteReference"/>
        </w:rPr>
        <w:footnoteReference w:id="15"/>
      </w:r>
      <w:r>
        <w:t xml:space="preserve">  The Commission employs a public interest standard under </w:t>
      </w:r>
      <w:r w:rsidR="008978B8">
        <w:t>s</w:t>
      </w:r>
      <w:r>
        <w:t>ection 214(a) of the Act that involves the examination of the public interest impact of a proposed transaction.</w:t>
      </w:r>
      <w:r>
        <w:rPr>
          <w:rStyle w:val="FootnoteReference"/>
        </w:rPr>
        <w:footnoteReference w:id="16"/>
      </w:r>
    </w:p>
    <w:p w:rsidR="00925778" w:rsidP="00715F34" w14:paraId="3F49B061" w14:textId="7DC05CC7">
      <w:pPr>
        <w:pStyle w:val="ParaNum"/>
      </w:pPr>
      <w:r>
        <w:t xml:space="preserve">MNA </w:t>
      </w:r>
      <w:r w:rsidR="00A96061">
        <w:t xml:space="preserve">is </w:t>
      </w:r>
      <w:r>
        <w:t xml:space="preserve">a </w:t>
      </w:r>
      <w:r w:rsidR="001A41C3">
        <w:t xml:space="preserve">Missouri Limited Liability Company </w:t>
      </w:r>
      <w:r w:rsidR="005B6756">
        <w:t xml:space="preserve">providing transport and </w:t>
      </w:r>
      <w:r w:rsidR="00234431">
        <w:t>I</w:t>
      </w:r>
      <w:r w:rsidR="005B6756">
        <w:t xml:space="preserve">nternet services to enterprise customers in </w:t>
      </w:r>
      <w:r w:rsidRPr="00715F34" w:rsidR="005B6756">
        <w:t>Missouri</w:t>
      </w:r>
      <w:r w:rsidR="005B6756">
        <w:t>, Iowa, Oklahoma, Kansas, and Nebraska</w:t>
      </w:r>
      <w:r w:rsidR="009F153C">
        <w:t>, along with</w:t>
      </w:r>
      <w:r w:rsidRPr="009F153C" w:rsidR="009F153C">
        <w:t xml:space="preserve"> </w:t>
      </w:r>
      <w:r w:rsidR="009F153C">
        <w:t>tandem switching and transport services for interexchange carriers in Missouri</w:t>
      </w:r>
      <w:r>
        <w:t>.</w:t>
      </w:r>
      <w:r>
        <w:rPr>
          <w:rStyle w:val="FootnoteReference"/>
        </w:rPr>
        <w:footnoteReference w:id="17"/>
      </w:r>
      <w:r w:rsidR="00D16377">
        <w:t xml:space="preserve">  MNA is authorized to provide these domestic telecommunications services pursuant to </w:t>
      </w:r>
      <w:r w:rsidR="00610EAD">
        <w:t xml:space="preserve">section </w:t>
      </w:r>
      <w:r w:rsidR="00D16377">
        <w:t>214 of the Act.</w:t>
      </w:r>
      <w:r>
        <w:rPr>
          <w:rStyle w:val="FootnoteReference"/>
        </w:rPr>
        <w:footnoteReference w:id="18"/>
      </w:r>
      <w:r w:rsidR="00D16377">
        <w:t xml:space="preserve">  </w:t>
      </w:r>
    </w:p>
    <w:p w:rsidR="00B16DA0" w:rsidRPr="00A96061" w:rsidP="00715F34" w14:paraId="779FB905" w14:textId="4FEA65E6">
      <w:pPr>
        <w:pStyle w:val="ParaNum"/>
      </w:pPr>
      <w:r>
        <w:rPr>
          <w:szCs w:val="22"/>
        </w:rPr>
        <w:t>Before</w:t>
      </w:r>
      <w:r w:rsidR="00925778">
        <w:rPr>
          <w:szCs w:val="22"/>
        </w:rPr>
        <w:t xml:space="preserve"> January 28, 2011, 15 Missouri-based independent communications companies</w:t>
      </w:r>
      <w:r>
        <w:rPr>
          <w:szCs w:val="22"/>
        </w:rPr>
        <w:t xml:space="preserve"> owned M</w:t>
      </w:r>
      <w:r w:rsidR="00925778">
        <w:rPr>
          <w:szCs w:val="22"/>
        </w:rPr>
        <w:t>NA</w:t>
      </w:r>
      <w:r w:rsidRPr="00A96061">
        <w:rPr>
          <w:szCs w:val="22"/>
        </w:rPr>
        <w:t>.</w:t>
      </w:r>
      <w:r>
        <w:rPr>
          <w:rStyle w:val="FootnoteReference"/>
          <w:szCs w:val="22"/>
        </w:rPr>
        <w:footnoteReference w:id="19"/>
      </w:r>
      <w:r>
        <w:rPr>
          <w:szCs w:val="22"/>
        </w:rPr>
        <w:t xml:space="preserve">  MNA then conducted a </w:t>
      </w:r>
      <w:r w:rsidRPr="00810D43">
        <w:rPr>
          <w:i/>
          <w:szCs w:val="22"/>
        </w:rPr>
        <w:t>pro forma</w:t>
      </w:r>
      <w:r>
        <w:rPr>
          <w:szCs w:val="22"/>
        </w:rPr>
        <w:t xml:space="preserve"> transfer of </w:t>
      </w:r>
      <w:r w:rsidR="00673A1C">
        <w:rPr>
          <w:szCs w:val="22"/>
        </w:rPr>
        <w:t>control</w:t>
      </w:r>
      <w:r>
        <w:rPr>
          <w:szCs w:val="22"/>
        </w:rPr>
        <w:t xml:space="preserve"> whereby each of</w:t>
      </w:r>
      <w:r w:rsidR="00CD1C41">
        <w:rPr>
          <w:szCs w:val="22"/>
        </w:rPr>
        <w:t xml:space="preserve"> the 15 </w:t>
      </w:r>
      <w:r>
        <w:rPr>
          <w:szCs w:val="22"/>
        </w:rPr>
        <w:t>Missouri-based independent companies</w:t>
      </w:r>
      <w:r w:rsidR="00673A1C">
        <w:rPr>
          <w:szCs w:val="22"/>
        </w:rPr>
        <w:t xml:space="preserve"> holding a membership interest in MNA</w:t>
      </w:r>
      <w:r w:rsidR="00E90CAF">
        <w:rPr>
          <w:szCs w:val="22"/>
        </w:rPr>
        <w:t xml:space="preserve"> created and</w:t>
      </w:r>
      <w:r w:rsidR="00673A1C">
        <w:rPr>
          <w:szCs w:val="22"/>
        </w:rPr>
        <w:t xml:space="preserve"> contributed their membership </w:t>
      </w:r>
      <w:r w:rsidR="006E7264">
        <w:rPr>
          <w:szCs w:val="22"/>
        </w:rPr>
        <w:t>interests</w:t>
      </w:r>
      <w:r w:rsidR="00673A1C">
        <w:rPr>
          <w:szCs w:val="22"/>
        </w:rPr>
        <w:t xml:space="preserve"> to MNA Holdings, which </w:t>
      </w:r>
      <w:r w:rsidR="006E7264">
        <w:rPr>
          <w:szCs w:val="22"/>
        </w:rPr>
        <w:t>obtained</w:t>
      </w:r>
      <w:r w:rsidR="00673A1C">
        <w:rPr>
          <w:szCs w:val="22"/>
        </w:rPr>
        <w:t xml:space="preserve"> 100% of MNA </w:t>
      </w:r>
      <w:r w:rsidR="00E90CAF">
        <w:rPr>
          <w:szCs w:val="22"/>
        </w:rPr>
        <w:t xml:space="preserve">on </w:t>
      </w:r>
      <w:r w:rsidR="00673A1C">
        <w:rPr>
          <w:szCs w:val="22"/>
        </w:rPr>
        <w:t>January 28, 2011.</w:t>
      </w:r>
      <w:r>
        <w:rPr>
          <w:rStyle w:val="FootnoteReference"/>
          <w:szCs w:val="22"/>
        </w:rPr>
        <w:footnoteReference w:id="20"/>
      </w:r>
    </w:p>
    <w:p w:rsidR="00B64CD5" w:rsidRPr="001879A3" w:rsidP="00270BC6" w14:paraId="69B638BF" w14:textId="57B42FBC">
      <w:pPr>
        <w:pStyle w:val="ParaNum"/>
        <w:widowControl/>
        <w:rPr>
          <w:szCs w:val="22"/>
        </w:rPr>
      </w:pPr>
      <w:r>
        <w:t xml:space="preserve">Bluebird is a Missouri </w:t>
      </w:r>
      <w:r w:rsidR="00E949E6">
        <w:t>Limited Liability Company formed on July 29, 2009.</w:t>
      </w:r>
      <w:r>
        <w:rPr>
          <w:rStyle w:val="FootnoteReference"/>
        </w:rPr>
        <w:footnoteReference w:id="21"/>
      </w:r>
      <w:r w:rsidR="00E949E6">
        <w:t xml:space="preserve">  Bluebird was awarded funds by the National Telecommunications Information Administration (NTIA) in 2010 to provide broadband </w:t>
      </w:r>
      <w:r w:rsidR="00056450">
        <w:t xml:space="preserve">in </w:t>
      </w:r>
      <w:r w:rsidR="00E949E6">
        <w:t xml:space="preserve">underserved regions </w:t>
      </w:r>
      <w:r w:rsidR="00056450">
        <w:t xml:space="preserve">of </w:t>
      </w:r>
      <w:r w:rsidR="00E949E6">
        <w:t>Missouri.</w:t>
      </w:r>
      <w:r>
        <w:rPr>
          <w:rStyle w:val="FootnoteReference"/>
        </w:rPr>
        <w:footnoteReference w:id="22"/>
      </w:r>
      <w:r w:rsidR="00E949E6">
        <w:t xml:space="preserve"> </w:t>
      </w:r>
      <w:r w:rsidR="00270BC6">
        <w:t xml:space="preserve"> </w:t>
      </w:r>
      <w:r w:rsidR="00056450">
        <w:t>At the time Bluebird was awarded funding</w:t>
      </w:r>
      <w:r w:rsidR="00E949E6">
        <w:t>,</w:t>
      </w:r>
      <w:r w:rsidR="00831F06">
        <w:t xml:space="preserve"> </w:t>
      </w:r>
      <w:r w:rsidR="00E949E6">
        <w:t>Richard Otto Maly</w:t>
      </w:r>
      <w:r w:rsidR="00831F06">
        <w:t xml:space="preserve"> was the majority owner;</w:t>
      </w:r>
      <w:r w:rsidR="00E949E6">
        <w:t xml:space="preserve"> Christopher Martin, Tatum Martin, and Greg N. Johnson</w:t>
      </w:r>
      <w:r w:rsidR="00691F80">
        <w:t>,</w:t>
      </w:r>
      <w:r w:rsidR="00E949E6">
        <w:t xml:space="preserve"> </w:t>
      </w:r>
      <w:r w:rsidR="00056450">
        <w:t>collectively</w:t>
      </w:r>
      <w:r w:rsidR="00691F80">
        <w:t>,</w:t>
      </w:r>
      <w:r w:rsidR="00056450">
        <w:t xml:space="preserve"> </w:t>
      </w:r>
      <w:r w:rsidR="00831F06">
        <w:t xml:space="preserve">held the </w:t>
      </w:r>
      <w:r w:rsidR="00056450">
        <w:t>remaining</w:t>
      </w:r>
      <w:r w:rsidR="00831F06">
        <w:t xml:space="preserve"> minority interest</w:t>
      </w:r>
      <w:r w:rsidR="00E949E6">
        <w:t>.</w:t>
      </w:r>
      <w:r>
        <w:rPr>
          <w:rStyle w:val="FootnoteReference"/>
        </w:rPr>
        <w:footnoteReference w:id="23"/>
      </w:r>
    </w:p>
    <w:p w:rsidR="001879A3" w:rsidRPr="00A917DE" w:rsidP="00A917DE" w14:paraId="085F146D" w14:textId="5DC6D34D">
      <w:pPr>
        <w:pStyle w:val="ParaNum"/>
        <w:rPr>
          <w:szCs w:val="22"/>
        </w:rPr>
      </w:pPr>
      <w:bookmarkStart w:id="2" w:name="_Hlk528838348"/>
      <w:r>
        <w:t xml:space="preserve">On </w:t>
      </w:r>
      <w:r w:rsidR="00563E69">
        <w:t>March 23, 2011</w:t>
      </w:r>
      <w:r>
        <w:t xml:space="preserve">, </w:t>
      </w:r>
      <w:r w:rsidR="00563E69">
        <w:t xml:space="preserve">Bluebird </w:t>
      </w:r>
      <w:r w:rsidR="003F4EDA">
        <w:t>consummated a joint venture (Transaction) with MNA.</w:t>
      </w:r>
      <w:r>
        <w:rPr>
          <w:rStyle w:val="FootnoteReference"/>
        </w:rPr>
        <w:footnoteReference w:id="24"/>
      </w:r>
      <w:r w:rsidR="003F4EDA">
        <w:t xml:space="preserve">  Through this Transaction, Bluebird acquired a 51%</w:t>
      </w:r>
      <w:r w:rsidR="00C53527">
        <w:t xml:space="preserve"> ownership interest in MNA from MNA Holdings, which retained </w:t>
      </w:r>
      <w:r w:rsidR="00A917DE">
        <w:t>a</w:t>
      </w:r>
      <w:r w:rsidR="00C53527">
        <w:t xml:space="preserve"> 49% </w:t>
      </w:r>
      <w:r w:rsidR="00A917DE">
        <w:t>interest</w:t>
      </w:r>
      <w:r w:rsidR="00C53527">
        <w:t>.</w:t>
      </w:r>
      <w:r>
        <w:rPr>
          <w:rStyle w:val="FootnoteReference"/>
        </w:rPr>
        <w:footnoteReference w:id="25"/>
      </w:r>
      <w:r w:rsidR="00C53527">
        <w:t xml:space="preserve">  Bluebird and MNA Holdings exercise their authority over MNA through </w:t>
      </w:r>
      <w:r w:rsidR="00C53527">
        <w:t>a</w:t>
      </w:r>
      <w:r w:rsidR="00A917DE">
        <w:t xml:space="preserve"> joint </w:t>
      </w:r>
      <w:r w:rsidR="00C53527">
        <w:t>subsidiar</w:t>
      </w:r>
      <w:r w:rsidR="00A917DE">
        <w:t>y c</w:t>
      </w:r>
      <w:r w:rsidR="00C53527">
        <w:t xml:space="preserve">reated </w:t>
      </w:r>
      <w:r w:rsidR="00A917DE">
        <w:t>during</w:t>
      </w:r>
      <w:r w:rsidR="00C53527">
        <w:t xml:space="preserve"> </w:t>
      </w:r>
      <w:r w:rsidR="00A917DE">
        <w:t xml:space="preserve">the </w:t>
      </w:r>
      <w:r w:rsidR="00C53527">
        <w:t>Transaction: Bluebird Network, LLC.</w:t>
      </w:r>
      <w:r>
        <w:rPr>
          <w:rStyle w:val="FootnoteReference"/>
        </w:rPr>
        <w:footnoteReference w:id="26"/>
      </w:r>
      <w:r w:rsidR="00A917DE">
        <w:t xml:space="preserve"> </w:t>
      </w:r>
      <w:r w:rsidR="00691F80">
        <w:t xml:space="preserve"> </w:t>
      </w:r>
      <w:r w:rsidR="00A917DE">
        <w:t xml:space="preserve">This Transaction resulted in the transfer of control of the domestic </w:t>
      </w:r>
      <w:r w:rsidR="00610EAD">
        <w:t>s</w:t>
      </w:r>
      <w:r w:rsidR="00A917DE">
        <w:t>ection 214 authorization held by MNA, and was completed without prior Commission consent.</w:t>
      </w:r>
      <w:r>
        <w:rPr>
          <w:rStyle w:val="FootnoteReference"/>
        </w:rPr>
        <w:footnoteReference w:id="27"/>
      </w:r>
      <w:r w:rsidRPr="009B5029">
        <w:t xml:space="preserve">  </w:t>
      </w:r>
      <w:r w:rsidR="00A917DE">
        <w:t>Bluebird admits that neither Bluebird nor MNA Holdings sought prior Commission approval for this transfer</w:t>
      </w:r>
      <w:r w:rsidRPr="009B5029">
        <w:t>.</w:t>
      </w:r>
      <w:r>
        <w:rPr>
          <w:rStyle w:val="FootnoteReference"/>
        </w:rPr>
        <w:footnoteReference w:id="28"/>
      </w:r>
    </w:p>
    <w:bookmarkEnd w:id="2"/>
    <w:p w:rsidR="001879A3" w:rsidP="001879A3" w14:paraId="429F48E1" w14:textId="450AC9C0">
      <w:pPr>
        <w:pStyle w:val="ParaNum"/>
        <w:widowControl/>
      </w:pPr>
      <w:r>
        <w:t xml:space="preserve">On </w:t>
      </w:r>
      <w:r w:rsidR="00C05779">
        <w:t>March 11, 2019</w:t>
      </w:r>
      <w:r>
        <w:t xml:space="preserve">, </w:t>
      </w:r>
      <w:r w:rsidR="00C05779">
        <w:t>Bluebird and MNA Holdings</w:t>
      </w:r>
      <w:r>
        <w:t xml:space="preserve"> belatedly filed a joint transfer of control application, pursuant to </w:t>
      </w:r>
      <w:r w:rsidR="0049078A">
        <w:t xml:space="preserve">section </w:t>
      </w:r>
      <w:r>
        <w:t>214 of the Act and sections 63.</w:t>
      </w:r>
      <w:r w:rsidR="00691F80">
        <w:t xml:space="preserve">03 </w:t>
      </w:r>
      <w:r>
        <w:t>and 63.</w:t>
      </w:r>
      <w:r w:rsidR="00713A17">
        <w:t>04</w:t>
      </w:r>
      <w:r>
        <w:t xml:space="preserve"> of the Commission’s rules</w:t>
      </w:r>
      <w:r w:rsidR="0091368A">
        <w:t>.</w:t>
      </w:r>
      <w:r>
        <w:rPr>
          <w:rStyle w:val="FootnoteReference"/>
        </w:rPr>
        <w:footnoteReference w:id="29"/>
      </w:r>
      <w:r>
        <w:t xml:space="preserve"> </w:t>
      </w:r>
      <w:r w:rsidR="0091368A">
        <w:t xml:space="preserve"> Shortly thereafter, Bluebird and MNA Holdings filed </w:t>
      </w:r>
      <w:r>
        <w:t>a request for Special Temporary Authority (STA) with the</w:t>
      </w:r>
      <w:r w:rsidR="0091368A">
        <w:t xml:space="preserve"> </w:t>
      </w:r>
      <w:r>
        <w:t xml:space="preserve">Wireline Competition Bureau (WCB) on </w:t>
      </w:r>
      <w:r w:rsidR="0091368A">
        <w:t>March 26, 2019.</w:t>
      </w:r>
      <w:r>
        <w:rPr>
          <w:rStyle w:val="FootnoteReference"/>
        </w:rPr>
        <w:footnoteReference w:id="30"/>
      </w:r>
      <w:r>
        <w:t xml:space="preserve">  </w:t>
      </w:r>
      <w:r w:rsidR="0091368A">
        <w:t>W</w:t>
      </w:r>
      <w:r w:rsidR="009A17D0">
        <w:t>C</w:t>
      </w:r>
      <w:r w:rsidR="009D3477">
        <w:t>B</w:t>
      </w:r>
      <w:r w:rsidR="0091368A">
        <w:t xml:space="preserve"> granted </w:t>
      </w:r>
      <w:r w:rsidR="00D66F4F">
        <w:t xml:space="preserve">the applicants’ request for STA on April 8, 2019, to allow MNA to operate while the proposed domestic </w:t>
      </w:r>
      <w:r w:rsidR="00610EAD">
        <w:t>s</w:t>
      </w:r>
      <w:r w:rsidR="00D66F4F">
        <w:t>ection 214 transfer of control application was under review.</w:t>
      </w:r>
      <w:r>
        <w:rPr>
          <w:rStyle w:val="FootnoteReference"/>
        </w:rPr>
        <w:footnoteReference w:id="31"/>
      </w:r>
      <w:r w:rsidRPr="00243EFD">
        <w:rPr>
          <w:szCs w:val="22"/>
        </w:rPr>
        <w:t xml:space="preserve">  </w:t>
      </w:r>
      <w:r>
        <w:t xml:space="preserve">The underlying </w:t>
      </w:r>
      <w:r w:rsidR="009D3477">
        <w:t>application</w:t>
      </w:r>
      <w:r>
        <w:t xml:space="preserve"> for approval of the transfer of control </w:t>
      </w:r>
      <w:r w:rsidR="009D3477">
        <w:t>was</w:t>
      </w:r>
      <w:r>
        <w:t xml:space="preserve"> granted</w:t>
      </w:r>
      <w:r w:rsidR="009D3477">
        <w:t xml:space="preserve"> by W</w:t>
      </w:r>
      <w:r w:rsidR="004C7083">
        <w:t>C</w:t>
      </w:r>
      <w:r w:rsidR="009D3477">
        <w:t>B</w:t>
      </w:r>
      <w:r>
        <w:t xml:space="preserve"> on </w:t>
      </w:r>
      <w:r w:rsidR="009D3477">
        <w:t xml:space="preserve">May </w:t>
      </w:r>
      <w:r>
        <w:t>9, 201</w:t>
      </w:r>
      <w:r w:rsidR="009D3477">
        <w:t>9</w:t>
      </w:r>
      <w:r>
        <w:t xml:space="preserve">, </w:t>
      </w:r>
      <w:r w:rsidRPr="008B0E5F">
        <w:t>without prejudice to any enforcement action.</w:t>
      </w:r>
      <w:r>
        <w:rPr>
          <w:rStyle w:val="FootnoteReference"/>
        </w:rPr>
        <w:footnoteReference w:id="32"/>
      </w:r>
    </w:p>
    <w:p w:rsidR="004E64C2" w:rsidRPr="004E64C2" w:rsidP="004E64C2" w14:paraId="2BE7FF91" w14:textId="49EA94C7">
      <w:pPr>
        <w:pStyle w:val="ParaNum"/>
        <w:widowControl/>
        <w:rPr>
          <w:szCs w:val="22"/>
        </w:rPr>
      </w:pPr>
      <w:r>
        <w:rPr>
          <w:szCs w:val="22"/>
        </w:rPr>
        <w:t xml:space="preserve">On </w:t>
      </w:r>
      <w:r w:rsidR="009D3477">
        <w:rPr>
          <w:szCs w:val="22"/>
        </w:rPr>
        <w:t>June 4</w:t>
      </w:r>
      <w:r>
        <w:rPr>
          <w:szCs w:val="22"/>
        </w:rPr>
        <w:t>,</w:t>
      </w:r>
      <w:r w:rsidR="009D3477">
        <w:rPr>
          <w:szCs w:val="22"/>
        </w:rPr>
        <w:t xml:space="preserve"> 2019</w:t>
      </w:r>
      <w:r w:rsidR="00056450">
        <w:rPr>
          <w:szCs w:val="22"/>
        </w:rPr>
        <w:t>,</w:t>
      </w:r>
      <w:r>
        <w:rPr>
          <w:szCs w:val="22"/>
        </w:rPr>
        <w:t xml:space="preserve"> the </w:t>
      </w:r>
      <w:r w:rsidRPr="001F5A25">
        <w:t>Bureau</w:t>
      </w:r>
      <w:r>
        <w:rPr>
          <w:szCs w:val="22"/>
        </w:rPr>
        <w:t xml:space="preserve"> issued a</w:t>
      </w:r>
      <w:r w:rsidR="00056450">
        <w:rPr>
          <w:szCs w:val="22"/>
        </w:rPr>
        <w:t>n</w:t>
      </w:r>
      <w:r w:rsidR="00861D95">
        <w:rPr>
          <w:szCs w:val="22"/>
        </w:rPr>
        <w:t xml:space="preserve"> LOI </w:t>
      </w:r>
      <w:r>
        <w:rPr>
          <w:szCs w:val="22"/>
        </w:rPr>
        <w:t>regarding the matters referenced above.</w:t>
      </w:r>
      <w:r>
        <w:rPr>
          <w:rStyle w:val="FootnoteReference"/>
          <w:szCs w:val="22"/>
        </w:rPr>
        <w:footnoteReference w:id="33"/>
      </w:r>
      <w:r>
        <w:rPr>
          <w:szCs w:val="22"/>
        </w:rPr>
        <w:t xml:space="preserve">  On July </w:t>
      </w:r>
      <w:r w:rsidR="009D3477">
        <w:rPr>
          <w:szCs w:val="22"/>
        </w:rPr>
        <w:t>8</w:t>
      </w:r>
      <w:r>
        <w:rPr>
          <w:szCs w:val="22"/>
        </w:rPr>
        <w:t>, 201</w:t>
      </w:r>
      <w:r w:rsidR="009D3477">
        <w:rPr>
          <w:szCs w:val="22"/>
        </w:rPr>
        <w:t>9</w:t>
      </w:r>
      <w:r>
        <w:rPr>
          <w:szCs w:val="22"/>
        </w:rPr>
        <w:t xml:space="preserve">, </w:t>
      </w:r>
      <w:r w:rsidR="009D3477">
        <w:rPr>
          <w:szCs w:val="22"/>
        </w:rPr>
        <w:t>Bluebird</w:t>
      </w:r>
      <w:r>
        <w:rPr>
          <w:szCs w:val="22"/>
        </w:rPr>
        <w:t xml:space="preserve"> filed its response to the LOI.</w:t>
      </w:r>
      <w:r>
        <w:rPr>
          <w:rStyle w:val="FootnoteReference"/>
          <w:szCs w:val="22"/>
        </w:rPr>
        <w:footnoteReference w:id="34"/>
      </w:r>
      <w:r>
        <w:rPr>
          <w:szCs w:val="22"/>
        </w:rPr>
        <w:t xml:space="preserve">  The Parties negotiated the terms and conditions of settlement and hereby enter into this Consent Decree as provided below.</w:t>
      </w:r>
    </w:p>
    <w:p w:rsidR="00861D95" w:rsidRPr="007C0B39" w:rsidP="00861D95" w14:paraId="0792C6B5" w14:textId="77777777">
      <w:pPr>
        <w:pStyle w:val="Heading1"/>
        <w:widowControl/>
      </w:pPr>
      <w:r w:rsidRPr="007C0B39">
        <w:t>TERMS OF AGREEMENT</w:t>
      </w:r>
    </w:p>
    <w:p w:rsidR="00861D95" w:rsidP="00861D95" w14:paraId="24DDB41F" w14:textId="77777777">
      <w:pPr>
        <w:pStyle w:val="ParaNum"/>
        <w:widowControl/>
        <w:rPr>
          <w:szCs w:val="22"/>
        </w:rPr>
      </w:pPr>
      <w:r w:rsidRPr="007C0B39">
        <w:rPr>
          <w:b/>
          <w:szCs w:val="22"/>
          <w:u w:val="single"/>
        </w:rPr>
        <w:t>Adopting Order</w:t>
      </w:r>
      <w:r w:rsidRPr="007C0B39">
        <w:rPr>
          <w:szCs w:val="22"/>
        </w:rPr>
        <w:t>.  The provisions of this Consent Decree shall be incorporated by the Bureau in an Adop</w:t>
      </w:r>
      <w:r>
        <w:rPr>
          <w:szCs w:val="22"/>
        </w:rPr>
        <w:t>ting Order.</w:t>
      </w:r>
    </w:p>
    <w:p w:rsidR="00861D95" w:rsidRPr="007C0B39" w:rsidP="00861D95" w14:paraId="6853BCBC" w14:textId="408A4836">
      <w:pPr>
        <w:pStyle w:val="ParaNum"/>
        <w:widowControl/>
        <w:rPr>
          <w:szCs w:val="22"/>
        </w:rPr>
      </w:pPr>
      <w:r w:rsidRPr="007C0B39">
        <w:rPr>
          <w:b/>
          <w:szCs w:val="22"/>
          <w:u w:val="single"/>
        </w:rPr>
        <w:t>Jurisdiction</w:t>
      </w:r>
      <w:r w:rsidRPr="007C0B39">
        <w:rPr>
          <w:szCs w:val="22"/>
        </w:rPr>
        <w:t xml:space="preserve">.  </w:t>
      </w:r>
      <w:r>
        <w:rPr>
          <w:szCs w:val="22"/>
        </w:rPr>
        <w:t xml:space="preserve">MNA </w:t>
      </w:r>
      <w:r w:rsidRPr="007C0B39">
        <w:rPr>
          <w:szCs w:val="22"/>
        </w:rPr>
        <w:t xml:space="preserve">agrees that the Bureau has jurisdiction over it and the matters contained in this Consent Decree and has </w:t>
      </w:r>
      <w:r w:rsidRPr="00ED419F">
        <w:t>authority</w:t>
      </w:r>
      <w:r w:rsidRPr="007C0B39">
        <w:rPr>
          <w:szCs w:val="22"/>
        </w:rPr>
        <w:t xml:space="preserve"> to enter into and adopt this Consent Decree.</w:t>
      </w:r>
    </w:p>
    <w:p w:rsidR="00861D95" w:rsidP="00861D95" w14:paraId="6F7C7054" w14:textId="3D0ADB60">
      <w:pPr>
        <w:pStyle w:val="ParaNum"/>
        <w:widowControl/>
        <w:rPr>
          <w:szCs w:val="22"/>
        </w:rPr>
      </w:pPr>
      <w:r w:rsidRPr="007C0B39">
        <w:rPr>
          <w:b/>
          <w:szCs w:val="22"/>
          <w:u w:val="single"/>
        </w:rPr>
        <w:t>Effective Date</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rsidR="00861D95" w:rsidRPr="001D5473" w:rsidP="00861D95" w14:paraId="13EE4645" w14:textId="54D39788">
      <w:pPr>
        <w:pStyle w:val="ParaNum"/>
        <w:widowControl/>
        <w:rPr>
          <w:szCs w:val="22"/>
        </w:rPr>
      </w:pPr>
      <w:r w:rsidRPr="007C0B39">
        <w:rPr>
          <w:b/>
          <w:szCs w:val="22"/>
          <w:u w:val="single"/>
        </w:rPr>
        <w:t>Termination of Investigation</w:t>
      </w:r>
      <w:r w:rsidRPr="007C0B39">
        <w:rPr>
          <w:szCs w:val="22"/>
        </w:rPr>
        <w:t xml:space="preserve">.  In </w:t>
      </w:r>
      <w:r w:rsidRPr="009D7731">
        <w:t>express</w:t>
      </w:r>
      <w:r w:rsidRPr="007C0B39">
        <w:rPr>
          <w:szCs w:val="22"/>
        </w:rPr>
        <w:t xml:space="preserve"> reliance </w:t>
      </w:r>
      <w:r w:rsidRPr="007C0B39">
        <w:t>on</w:t>
      </w:r>
      <w:r w:rsidRPr="007C0B39">
        <w:rPr>
          <w:szCs w:val="22"/>
        </w:rPr>
        <w:t xml:space="preserve"> the covenants and representations in this Consent Decree and to avoid further expenditure of public resources, the Bureau agrees to terminate the Investigation</w:t>
      </w:r>
      <w:r>
        <w:rPr>
          <w:szCs w:val="22"/>
        </w:rPr>
        <w:t xml:space="preserve">.  </w:t>
      </w:r>
      <w:r w:rsidRPr="007C0B39">
        <w:rPr>
          <w:szCs w:val="22"/>
        </w:rPr>
        <w:t xml:space="preserve">In consideration for the </w:t>
      </w:r>
      <w:r>
        <w:rPr>
          <w:szCs w:val="22"/>
        </w:rPr>
        <w:t>termination of the Investigation</w:t>
      </w:r>
      <w:r w:rsidRPr="007C0B39">
        <w:rPr>
          <w:szCs w:val="22"/>
        </w:rPr>
        <w:t>,</w:t>
      </w:r>
      <w:r w:rsidRPr="001C5C03">
        <w:rPr>
          <w:szCs w:val="22"/>
        </w:rPr>
        <w:t xml:space="preserve"> </w:t>
      </w:r>
      <w:r>
        <w:rPr>
          <w:szCs w:val="22"/>
        </w:rPr>
        <w:t xml:space="preserve">MNA </w:t>
      </w:r>
      <w:r w:rsidRPr="007C0B39">
        <w:rPr>
          <w:szCs w:val="22"/>
        </w:rPr>
        <w:t xml:space="preserve">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rPr>
          <w:szCs w:val="22"/>
        </w:rPr>
        <w:t xml:space="preserve">MNA </w:t>
      </w:r>
      <w:r w:rsidRPr="007C0B39">
        <w:rPr>
          <w:szCs w:val="22"/>
        </w:rPr>
        <w:t xml:space="preserve">concerning the matters that were the subject </w:t>
      </w:r>
      <w:r w:rsidRPr="007C0B39">
        <w:rPr>
          <w:szCs w:val="22"/>
        </w:rPr>
        <w:t xml:space="preserve">of the Investigation.  </w:t>
      </w:r>
      <w:r>
        <w:t xml:space="preserve">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w:t>
      </w:r>
      <w:r>
        <w:rPr>
          <w:szCs w:val="22"/>
        </w:rPr>
        <w:t>MNA’s</w:t>
      </w:r>
      <w:r>
        <w:t xml:space="preserve"> basic qualifications to be a Commission licensee or hold Commission licenses or authorizations.</w:t>
      </w:r>
      <w:r>
        <w:rPr>
          <w:rStyle w:val="FootnoteReference"/>
        </w:rPr>
        <w:footnoteReference w:id="35"/>
      </w:r>
      <w:r>
        <w:t xml:space="preserve">  </w:t>
      </w:r>
    </w:p>
    <w:p w:rsidR="00861D95" w:rsidRPr="008E2C6D" w:rsidP="00861D95" w14:paraId="370A935E" w14:textId="5D39E690">
      <w:pPr>
        <w:pStyle w:val="ParaNum"/>
        <w:widowControl/>
        <w:rPr>
          <w:szCs w:val="22"/>
        </w:rPr>
      </w:pPr>
      <w:r w:rsidRPr="007C0B39">
        <w:rPr>
          <w:b/>
          <w:u w:val="single"/>
        </w:rPr>
        <w:t>Admission of Liability</w:t>
      </w:r>
      <w:r w:rsidRPr="007C0B39">
        <w:t xml:space="preserve">.  </w:t>
      </w:r>
      <w:r w:rsidR="004E3A56">
        <w:rPr>
          <w:szCs w:val="22"/>
        </w:rPr>
        <w:t xml:space="preserve">MNA </w:t>
      </w:r>
      <w:r w:rsidRPr="007C0B39">
        <w:t xml:space="preserve">admits for the purpose of this </w:t>
      </w:r>
      <w:r w:rsidRPr="008E2C6D">
        <w:t>Consent Decree and for Commission</w:t>
      </w:r>
      <w:r w:rsidRPr="008E2C6D" w:rsidR="004E3A56">
        <w:t>’s</w:t>
      </w:r>
      <w:r w:rsidRPr="008E2C6D">
        <w:t xml:space="preserve"> civil enforcement purposes, and in </w:t>
      </w:r>
      <w:r w:rsidRPr="008E2C6D">
        <w:rPr>
          <w:szCs w:val="22"/>
        </w:rPr>
        <w:t>express</w:t>
      </w:r>
      <w:r w:rsidRPr="008E2C6D">
        <w:t xml:space="preserve"> reliance on the provisions of paragraph 13 herein, </w:t>
      </w:r>
      <w:r w:rsidRPr="008E2C6D">
        <w:rPr>
          <w:szCs w:val="22"/>
        </w:rPr>
        <w:t xml:space="preserve">that its actions described in paragraph 7, herein, violated the Section 214 Rules. </w:t>
      </w:r>
    </w:p>
    <w:p w:rsidR="00861D95" w:rsidRPr="007C0B39" w:rsidP="00861D95" w14:paraId="2BC44FDF" w14:textId="6BE85F2A">
      <w:pPr>
        <w:pStyle w:val="ParaNum"/>
        <w:widowControl/>
        <w:rPr>
          <w:szCs w:val="22"/>
        </w:rPr>
      </w:pPr>
      <w:bookmarkStart w:id="3" w:name="_Ref379202869"/>
      <w:r w:rsidRPr="007C0B39">
        <w:rPr>
          <w:b/>
          <w:szCs w:val="22"/>
          <w:u w:val="single"/>
        </w:rPr>
        <w:t>Compliance Officer</w:t>
      </w:r>
      <w:r w:rsidRPr="007C0B39">
        <w:rPr>
          <w:szCs w:val="22"/>
        </w:rPr>
        <w:t xml:space="preserve">.  Within thirty (30) </w:t>
      </w:r>
      <w:r w:rsidRPr="007C0B39">
        <w:t>calendar</w:t>
      </w:r>
      <w:r w:rsidRPr="007C0B39">
        <w:rPr>
          <w:szCs w:val="22"/>
        </w:rPr>
        <w:t xml:space="preserve"> days after the Effective Date, </w:t>
      </w:r>
      <w:r w:rsidR="004E3A56">
        <w:rPr>
          <w:szCs w:val="22"/>
        </w:rPr>
        <w:t xml:space="preserve">MNA </w:t>
      </w:r>
      <w:r w:rsidRPr="007C0B39">
        <w:rPr>
          <w:szCs w:val="22"/>
        </w:rPr>
        <w:t xml:space="preserve">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sidR="004E3A56">
        <w:rPr>
          <w:szCs w:val="22"/>
        </w:rPr>
        <w:t xml:space="preserve">MNA </w:t>
      </w:r>
      <w:r w:rsidRPr="007C0B39">
        <w:rPr>
          <w:szCs w:val="22"/>
        </w:rPr>
        <w:t xml:space="preserve">complies with the terms and conditions of the Compliance Plan and this Consent Decree.  In </w:t>
      </w:r>
      <w:r w:rsidRPr="00ED419F">
        <w:t>addition</w:t>
      </w:r>
      <w:r w:rsidRPr="007C0B39">
        <w:rPr>
          <w:szCs w:val="22"/>
        </w:rPr>
        <w:t xml:space="preserve"> to the general knowledge of the Communications Laws necessary to discharge his or her duties under this Consent Decree, the Compliance Officer shall have specific knowledge of the </w:t>
      </w:r>
      <w:r>
        <w:rPr>
          <w:szCs w:val="22"/>
        </w:rPr>
        <w:t xml:space="preserve">Section 214 </w:t>
      </w:r>
      <w:r w:rsidRPr="007C0B39">
        <w:rPr>
          <w:szCs w:val="22"/>
        </w:rPr>
        <w:t>Rules prior to assuming his/her duties.</w:t>
      </w:r>
      <w:bookmarkEnd w:id="3"/>
    </w:p>
    <w:p w:rsidR="00861D95" w:rsidRPr="007C0B39" w:rsidP="00861D95" w14:paraId="2538E5DF" w14:textId="2EBE5F0C">
      <w:pPr>
        <w:pStyle w:val="ParaNum"/>
        <w:widowControl/>
        <w:rPr>
          <w:szCs w:val="22"/>
        </w:rPr>
      </w:pPr>
      <w:bookmarkStart w:id="4" w:name="_Ref357521857"/>
      <w:r w:rsidRPr="007C0B39">
        <w:rPr>
          <w:b/>
          <w:szCs w:val="22"/>
          <w:u w:val="single"/>
        </w:rPr>
        <w:t>Compliance Plan</w:t>
      </w:r>
      <w:r w:rsidRPr="007C0B39">
        <w:rPr>
          <w:szCs w:val="22"/>
        </w:rPr>
        <w:t xml:space="preserve">.  For purposes of settling the matters set forth herein, </w:t>
      </w:r>
      <w:r w:rsidR="0006638D">
        <w:rPr>
          <w:szCs w:val="22"/>
        </w:rPr>
        <w:t xml:space="preserve">MNA </w:t>
      </w:r>
      <w:r w:rsidRPr="007C0B39">
        <w:rPr>
          <w:szCs w:val="22"/>
        </w:rPr>
        <w:t xml:space="preserve">agrees that it shall, within </w:t>
      </w:r>
      <w:r w:rsidR="00056450">
        <w:rPr>
          <w:szCs w:val="22"/>
        </w:rPr>
        <w:t>thir</w:t>
      </w:r>
      <w:r w:rsidRPr="007C0B39" w:rsidR="00056450">
        <w:rPr>
          <w:szCs w:val="22"/>
        </w:rPr>
        <w:t xml:space="preserve">ty </w:t>
      </w:r>
      <w:r w:rsidRPr="007C0B39">
        <w:rPr>
          <w:szCs w:val="22"/>
        </w:rPr>
        <w:t>(</w:t>
      </w:r>
      <w:r w:rsidR="00056450">
        <w:rPr>
          <w:szCs w:val="22"/>
        </w:rPr>
        <w:t>3</w:t>
      </w:r>
      <w:r w:rsidRPr="007C0B39" w:rsidR="00056450">
        <w:rPr>
          <w:szCs w:val="22"/>
        </w:rPr>
        <w:t>0</w:t>
      </w:r>
      <w:r w:rsidRPr="007C0B39">
        <w:rPr>
          <w:szCs w:val="22"/>
        </w:rPr>
        <w:t xml:space="preserve">) calendar days after the Effective Date, develop and implement a Compliance Plan designed to ensure future compliance with the Communications Laws and with the terms and conditions of this Consent Decree.  With respect to the </w:t>
      </w:r>
      <w:r w:rsidRPr="009B4E30">
        <w:rPr>
          <w:szCs w:val="22"/>
        </w:rPr>
        <w:t>Section 214 Rules</w:t>
      </w:r>
      <w:r w:rsidRPr="007C0B39">
        <w:rPr>
          <w:szCs w:val="22"/>
        </w:rPr>
        <w:t xml:space="preserve">, </w:t>
      </w:r>
      <w:r w:rsidR="0006638D">
        <w:rPr>
          <w:szCs w:val="22"/>
        </w:rPr>
        <w:t xml:space="preserve">MNA </w:t>
      </w:r>
      <w:r w:rsidRPr="007C0B39">
        <w:rPr>
          <w:szCs w:val="22"/>
        </w:rPr>
        <w:t>will implement, at a minimum, the following procedures:</w:t>
      </w:r>
      <w:bookmarkEnd w:id="4"/>
    </w:p>
    <w:p w:rsidR="00861D95" w:rsidRPr="00334508" w:rsidP="00334508" w14:paraId="12D756E9" w14:textId="0030AFD9">
      <w:pPr>
        <w:widowControl/>
        <w:numPr>
          <w:ilvl w:val="0"/>
          <w:numId w:val="14"/>
        </w:numPr>
        <w:spacing w:after="120"/>
        <w:rPr>
          <w:b/>
          <w:u w:val="single"/>
        </w:rPr>
      </w:pPr>
      <w:r w:rsidRPr="006038C2">
        <w:rPr>
          <w:b/>
          <w:u w:val="single"/>
        </w:rPr>
        <w:t>Operating Procedures</w:t>
      </w:r>
      <w:r w:rsidRPr="00334508">
        <w:rPr>
          <w:bCs/>
        </w:rPr>
        <w:t xml:space="preserve">.  Within thirty (30) calendar days after the Effective Date, </w:t>
      </w:r>
      <w:r w:rsidRPr="00334508" w:rsidR="0006638D">
        <w:rPr>
          <w:bCs/>
        </w:rPr>
        <w:t xml:space="preserve">MNA </w:t>
      </w:r>
      <w:r w:rsidRPr="00334508">
        <w:rPr>
          <w:bCs/>
        </w:rPr>
        <w:t xml:space="preserve">shall establish Operating Procedures that all Covered Employees must follow to help ensure </w:t>
      </w:r>
      <w:r w:rsidRPr="00334508" w:rsidR="0006638D">
        <w:rPr>
          <w:bCs/>
        </w:rPr>
        <w:t>MNA</w:t>
      </w:r>
      <w:r w:rsidRPr="00334508" w:rsidR="00512317">
        <w:rPr>
          <w:bCs/>
        </w:rPr>
        <w:t>’s</w:t>
      </w:r>
      <w:r w:rsidRPr="00334508" w:rsidR="0006638D">
        <w:rPr>
          <w:bCs/>
        </w:rPr>
        <w:t xml:space="preserve"> </w:t>
      </w:r>
      <w:r w:rsidRPr="00334508">
        <w:rPr>
          <w:bCs/>
        </w:rPr>
        <w:t xml:space="preserve">compliance with the Section 214 Rules.  In addition to implementing the required policies and procedures in the Section 214 Rules, </w:t>
      </w:r>
      <w:r w:rsidRPr="00334508" w:rsidR="0006638D">
        <w:rPr>
          <w:bCs/>
        </w:rPr>
        <w:t>MN</w:t>
      </w:r>
      <w:r w:rsidRPr="00334508" w:rsidR="001546A3">
        <w:rPr>
          <w:bCs/>
        </w:rPr>
        <w:t>A’s</w:t>
      </w:r>
      <w:r w:rsidRPr="00334508" w:rsidR="00512317">
        <w:rPr>
          <w:bCs/>
        </w:rPr>
        <w:t xml:space="preserve"> </w:t>
      </w:r>
      <w:r w:rsidRPr="00334508">
        <w:rPr>
          <w:bCs/>
        </w:rPr>
        <w:t xml:space="preserve">Operating Procedures shall include internal procedures and policies specifically designed to ensure that </w:t>
      </w:r>
      <w:r w:rsidRPr="00334508" w:rsidR="0006638D">
        <w:rPr>
          <w:bCs/>
        </w:rPr>
        <w:t xml:space="preserve">MNA </w:t>
      </w:r>
      <w:r w:rsidRPr="00334508">
        <w:rPr>
          <w:bCs/>
        </w:rPr>
        <w:t xml:space="preserve">complies with the Section 214 Rules.  </w:t>
      </w:r>
      <w:bookmarkStart w:id="5" w:name="_Hlk24981155"/>
      <w:r w:rsidRPr="00334508" w:rsidR="0006638D">
        <w:rPr>
          <w:bCs/>
        </w:rPr>
        <w:t xml:space="preserve">MNA </w:t>
      </w:r>
      <w:bookmarkEnd w:id="5"/>
      <w:r w:rsidRPr="00334508">
        <w:rPr>
          <w:bCs/>
        </w:rPr>
        <w:t>shall also develop a Compliance Checklist that describes the steps a Covered Employee must follow to ensure compliance with the Section 214 Rules.</w:t>
      </w:r>
    </w:p>
    <w:p w:rsidR="00861D95" w:rsidRPr="006038C2" w:rsidP="00334508" w14:paraId="6A2DD347" w14:textId="3B7E4885">
      <w:pPr>
        <w:widowControl/>
        <w:numPr>
          <w:ilvl w:val="0"/>
          <w:numId w:val="14"/>
        </w:numPr>
        <w:spacing w:after="120"/>
      </w:pPr>
      <w:r w:rsidRPr="006038C2">
        <w:rPr>
          <w:b/>
          <w:u w:val="single"/>
        </w:rPr>
        <w:t>Compliance Manual</w:t>
      </w:r>
      <w:r w:rsidRPr="006038C2">
        <w:t xml:space="preserve">.  Within </w:t>
      </w:r>
      <w:r w:rsidR="00056450">
        <w:t>thir</w:t>
      </w:r>
      <w:r w:rsidRPr="006038C2" w:rsidR="00056450">
        <w:t xml:space="preserve">ty </w:t>
      </w:r>
      <w:r w:rsidRPr="006038C2">
        <w:t>(</w:t>
      </w:r>
      <w:r w:rsidR="00056450">
        <w:t>3</w:t>
      </w:r>
      <w:r w:rsidRPr="006038C2" w:rsidR="00056450">
        <w:t>0</w:t>
      </w:r>
      <w:r w:rsidRPr="006038C2">
        <w:t xml:space="preserve">) calendar days after the Effective Date, the Compliance Officer shall develop and distribute a Compliance Manual to all Covered Employees.  The Compliance Manual shall explain Section 214 Rules and set forth the Operating Procedures that Covered Employees shall follow to help ensure </w:t>
      </w:r>
      <w:r w:rsidRPr="0006638D" w:rsidR="0006638D">
        <w:t>MNA</w:t>
      </w:r>
      <w:r w:rsidR="00512317">
        <w:t>’</w:t>
      </w:r>
      <w:r w:rsidR="00056450">
        <w:t>s</w:t>
      </w:r>
      <w:r w:rsidRPr="0006638D" w:rsidR="0006638D">
        <w:t xml:space="preserve"> </w:t>
      </w:r>
      <w:r w:rsidRPr="006038C2">
        <w:t xml:space="preserve">compliance with the Section 214 Rules.  </w:t>
      </w:r>
      <w:r w:rsidRPr="0006638D" w:rsidR="0006638D">
        <w:t xml:space="preserve">MNA </w:t>
      </w:r>
      <w:r w:rsidRPr="006038C2">
        <w:t xml:space="preserve">shall periodically review and revise the Compliance Manual as necessary to ensure that the information set forth therein remains current and accurate.  </w:t>
      </w:r>
      <w:r w:rsidR="00016CF9">
        <w:t xml:space="preserve">MNA </w:t>
      </w:r>
      <w:r w:rsidRPr="006038C2">
        <w:t>shall distribute any revisions to the Compliance Manual promptly to all Covered Employees.</w:t>
      </w:r>
    </w:p>
    <w:p w:rsidR="00861D95" w:rsidRPr="006038C2" w:rsidP="00334508" w14:paraId="7B0F3231" w14:textId="7D479CB5">
      <w:pPr>
        <w:widowControl/>
        <w:numPr>
          <w:ilvl w:val="0"/>
          <w:numId w:val="14"/>
        </w:numPr>
        <w:spacing w:after="120"/>
      </w:pPr>
      <w:r w:rsidRPr="006038C2">
        <w:rPr>
          <w:b/>
          <w:u w:val="single"/>
        </w:rPr>
        <w:t>Compliance Training Program</w:t>
      </w:r>
      <w:r w:rsidRPr="006038C2">
        <w:t xml:space="preserve">.  </w:t>
      </w:r>
      <w:r w:rsidR="00DC3266">
        <w:t xml:space="preserve">MNA </w:t>
      </w:r>
      <w:r w:rsidRPr="006038C2">
        <w:t xml:space="preserve">shall establish and implement a Compliance Training Program on compliance with the Section 214 Rules and the Operating Procedures.  As part of the Compliance Training Program, Covered Employees shall be advised of </w:t>
      </w:r>
      <w:r w:rsidRPr="0006638D" w:rsidR="0006638D">
        <w:t>MNA</w:t>
      </w:r>
      <w:r w:rsidR="001546A3">
        <w:t xml:space="preserve">’s </w:t>
      </w:r>
      <w:r w:rsidRPr="008E2C6D">
        <w:t>obligation to report any noncompliance with the Section 214 Rules under paragraph 17 of</w:t>
      </w:r>
      <w:r w:rsidRPr="006038C2">
        <w:t xml:space="preserve"> this Consent Decree and shall be instructed on how to disclose noncompliance to the Compliance Officer.  All Covered Employees shall be trained pursuant to the Compliance Training Program within </w:t>
      </w:r>
      <w:r w:rsidR="00056450">
        <w:t>thir</w:t>
      </w:r>
      <w:r w:rsidRPr="006038C2" w:rsidR="00056450">
        <w:t xml:space="preserve">ty </w:t>
      </w:r>
      <w:r w:rsidRPr="006038C2">
        <w:t>(</w:t>
      </w:r>
      <w:r w:rsidR="00056450">
        <w:t>3</w:t>
      </w:r>
      <w:r w:rsidRPr="006038C2" w:rsidR="00056450">
        <w:t>0</w:t>
      </w:r>
      <w:r w:rsidRPr="006038C2">
        <w:t xml:space="preserve">) calendar days after the Effective Date, except that any person who becomes a Covered Employee at any time after the initial Compliance Training Program shall be trained within thirty </w:t>
      </w:r>
      <w:r w:rsidRPr="006038C2">
        <w:t xml:space="preserve">(30) calendar days after the date such person becomes a Covered Employee.  </w:t>
      </w:r>
      <w:r w:rsidR="0006638D">
        <w:t xml:space="preserve">MNA </w:t>
      </w:r>
      <w:r w:rsidRPr="006038C2">
        <w:t>shall repeat complia</w:t>
      </w:r>
      <w:r>
        <w:t>nce training on an annual basis</w:t>
      </w:r>
      <w:r w:rsidRPr="006038C2">
        <w:t xml:space="preserve"> and shall periodically review and revise the Compliance Training Program as necessary to ensure that it remains current and complete and to enhance its effectiveness.</w:t>
      </w:r>
    </w:p>
    <w:p w:rsidR="00861D95" w:rsidRPr="007C0B39" w:rsidP="00861D95" w14:paraId="1105751E" w14:textId="0087F201">
      <w:pPr>
        <w:pStyle w:val="ParaNum"/>
        <w:widowControl/>
      </w:pPr>
      <w:bookmarkStart w:id="6" w:name="_Ref321323028"/>
      <w:r w:rsidRPr="007C0B39">
        <w:rPr>
          <w:b/>
          <w:u w:val="single"/>
        </w:rPr>
        <w:t>Reporting Noncompliance</w:t>
      </w:r>
      <w:r w:rsidRPr="007C0B39">
        <w:t xml:space="preserve">.  </w:t>
      </w:r>
      <w:r w:rsidR="0006638D">
        <w:t xml:space="preserve">MNA </w:t>
      </w:r>
      <w:r w:rsidRPr="007C0B39">
        <w:t>shall re</w:t>
      </w:r>
      <w:r>
        <w:t xml:space="preserve">port any noncompliance with the </w:t>
      </w:r>
      <w:r w:rsidRPr="009B4E30">
        <w:rPr>
          <w:szCs w:val="22"/>
        </w:rPr>
        <w:t>Section 214 Rules</w:t>
      </w:r>
      <w:r w:rsidRPr="007C0B39">
        <w:t xml:space="preserve"> and with the terms and conditions of this Consent Decree within fifteen (15) calendar days after discovery of such noncompliance.  Such reports shall include a detailed explanation of: (i) each instance of noncompliance; (ii) the steps that </w:t>
      </w:r>
      <w:r w:rsidR="0006638D">
        <w:t xml:space="preserve">MNA </w:t>
      </w:r>
      <w:r w:rsidRPr="007C0B39">
        <w:t xml:space="preserve">has taken or will take to remedy such noncompliance; (iii) the schedule on which such remedial actions will be taken; and (iv) the steps that </w:t>
      </w:r>
      <w:r w:rsidR="0006638D">
        <w:t xml:space="preserve">MNA </w:t>
      </w:r>
      <w:r w:rsidRPr="007C0B39">
        <w:t xml:space="preserve">has taken or will take to prevent the recurrence of any such noncompliance.  All reports of noncompliance shall be submitted to </w:t>
      </w:r>
      <w:r>
        <w:t>the Chief, Investigations and Hearings Division, Enforcement Bureau, Federal Communications Commission, 445 12</w:t>
      </w:r>
      <w:r w:rsidRPr="008B0E5F">
        <w:t>th</w:t>
      </w:r>
      <w:r>
        <w:t xml:space="preserve"> Street, SW Room 4-C224, Washington, DC 20554,</w:t>
      </w:r>
      <w:r w:rsidRPr="007C0B39">
        <w:t xml:space="preserve"> with a copy submitted electronically to</w:t>
      </w:r>
      <w:bookmarkEnd w:id="6"/>
      <w:r>
        <w:t xml:space="preserve"> </w:t>
      </w:r>
      <w:hyperlink r:id="rId11" w:history="1">
        <w:r w:rsidRPr="0066381D" w:rsidR="00732319">
          <w:rPr>
            <w:rStyle w:val="Hyperlink"/>
          </w:rPr>
          <w:t>Jeffrey.Gee@fcc.gov</w:t>
        </w:r>
      </w:hyperlink>
      <w:r w:rsidRPr="005D0F72">
        <w:t xml:space="preserve">, </w:t>
      </w:r>
      <w:hyperlink r:id="rId12" w:history="1">
        <w:r w:rsidRPr="0066381D">
          <w:rPr>
            <w:rStyle w:val="Hyperlink"/>
          </w:rPr>
          <w:t>Kalun.Lee@fcc.gov</w:t>
        </w:r>
      </w:hyperlink>
      <w:r w:rsidR="0049078A">
        <w:rPr>
          <w:rStyle w:val="Hyperlink"/>
          <w:color w:val="auto"/>
          <w:u w:val="none"/>
        </w:rPr>
        <w:t>,</w:t>
      </w:r>
      <w:r>
        <w:t xml:space="preserve"> and to </w:t>
      </w:r>
      <w:hyperlink r:id="rId13" w:history="1">
        <w:r w:rsidRPr="001A673C" w:rsidR="0049078A">
          <w:rPr>
            <w:rStyle w:val="Hyperlink"/>
          </w:rPr>
          <w:t>Ryan.McDonald@fcc.gov</w:t>
        </w:r>
      </w:hyperlink>
      <w:r w:rsidR="001546A3">
        <w:t xml:space="preserve">. </w:t>
      </w:r>
    </w:p>
    <w:p w:rsidR="00861D95" w:rsidRPr="007C0B39" w:rsidP="00861D95" w14:paraId="196AC85B" w14:textId="1056333E">
      <w:pPr>
        <w:pStyle w:val="ParaNum"/>
        <w:widowControl/>
        <w:rPr>
          <w:caps/>
        </w:rPr>
      </w:pPr>
      <w:bookmarkStart w:id="7" w:name="_Ref379202892"/>
      <w:r w:rsidRPr="007C0B39">
        <w:rPr>
          <w:b/>
          <w:u w:val="single"/>
        </w:rPr>
        <w:t>Compliance Reports</w:t>
      </w:r>
      <w:r w:rsidRPr="007C0B39">
        <w:t xml:space="preserve">.  </w:t>
      </w:r>
      <w:r w:rsidR="00DC3266">
        <w:t xml:space="preserve">MNA </w:t>
      </w:r>
      <w:r w:rsidRPr="007C0B39">
        <w:t>shall file compliance reports with the Commission ninety (90) calendar days after the Effective Date, twelve (12) months after the Effective Date</w:t>
      </w:r>
      <w:r w:rsidR="00D97744">
        <w:t>;</w:t>
      </w:r>
      <w:r w:rsidRPr="007C0B39">
        <w:t xml:space="preserve"> twenty-four (24) months after the Effective Date</w:t>
      </w:r>
      <w:bookmarkEnd w:id="7"/>
      <w:r w:rsidR="00D97744">
        <w:t>; and thirty-six months (36) after the Effective Date</w:t>
      </w:r>
      <w:r>
        <w:t>.</w:t>
      </w:r>
    </w:p>
    <w:p w:rsidR="00861D95" w:rsidRPr="006038C2" w:rsidP="00334508" w14:paraId="30951756" w14:textId="2ADADA2D">
      <w:pPr>
        <w:widowControl/>
        <w:numPr>
          <w:ilvl w:val="0"/>
          <w:numId w:val="12"/>
        </w:numPr>
        <w:tabs>
          <w:tab w:val="clear" w:pos="1782"/>
        </w:tabs>
        <w:spacing w:after="120"/>
        <w:ind w:left="1800" w:hanging="450"/>
      </w:pPr>
      <w:r w:rsidRPr="006038C2">
        <w:t xml:space="preserve">Each Compliance Report shall include a detailed description of </w:t>
      </w:r>
      <w:r w:rsidR="00DC3266">
        <w:t>MNA</w:t>
      </w:r>
      <w:r w:rsidR="001546A3">
        <w:t xml:space="preserve">’s </w:t>
      </w:r>
      <w:r w:rsidRPr="006038C2">
        <w:t xml:space="preserve">efforts during the relevant period to comply with the terms and conditions of this Consent Decree and the Section 214 Rules.  In addition, each Compliance Report shall include a certification by the Compliance Officer, as an agent of and on behalf of </w:t>
      </w:r>
      <w:r w:rsidR="00DC3266">
        <w:t>MNA</w:t>
      </w:r>
      <w:r w:rsidRPr="006038C2">
        <w:t xml:space="preserve">, stating that the Compliance Officer has personal knowledge that </w:t>
      </w:r>
      <w:r w:rsidR="00016CF9">
        <w:t>MNA</w:t>
      </w:r>
      <w:r w:rsidRPr="006038C2">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Pr="00334508">
        <w:t>17</w:t>
      </w:r>
      <w:r>
        <w:t xml:space="preserve"> </w:t>
      </w:r>
      <w:r w:rsidRPr="006038C2">
        <w:t>of this Consent Decree.</w:t>
      </w:r>
    </w:p>
    <w:p w:rsidR="00861D95" w:rsidRPr="006038C2" w:rsidP="00334508" w14:paraId="62AD14A2" w14:textId="77777777">
      <w:pPr>
        <w:widowControl/>
        <w:numPr>
          <w:ilvl w:val="0"/>
          <w:numId w:val="12"/>
        </w:numPr>
        <w:spacing w:after="120"/>
      </w:pPr>
      <w:r w:rsidRPr="006038C2">
        <w:t>The Compliance Officer’s certification shall be accompanied by a statement explaining the basis for such certification and shall comply with Section 1.16 of the Rules and be subscribed to as true under penalty of perjury in substantially the form set forth therein.</w:t>
      </w:r>
      <w:r>
        <w:rPr>
          <w:rStyle w:val="FootnoteReference"/>
        </w:rPr>
        <w:footnoteReference w:id="36"/>
      </w:r>
    </w:p>
    <w:p w:rsidR="00861D95" w:rsidRPr="006038C2" w:rsidP="00334508" w14:paraId="24FD7540" w14:textId="3BEB7156">
      <w:pPr>
        <w:widowControl/>
        <w:numPr>
          <w:ilvl w:val="0"/>
          <w:numId w:val="12"/>
        </w:numPr>
        <w:spacing w:after="120"/>
      </w:pPr>
      <w:r w:rsidRPr="006038C2">
        <w:t xml:space="preserve">If the Compliance Officer cannot provide the requisite certification, the Compliance Officer, as an agent of and on behalf of </w:t>
      </w:r>
      <w:r w:rsidR="00DC3266">
        <w:t>MNA</w:t>
      </w:r>
      <w:r w:rsidRPr="006038C2">
        <w:t xml:space="preserve">, shall provide the Commission with a detailed explanation of the reason(s) why and describe fully:  (i) each instance of noncompliance; (ii) the steps that </w:t>
      </w:r>
      <w:r w:rsidR="00DC3266">
        <w:t xml:space="preserve">MNA </w:t>
      </w:r>
      <w:r w:rsidRPr="006038C2">
        <w:t xml:space="preserve">has taken or will take to remedy such noncompliance, including the schedule on which proposed remedial actions will be taken; and (iii) the steps that </w:t>
      </w:r>
      <w:r w:rsidR="00DC3266">
        <w:t xml:space="preserve">MNA </w:t>
      </w:r>
      <w:r w:rsidRPr="006038C2">
        <w:t>has taken or will take to prevent the recurrence of any such noncompliance, including the schedule on which such preventive action will be taken.</w:t>
      </w:r>
    </w:p>
    <w:p w:rsidR="00861D95" w:rsidRPr="006038C2" w:rsidP="00334508" w14:paraId="2A87EF65" w14:textId="61615537">
      <w:pPr>
        <w:widowControl/>
        <w:numPr>
          <w:ilvl w:val="0"/>
          <w:numId w:val="12"/>
        </w:numPr>
        <w:spacing w:after="120"/>
      </w:pPr>
      <w:r w:rsidRPr="006038C2">
        <w:t>All Compliance Reports shall be submitted the Chief, Investigations and Hearings Division, Enforcement Bureau, Federal Communications Commission, 445 12</w:t>
      </w:r>
      <w:r w:rsidRPr="00681F36">
        <w:rPr>
          <w:rStyle w:val="ParaNumChar"/>
        </w:rPr>
        <w:t>th</w:t>
      </w:r>
      <w:r w:rsidRPr="006038C2">
        <w:t xml:space="preserve"> Street, SW Room 4-C224, Washington, DC 20554, with a copy submitted electronically to </w:t>
      </w:r>
      <w:hyperlink r:id="rId11" w:history="1">
        <w:r w:rsidRPr="0066381D">
          <w:rPr>
            <w:rStyle w:val="Hyperlink"/>
          </w:rPr>
          <w:t>Jeffrey.Gee@fcc.gov</w:t>
        </w:r>
      </w:hyperlink>
      <w:r w:rsidRPr="006038C2">
        <w:t xml:space="preserve">, </w:t>
      </w:r>
      <w:hyperlink r:id="rId12" w:history="1">
        <w:r w:rsidRPr="0066381D">
          <w:rPr>
            <w:rStyle w:val="Hyperlink"/>
          </w:rPr>
          <w:t>Kalun.Lee@fcc.gov</w:t>
        </w:r>
      </w:hyperlink>
      <w:r w:rsidR="00732319">
        <w:rPr>
          <w:rStyle w:val="Hyperlink"/>
          <w:color w:val="auto"/>
          <w:u w:val="none"/>
        </w:rPr>
        <w:t>,</w:t>
      </w:r>
      <w:r w:rsidRPr="006038C2">
        <w:t xml:space="preserve"> and to </w:t>
      </w:r>
      <w:r w:rsidRPr="0066381D" w:rsidR="001546A3">
        <w:rPr>
          <w:rStyle w:val="Hyperlink"/>
        </w:rPr>
        <w:t>Ryan.McDonald@fcc.gov</w:t>
      </w:r>
      <w:r w:rsidRPr="006038C2">
        <w:t>.</w:t>
      </w:r>
      <w:r w:rsidR="001546A3">
        <w:t xml:space="preserve"> </w:t>
      </w:r>
    </w:p>
    <w:p w:rsidR="00E7251E" w:rsidP="00DF6911" w14:paraId="561C10DE" w14:textId="65451062">
      <w:pPr>
        <w:pStyle w:val="ParaNum"/>
        <w:widowControl/>
        <w:rPr>
          <w:szCs w:val="22"/>
        </w:rPr>
      </w:pPr>
      <w:r w:rsidRPr="00083CB2">
        <w:rPr>
          <w:b/>
          <w:szCs w:val="22"/>
          <w:u w:val="single"/>
        </w:rPr>
        <w:t>Termination Date</w:t>
      </w:r>
      <w:r w:rsidRPr="00083CB2">
        <w:rPr>
          <w:szCs w:val="22"/>
        </w:rPr>
        <w:t xml:space="preserve">. </w:t>
      </w:r>
      <w:r w:rsidRPr="00083CB2">
        <w:rPr>
          <w:b/>
          <w:szCs w:val="22"/>
        </w:rPr>
        <w:t xml:space="preserve"> </w:t>
      </w:r>
      <w:r w:rsidRPr="00083CB2">
        <w:rPr>
          <w:szCs w:val="22"/>
        </w:rPr>
        <w:t xml:space="preserve">Unless </w:t>
      </w:r>
      <w:r w:rsidRPr="00083CB2">
        <w:t>stated</w:t>
      </w:r>
      <w:r w:rsidRPr="00083CB2">
        <w:rPr>
          <w:szCs w:val="22"/>
        </w:rPr>
        <w:t xml:space="preserve"> otherwise, the </w:t>
      </w:r>
      <w:r w:rsidRPr="00083CB2">
        <w:t>requirements</w:t>
      </w:r>
      <w:r w:rsidRPr="00083CB2">
        <w:rPr>
          <w:szCs w:val="22"/>
        </w:rPr>
        <w:t xml:space="preserve"> set forth in paragraphs 15 through 18 of this Consent Decree shall expire </w:t>
      </w:r>
      <w:r w:rsidR="00195F4B">
        <w:rPr>
          <w:szCs w:val="22"/>
        </w:rPr>
        <w:t>thirty-six</w:t>
      </w:r>
      <w:r w:rsidRPr="00083CB2">
        <w:rPr>
          <w:szCs w:val="22"/>
        </w:rPr>
        <w:t xml:space="preserve"> (</w:t>
      </w:r>
      <w:r w:rsidR="00195F4B">
        <w:rPr>
          <w:szCs w:val="22"/>
        </w:rPr>
        <w:t>36</w:t>
      </w:r>
      <w:r w:rsidRPr="00083CB2">
        <w:rPr>
          <w:szCs w:val="22"/>
        </w:rPr>
        <w:t>) months after the Effective Date.</w:t>
      </w:r>
    </w:p>
    <w:p w:rsidR="000B17E0" w:rsidP="000B17E0" w14:paraId="259279A9" w14:textId="77777777">
      <w:pPr>
        <w:pStyle w:val="ParaNum"/>
        <w:widowControl/>
        <w:numPr>
          <w:ilvl w:val="0"/>
          <w:numId w:val="0"/>
        </w:numPr>
        <w:ind w:firstLine="720"/>
        <w:rPr>
          <w:szCs w:val="22"/>
        </w:rPr>
      </w:pPr>
    </w:p>
    <w:p w:rsidR="00334508" w:rsidP="00C14C73" w14:paraId="4912F0D4" w14:textId="49B038C9">
      <w:pPr>
        <w:pStyle w:val="ParaNum"/>
      </w:pPr>
      <w:bookmarkStart w:id="8" w:name="_Ref357521957"/>
      <w:r w:rsidRPr="008557B8">
        <w:rPr>
          <w:b/>
          <w:u w:val="single"/>
        </w:rPr>
        <w:t>Settlement Amount</w:t>
      </w:r>
      <w:r w:rsidRPr="00B652F1">
        <w:t>.</w:t>
      </w:r>
      <w:r>
        <w:t xml:space="preserve">  </w:t>
      </w:r>
      <w:r w:rsidR="008557B8">
        <w:t xml:space="preserve">MNA </w:t>
      </w:r>
      <w:r w:rsidRPr="007C0B39">
        <w:t xml:space="preserve">will </w:t>
      </w:r>
      <w:r>
        <w:t xml:space="preserve">make a settlement payment </w:t>
      </w:r>
      <w:r w:rsidRPr="007C0B39">
        <w:t xml:space="preserve">to the United States Treasury in the amount of </w:t>
      </w:r>
      <w:r w:rsidR="008557B8">
        <w:t>eight</w:t>
      </w:r>
      <w:r>
        <w:t xml:space="preserve"> thousand dollars </w:t>
      </w:r>
      <w:r w:rsidRPr="002755D1">
        <w:t>(</w:t>
      </w:r>
      <w:r>
        <w:t>$</w:t>
      </w:r>
      <w:r w:rsidR="008557B8">
        <w:t>8</w:t>
      </w:r>
      <w:r>
        <w:t>,000</w:t>
      </w:r>
      <w:r w:rsidRPr="008557B8">
        <w:t>)</w:t>
      </w:r>
      <w:r w:rsidRPr="008557B8" w:rsidR="008557B8">
        <w:t xml:space="preserve"> within thirty (30) calendar days of the Effective Date.</w:t>
      </w:r>
      <w:r w:rsidR="008557B8">
        <w:t xml:space="preserve">  </w:t>
      </w:r>
      <w:r w:rsidR="00016CF9">
        <w:t xml:space="preserve">MNA </w:t>
      </w:r>
      <w:r w:rsidRPr="007C0B39">
        <w:t xml:space="preserve">shall send electronic notification of payment to </w:t>
      </w:r>
      <w:r>
        <w:t>the Chief, Investigations and Hearings Division, Enforcement Bureau, Federal Communications Commission, 445 12</w:t>
      </w:r>
      <w:r w:rsidRPr="00B652F1">
        <w:t>th</w:t>
      </w:r>
      <w:r>
        <w:t xml:space="preserve"> Street, SW Room 4-C224, Washington, DC 20554,</w:t>
      </w:r>
      <w:r w:rsidRPr="007C0B39">
        <w:t xml:space="preserve"> with a copy submitted electronically to</w:t>
      </w:r>
      <w:r>
        <w:t xml:space="preserve"> </w:t>
      </w:r>
      <w:hyperlink r:id="rId11" w:history="1">
        <w:r w:rsidRPr="0066381D">
          <w:rPr>
            <w:rStyle w:val="Hyperlink"/>
          </w:rPr>
          <w:t>Jeffrey.Gee@fcc.gov</w:t>
        </w:r>
      </w:hyperlink>
      <w:r w:rsidRPr="005D0F72">
        <w:t xml:space="preserve">, </w:t>
      </w:r>
      <w:hyperlink r:id="rId12" w:history="1">
        <w:r w:rsidRPr="0066381D">
          <w:rPr>
            <w:rStyle w:val="Hyperlink"/>
          </w:rPr>
          <w:t>Kalun.Lee@fcc.gov</w:t>
        </w:r>
      </w:hyperlink>
      <w:r w:rsidR="00CD35CD">
        <w:rPr>
          <w:rStyle w:val="Hyperlink"/>
          <w:color w:val="auto"/>
          <w:u w:val="none"/>
        </w:rPr>
        <w:t>,</w:t>
      </w:r>
      <w:r w:rsidRPr="005D0F72">
        <w:t xml:space="preserve"> and to </w:t>
      </w:r>
      <w:r w:rsidRPr="0066381D" w:rsidR="001546A3">
        <w:rPr>
          <w:rStyle w:val="Hyperlink"/>
        </w:rPr>
        <w:t>Ryan.McDonald@fcc.gov</w:t>
      </w:r>
      <w:r>
        <w:t xml:space="preserve"> </w:t>
      </w:r>
      <w:r w:rsidRPr="007C0B39">
        <w:t xml:space="preserve">on the date said payment is made.  </w:t>
      </w:r>
      <w:r w:rsidR="00C14C73">
        <w:t>Payment of the Civil Penalty must be made by credit card, ACH (Automated Clearing House) debit from a bank account using the Commission’s Fee Filer (the Commission’s online payment system),</w:t>
      </w:r>
      <w:r>
        <w:rPr>
          <w:rStyle w:val="FootnoteReference"/>
        </w:rPr>
        <w:footnoteReference w:id="37"/>
      </w:r>
      <w:r w:rsidR="00C14C73">
        <w:rPr>
          <w:sz w:val="14"/>
          <w:szCs w:val="14"/>
        </w:rPr>
        <w:t xml:space="preserve"> </w:t>
      </w:r>
      <w:r w:rsidR="00C14C73">
        <w:t>or by wire transfer. The Commission no longer accepts Civil Penalty payments by check or money order. Below are instructions that payors should follow based on the form of payment selected:</w:t>
      </w:r>
      <w:r>
        <w:rPr>
          <w:rStyle w:val="FootnoteReference"/>
        </w:rPr>
        <w:footnoteReference w:id="38"/>
      </w:r>
    </w:p>
    <w:p w:rsidR="00C14C73" w:rsidP="00334508" w14:paraId="11008748" w14:textId="2243C9FF">
      <w:pPr>
        <w:widowControl/>
        <w:numPr>
          <w:ilvl w:val="0"/>
          <w:numId w:val="13"/>
        </w:numPr>
        <w:tabs>
          <w:tab w:val="clear" w:pos="1782"/>
        </w:tabs>
        <w:spacing w:after="120"/>
      </w:pPr>
      <w:r>
        <w:t xml:space="preserve">Payment by wire transfer must be made to ABA Number 021030004, receiving bank TREAS/NYC, and Account Number 27000001. A completed Form 159 must be faxed to the Federal Communications Commission at 202-418-2843 or e-mailed to </w:t>
      </w:r>
      <w:hyperlink r:id="rId14" w:history="1">
        <w:r w:rsidRPr="00364D8C" w:rsidR="00D51952">
          <w:rPr>
            <w:rStyle w:val="Hyperlink"/>
          </w:rPr>
          <w:t>RROGWireFaxes@fcc.gov</w:t>
        </w:r>
      </w:hyperlink>
      <w: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39"/>
      </w:r>
      <w:r>
        <w:t xml:space="preserve"> For additional detail and wire transfer instructions, go to </w:t>
      </w:r>
      <w:hyperlink r:id="rId15" w:history="1">
        <w:r w:rsidRPr="001A673C" w:rsidR="0049078A">
          <w:rPr>
            <w:rStyle w:val="Hyperlink"/>
          </w:rPr>
          <w:t>https://www.fcc.gov/licensing-databases/fees/wire-transfer</w:t>
        </w:r>
      </w:hyperlink>
      <w:r>
        <w:t>.</w:t>
      </w:r>
    </w:p>
    <w:p w:rsidR="00C14C73" w:rsidRPr="00334508" w:rsidP="00334508" w14:paraId="0A917294" w14:textId="1876CD01">
      <w:pPr>
        <w:widowControl/>
        <w:numPr>
          <w:ilvl w:val="0"/>
          <w:numId w:val="13"/>
        </w:numPr>
        <w:tabs>
          <w:tab w:val="clear" w:pos="1782"/>
        </w:tabs>
        <w:spacing w:after="120"/>
      </w:pPr>
      <w:r w:rsidRPr="00334508">
        <w:t xml:space="preserve">Payment by credit card must be made by using the Commission’s Fee Filer website at </w:t>
      </w:r>
      <w:hyperlink r:id="rId16" w:history="1">
        <w:r w:rsidRPr="001A673C" w:rsidR="0049078A">
          <w:rPr>
            <w:rStyle w:val="Hyperlink"/>
          </w:rPr>
          <w:t>https://apps.fcc.gov/FeeFiler/login.cfm</w:t>
        </w:r>
      </w:hyperlink>
      <w:r w:rsidRPr="00334508">
        <w:t>. To pay by credit card, log-in using the FRN captioned above. If payment must be split across FRNs, complete this process for each FRN. Next, select “Pay bills” on the Fee Filer Menu, and select the bill number associated with the CD Acct. No. – the bill number is the CD Acct. No. with the first two digits excluded – and then choose the “Pay by Credit Card” option. IMPORTANT NOTE: there is a $24,999.99 limit on credit card transactions.</w:t>
      </w:r>
    </w:p>
    <w:p w:rsidR="00C14C73" w:rsidRPr="00334508" w:rsidP="00334508" w14:paraId="7AAB1782" w14:textId="43D47C45">
      <w:pPr>
        <w:widowControl/>
        <w:numPr>
          <w:ilvl w:val="0"/>
          <w:numId w:val="13"/>
        </w:numPr>
        <w:tabs>
          <w:tab w:val="clear" w:pos="1782"/>
        </w:tabs>
        <w:spacing w:after="120"/>
      </w:pPr>
      <w:r w:rsidRPr="00334508">
        <w:t xml:space="preserve">Payment by ACH must be made by using the Commission’s Fee Filer website at </w:t>
      </w:r>
      <w:hyperlink r:id="rId16" w:history="1">
        <w:r w:rsidRPr="001A673C" w:rsidR="0049078A">
          <w:rPr>
            <w:rStyle w:val="Hyperlink"/>
          </w:rPr>
          <w:t>https://apps.fcc.gov/FeeFiler/login.cfm</w:t>
        </w:r>
      </w:hyperlink>
      <w:r w:rsidRPr="00334508">
        <w:t xml:space="preserve">. To pay by ACH, log in using the FRN captioned above. If payment must be split across FRNs, complete this process for each FRN. Next, select “Pay bills” on the Fee Filer Menu and then select the bill number associated with the CD Acct. No. – the bill number is the CD Acct. No. with the first two digits excluded (e.g., NAL 1912345678 = FCC bill Number 12345678) – and choose the “Pay from Bank Account” option. </w:t>
      </w:r>
      <w:r w:rsidR="00CD35CD">
        <w:t xml:space="preserve"> </w:t>
      </w:r>
      <w:r w:rsidRPr="00334508">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861D95" w:rsidP="00861D95" w14:paraId="369170DE" w14:textId="7F521E1C">
      <w:pPr>
        <w:pStyle w:val="ParaNum"/>
        <w:widowControl/>
      </w:pPr>
      <w:r w:rsidRPr="00AF4AD4">
        <w:rPr>
          <w:b/>
          <w:u w:val="single"/>
        </w:rPr>
        <w:t>Event of Default</w:t>
      </w:r>
      <w:r>
        <w:t xml:space="preserve">.  </w:t>
      </w:r>
      <w:r w:rsidR="008557B8">
        <w:t xml:space="preserve">MNA </w:t>
      </w:r>
      <w:r>
        <w:t xml:space="preserve">agrees that an Event of Default shall occur upon the failure by </w:t>
      </w:r>
      <w:r w:rsidR="00B9409A">
        <w:t xml:space="preserve">MNA </w:t>
      </w:r>
      <w:r>
        <w:t xml:space="preserve">to pay the full amount </w:t>
      </w:r>
      <w:r w:rsidR="00C92E56">
        <w:t xml:space="preserve">of the settlement payment on </w:t>
      </w:r>
      <w:r>
        <w:t>or before the due date specified in this Consent Decree.</w:t>
      </w:r>
    </w:p>
    <w:p w:rsidR="000B17E0" w:rsidP="000B17E0" w14:paraId="0C5A1096" w14:textId="25608A6E">
      <w:pPr>
        <w:pStyle w:val="ParaNum"/>
        <w:widowControl/>
        <w:numPr>
          <w:ilvl w:val="0"/>
          <w:numId w:val="0"/>
        </w:numPr>
        <w:ind w:firstLine="720"/>
      </w:pPr>
    </w:p>
    <w:p w:rsidR="000B17E0" w:rsidP="000B17E0" w14:paraId="03AB66A5" w14:textId="77777777">
      <w:pPr>
        <w:pStyle w:val="ParaNum"/>
        <w:widowControl/>
        <w:numPr>
          <w:ilvl w:val="0"/>
          <w:numId w:val="0"/>
        </w:numPr>
        <w:ind w:firstLine="720"/>
      </w:pPr>
    </w:p>
    <w:p w:rsidR="00F6345C" w:rsidP="00861D95" w14:paraId="64887CA9" w14:textId="7F1D4E55">
      <w:pPr>
        <w:pStyle w:val="ParaNum"/>
        <w:widowControl/>
      </w:pPr>
      <w:r w:rsidRPr="00AF4AD4">
        <w:rPr>
          <w:b/>
          <w:u w:val="single"/>
        </w:rPr>
        <w:t>Interest, Charges for Collection, and Acceleration of Maturity Date</w:t>
      </w:r>
      <w:r>
        <w:t xml:space="preserve">.  After an Event of Default has occurred under this Consent Decree, the then unpaid amount of the civil penalty shall accrue interest, computed using the U.S. Prime Rate in effect on the date of the Event of Default plus 4.75 percent,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rsidR="00B9409A">
        <w:t>MNA</w:t>
      </w:r>
      <w:r>
        <w:t>.</w:t>
      </w:r>
    </w:p>
    <w:bookmarkEnd w:id="8"/>
    <w:p w:rsidR="00861D95" w:rsidRPr="007C0B39" w:rsidP="0066381D" w14:paraId="1A131026" w14:textId="76C0F875">
      <w:pPr>
        <w:pStyle w:val="ParaNum"/>
        <w:widowControl/>
      </w:pPr>
      <w:r w:rsidRPr="00F6345C">
        <w:rPr>
          <w:b/>
          <w:u w:val="single"/>
        </w:rPr>
        <w:t>Waivers</w:t>
      </w:r>
      <w:r w:rsidRPr="007C0B39">
        <w:t xml:space="preserve">.  As of the Effective Date, </w:t>
      </w:r>
      <w:r w:rsidR="00B9409A">
        <w:t xml:space="preserve">MNA </w:t>
      </w:r>
      <w:r w:rsidRPr="007C0B39">
        <w:t xml:space="preserve">waives any and all rights it may have to seek administrative or judicial reconsideration, review, appeal or stay, or to otherwise challenge or contest the validity of this Consent Decree and the Adopting Order.  </w:t>
      </w:r>
      <w:r w:rsidR="00B9409A">
        <w:t xml:space="preserve">MNA </w:t>
      </w:r>
      <w:r w:rsidRPr="007C0B39">
        <w:t xml:space="preserve">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sidR="00B9409A">
        <w:t xml:space="preserve">MNA </w:t>
      </w:r>
      <w:r w:rsidRPr="007C0B39">
        <w:t xml:space="preserve">nor the Commission shall contest the validity of the Consent Decree or the Adopting Order, and </w:t>
      </w:r>
      <w:r w:rsidR="00B9409A">
        <w:t xml:space="preserve">MNA </w:t>
      </w:r>
      <w:r w:rsidRPr="007C0B39">
        <w:t xml:space="preserve">shall waive any statutory right to a trial </w:t>
      </w:r>
      <w:r w:rsidRPr="00F6345C">
        <w:rPr>
          <w:i/>
        </w:rPr>
        <w:t>de novo</w:t>
      </w:r>
      <w:r w:rsidRPr="007C0B39">
        <w:t xml:space="preserve">.  </w:t>
      </w:r>
      <w:r w:rsidR="00B9409A">
        <w:t xml:space="preserve">MNA </w:t>
      </w:r>
      <w:r w:rsidRPr="007C0B39">
        <w:t>hereby agrees to waive any claims it may otherwise have under the Equal Access to Justice Act</w:t>
      </w:r>
      <w:r>
        <w:rPr>
          <w:rStyle w:val="FootnoteReference"/>
          <w:szCs w:val="22"/>
        </w:rPr>
        <w:footnoteReference w:id="40"/>
      </w:r>
      <w:r w:rsidRPr="007C0B39">
        <w:t xml:space="preserve"> relating to the matters addressed in this Consent Decree.</w:t>
      </w:r>
    </w:p>
    <w:p w:rsidR="00861D95" w:rsidRPr="007C0B39" w:rsidP="00861D95" w14:paraId="685F2F0F" w14:textId="77777777">
      <w:pPr>
        <w:pStyle w:val="ParaNum"/>
        <w:widowControl/>
        <w:rPr>
          <w:szCs w:val="22"/>
        </w:rPr>
      </w:pPr>
      <w:r w:rsidRPr="007C0B39">
        <w:rPr>
          <w:b/>
          <w:szCs w:val="22"/>
          <w:u w:val="single"/>
        </w:rPr>
        <w:t>Severability</w:t>
      </w:r>
      <w:r w:rsidRPr="007C0B39">
        <w:rPr>
          <w:szCs w:val="22"/>
        </w:rPr>
        <w:t xml:space="preserve">.  The Parties agree that if any of the provisions of the Consent Decree shall be held unenforceable by any court of competent </w:t>
      </w:r>
      <w:r w:rsidRPr="00E039DE">
        <w:t>jurisdiction</w:t>
      </w:r>
      <w:r w:rsidRPr="007C0B39">
        <w:rPr>
          <w:szCs w:val="22"/>
        </w:rPr>
        <w:t>,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861D95" w:rsidRPr="007C0B39" w:rsidP="00861D95" w14:paraId="269D4790" w14:textId="77777777">
      <w:pPr>
        <w:pStyle w:val="ParaNum"/>
        <w:widowControl/>
        <w:rPr>
          <w:szCs w:val="22"/>
        </w:rPr>
      </w:pPr>
      <w:r w:rsidRPr="007C0B39">
        <w:rPr>
          <w:b/>
          <w:szCs w:val="22"/>
          <w:u w:val="single"/>
        </w:rPr>
        <w:t>Invalidity</w:t>
      </w:r>
      <w:r w:rsidRPr="007C0B39">
        <w:rPr>
          <w:szCs w:val="22"/>
        </w:rPr>
        <w:t xml:space="preserve">.  In the event that this Consent </w:t>
      </w:r>
      <w:r w:rsidRPr="00E039DE">
        <w:t>Decree</w:t>
      </w:r>
      <w:r w:rsidRPr="007C0B39">
        <w:rPr>
          <w:szCs w:val="22"/>
        </w:rPr>
        <w:t xml:space="preserve"> in its entirety is rendered invalid by any court of competent jurisdiction, it shall become null and void and may not be used in any manner in any legal proceeding.</w:t>
      </w:r>
    </w:p>
    <w:p w:rsidR="00861D95" w:rsidRPr="007C0B39" w:rsidP="00861D95" w14:paraId="7ACF357A" w14:textId="3AB0CA00">
      <w:pPr>
        <w:pStyle w:val="ParaNum"/>
        <w:widowControl/>
      </w:pPr>
      <w:r w:rsidRPr="007C0B39">
        <w:rPr>
          <w:b/>
          <w:u w:val="single"/>
        </w:rPr>
        <w:t>Subsequent Rule or Order</w:t>
      </w:r>
      <w:r w:rsidRPr="007C0B39">
        <w:t xml:space="preserve">.  The Parties agree that if any provision of the Consent Decree conflicts with any subsequent Rule or Order adopted by the Commission (except an Order specifically intended to revise the terms of this Consent Decree to which </w:t>
      </w:r>
      <w:r w:rsidR="00016CF9">
        <w:t xml:space="preserve">MNA </w:t>
      </w:r>
      <w:r w:rsidRPr="007C0B39">
        <w:t>does not expressly consent) that provision will be superseded by such Rule or Order.</w:t>
      </w:r>
    </w:p>
    <w:p w:rsidR="00861D95" w:rsidRPr="007C0B39" w:rsidP="00861D95" w14:paraId="7A43852C" w14:textId="26A55CCA">
      <w:pPr>
        <w:pStyle w:val="ParaNum"/>
        <w:widowControl/>
      </w:pPr>
      <w:r w:rsidRPr="007C0B39">
        <w:rPr>
          <w:b/>
          <w:u w:val="single"/>
        </w:rPr>
        <w:t>Successors and Assigns</w:t>
      </w:r>
      <w:r w:rsidRPr="007C0B39">
        <w:t xml:space="preserve">.  </w:t>
      </w:r>
      <w:r w:rsidR="00AD4FBE">
        <w:t xml:space="preserve">MNA </w:t>
      </w:r>
      <w:r w:rsidRPr="007C0B39">
        <w:t>agrees that the provisions of this Consent Decree shall be binding on its successors, assigns, and transferees.</w:t>
      </w:r>
    </w:p>
    <w:p w:rsidR="00861D95" w:rsidRPr="007C0B39" w:rsidP="00861D95" w14:paraId="0B58F2EE" w14:textId="77777777">
      <w:pPr>
        <w:pStyle w:val="ParaNum"/>
        <w:widowControl/>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w:t>
      </w:r>
      <w:r w:rsidRPr="00E039DE">
        <w:t>Parties</w:t>
      </w:r>
      <w:r w:rsidRPr="007C0B39">
        <w:rPr>
          <w:szCs w:val="22"/>
        </w:rPr>
        <w:t xml:space="preserve"> with</w:t>
      </w:r>
      <w:r>
        <w:rPr>
          <w:szCs w:val="22"/>
        </w:rPr>
        <w:t xml:space="preserve"> respect to the Investigation.</w:t>
      </w:r>
    </w:p>
    <w:p w:rsidR="00861D95" w:rsidRPr="007C0B39" w:rsidP="00861D95" w14:paraId="6E6C575F" w14:textId="77777777">
      <w:pPr>
        <w:pStyle w:val="ParaNum"/>
        <w:widowControl/>
        <w:rPr>
          <w:szCs w:val="22"/>
        </w:rPr>
      </w:pPr>
      <w:r w:rsidRPr="007C0B39">
        <w:rPr>
          <w:b/>
          <w:szCs w:val="22"/>
          <w:u w:val="single"/>
        </w:rPr>
        <w:t>Modifications</w:t>
      </w:r>
      <w:r w:rsidRPr="007C0B39">
        <w:rPr>
          <w:szCs w:val="22"/>
        </w:rPr>
        <w:t xml:space="preserve">.  This Consent </w:t>
      </w:r>
      <w:r w:rsidRPr="00E039DE">
        <w:t>Decree</w:t>
      </w:r>
      <w:r w:rsidRPr="007C0B39">
        <w:rPr>
          <w:szCs w:val="22"/>
        </w:rPr>
        <w:t xml:space="preserve"> cannot </w:t>
      </w:r>
      <w:r w:rsidRPr="007C0B39">
        <w:t>be</w:t>
      </w:r>
      <w:r w:rsidRPr="007C0B39">
        <w:rPr>
          <w:szCs w:val="22"/>
        </w:rPr>
        <w:t xml:space="preserve"> modified without the advance written consent of both Parties.</w:t>
      </w:r>
    </w:p>
    <w:p w:rsidR="00D11885" w:rsidRPr="00E7251E" w:rsidP="00E7251E" w14:paraId="17A32D12" w14:textId="0A52C7B5">
      <w:pPr>
        <w:pStyle w:val="ParaNum"/>
        <w:widowControl/>
        <w:rPr>
          <w:szCs w:val="22"/>
        </w:rPr>
      </w:pPr>
      <w:r w:rsidRPr="007C0B39">
        <w:rPr>
          <w:b/>
          <w:szCs w:val="22"/>
          <w:u w:val="single"/>
        </w:rPr>
        <w:t>Paragraph Headings</w:t>
      </w:r>
      <w:r w:rsidRPr="007C0B39">
        <w:rPr>
          <w:szCs w:val="22"/>
        </w:rPr>
        <w:t xml:space="preserve">.  The headings of </w:t>
      </w:r>
      <w:r w:rsidRPr="00E039DE">
        <w:t>the</w:t>
      </w:r>
      <w:r w:rsidRPr="007C0B39">
        <w:rPr>
          <w:szCs w:val="22"/>
        </w:rPr>
        <w:t xml:space="preserve"> </w:t>
      </w:r>
      <w:r w:rsidRPr="007C0B39">
        <w:t>paragraphs</w:t>
      </w:r>
      <w:r w:rsidRPr="007C0B39">
        <w:rPr>
          <w:szCs w:val="22"/>
        </w:rPr>
        <w:t xml:space="preserve"> in this Consent Decree are inserted for convenience only and are not intended to affect the meaning or interpretation of this Consent Decree.</w:t>
      </w:r>
    </w:p>
    <w:p w:rsidR="00861D95" w:rsidRPr="007C0B39" w:rsidP="00861D95" w14:paraId="12AE6DCB" w14:textId="77777777">
      <w:pPr>
        <w:pStyle w:val="ParaNum"/>
        <w:widowControl/>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w:t>
      </w:r>
      <w:r w:rsidRPr="00E039DE">
        <w:t>Each</w:t>
      </w:r>
      <w:r w:rsidRPr="007C0B39">
        <w:rPr>
          <w:szCs w:val="22"/>
        </w:rPr>
        <w:t xml:space="preserve"> person signing this Consent Decree on behalf of a Party hereby represents that he or she is fully authorized by the Party to execute this Consent Decree and to bind the Party to its terms and conditions.</w:t>
      </w:r>
    </w:p>
    <w:p w:rsidR="00861D95" w:rsidRPr="007C0B39" w:rsidP="00861D95" w14:paraId="48B6AD0F" w14:textId="77777777">
      <w:pPr>
        <w:pStyle w:val="ParaNum"/>
        <w:widowControl/>
        <w:rPr>
          <w:szCs w:val="22"/>
        </w:rPr>
      </w:pPr>
      <w:r w:rsidRPr="007C0B39">
        <w:rPr>
          <w:b/>
          <w:u w:val="single"/>
        </w:rPr>
        <w:t>Counterparts</w:t>
      </w:r>
      <w:r w:rsidRPr="007C0B39">
        <w:rPr>
          <w:szCs w:val="22"/>
        </w:rPr>
        <w:t xml:space="preserve">.  This Consent Decree may </w:t>
      </w:r>
      <w:r w:rsidRPr="00E039DE">
        <w:t>be</w:t>
      </w:r>
      <w:r w:rsidRPr="007C0B39">
        <w:rPr>
          <w:szCs w:val="22"/>
        </w:rPr>
        <w:t xml:space="preserv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rsidR="00861D95" w:rsidP="00861D95" w14:paraId="2319E7A7" w14:textId="3BD95679">
      <w:pPr>
        <w:keepNext/>
        <w:keepLines/>
        <w:widowControl/>
      </w:pPr>
    </w:p>
    <w:p w:rsidR="000B17E0" w:rsidRPr="007C0B39" w:rsidP="00861D95" w14:paraId="1BD72F62" w14:textId="77777777">
      <w:pPr>
        <w:keepNext/>
        <w:keepLines/>
        <w:widowControl/>
      </w:pPr>
    </w:p>
    <w:p w:rsidR="00861D95" w:rsidRPr="007C0B39" w:rsidP="00861D95" w14:paraId="33D8A4EC" w14:textId="77777777">
      <w:pPr>
        <w:keepNext/>
        <w:keepLines/>
        <w:widowControl/>
      </w:pPr>
    </w:p>
    <w:p w:rsidR="00861D95" w:rsidRPr="007C0B39" w:rsidP="00861D95" w14:paraId="193BAE81" w14:textId="77777777">
      <w:pPr>
        <w:keepNext/>
        <w:keepLines/>
        <w:widowControl/>
      </w:pPr>
      <w:r w:rsidRPr="007C0B39">
        <w:t>________________________________</w:t>
      </w:r>
    </w:p>
    <w:p w:rsidR="00861D95" w:rsidRPr="007C0B39" w:rsidP="00861D95" w14:paraId="21A24A41" w14:textId="77777777">
      <w:pPr>
        <w:keepNext/>
        <w:keepLines/>
        <w:widowControl/>
      </w:pPr>
      <w:r w:rsidRPr="00A10C05">
        <w:rPr>
          <w:szCs w:val="22"/>
        </w:rPr>
        <w:t>Rosemary C. Harold</w:t>
      </w:r>
      <w:r>
        <w:t xml:space="preserve"> </w:t>
      </w:r>
    </w:p>
    <w:p w:rsidR="00861D95" w:rsidRPr="007C0B39" w:rsidP="00861D95" w14:paraId="6A076CB6" w14:textId="77777777">
      <w:pPr>
        <w:keepNext/>
        <w:keepLines/>
        <w:widowControl/>
      </w:pPr>
      <w:r>
        <w:t>Chief</w:t>
      </w:r>
    </w:p>
    <w:p w:rsidR="00861D95" w:rsidRPr="007C0B39" w:rsidP="00861D95" w14:paraId="39E27ECC" w14:textId="77777777">
      <w:pPr>
        <w:keepNext/>
        <w:keepLines/>
        <w:widowControl/>
      </w:pPr>
      <w:r w:rsidRPr="007C0B39">
        <w:t>Enforcement Bureau</w:t>
      </w:r>
    </w:p>
    <w:p w:rsidR="00861D95" w:rsidRPr="007C0B39" w:rsidP="00861D95" w14:paraId="41273B8A" w14:textId="77777777">
      <w:pPr>
        <w:keepNext/>
        <w:keepLines/>
        <w:widowControl/>
      </w:pPr>
    </w:p>
    <w:p w:rsidR="00861D95" w:rsidRPr="007C0B39" w:rsidP="00861D95" w14:paraId="1923F866" w14:textId="77777777">
      <w:pPr>
        <w:keepNext/>
        <w:keepLines/>
        <w:widowControl/>
      </w:pPr>
    </w:p>
    <w:p w:rsidR="00861D95" w:rsidRPr="007C0B39" w:rsidP="00861D95" w14:paraId="13FD1DAD" w14:textId="77777777">
      <w:pPr>
        <w:keepNext/>
        <w:keepLines/>
        <w:widowControl/>
      </w:pPr>
      <w:r w:rsidRPr="007C0B39">
        <w:t>________________________________</w:t>
      </w:r>
    </w:p>
    <w:p w:rsidR="00861D95" w:rsidRPr="007C0B39" w:rsidP="00861D95" w14:paraId="7068274C" w14:textId="77777777">
      <w:pPr>
        <w:keepNext/>
        <w:keepLines/>
        <w:widowControl/>
      </w:pPr>
      <w:r w:rsidRPr="007C0B39">
        <w:t>Date</w:t>
      </w:r>
    </w:p>
    <w:p w:rsidR="00861D95" w:rsidRPr="007C0B39" w:rsidP="00861D95" w14:paraId="66B88A50" w14:textId="77777777">
      <w:pPr>
        <w:keepNext/>
        <w:keepLines/>
        <w:widowControl/>
      </w:pPr>
    </w:p>
    <w:p w:rsidR="00861D95" w:rsidRPr="007C0B39" w:rsidP="00861D95" w14:paraId="509F1B11" w14:textId="77777777">
      <w:pPr>
        <w:keepLines/>
        <w:widowControl/>
      </w:pPr>
    </w:p>
    <w:p w:rsidR="00861D95" w:rsidRPr="007C0B39" w:rsidP="00861D95" w14:paraId="02DE4C9F" w14:textId="77777777">
      <w:pPr>
        <w:keepLines/>
        <w:widowControl/>
      </w:pPr>
    </w:p>
    <w:p w:rsidR="00861D95" w:rsidRPr="007C0B39" w:rsidP="00861D95" w14:paraId="252E2364" w14:textId="77777777">
      <w:pPr>
        <w:keepLines/>
        <w:widowControl/>
      </w:pPr>
      <w:r w:rsidRPr="007C0B39">
        <w:t>________________________________</w:t>
      </w:r>
    </w:p>
    <w:p w:rsidR="00861D95" w:rsidRPr="007C0B39" w:rsidP="00861D95" w14:paraId="76106C93" w14:textId="37AC791A">
      <w:pPr>
        <w:keepLines/>
        <w:widowControl/>
      </w:pPr>
      <w:r>
        <w:rPr>
          <w:color w:val="000000"/>
          <w:szCs w:val="22"/>
        </w:rPr>
        <w:t xml:space="preserve">Michael Morey </w:t>
      </w:r>
    </w:p>
    <w:p w:rsidR="00861D95" w:rsidRPr="007C0B39" w:rsidP="00861D95" w14:paraId="6F222B8D" w14:textId="6EAEAF56">
      <w:pPr>
        <w:keepLines/>
        <w:widowControl/>
      </w:pPr>
      <w:r>
        <w:t>President and CEO</w:t>
      </w:r>
    </w:p>
    <w:p w:rsidR="00861D95" w:rsidP="00861D95" w14:paraId="0CEDACA6" w14:textId="0192ADFE">
      <w:pPr>
        <w:keepLines/>
        <w:widowControl/>
      </w:pPr>
      <w:r>
        <w:t>Missouri Network Alliance, LLC</w:t>
      </w:r>
      <w:r w:rsidRPr="007C0B39">
        <w:t xml:space="preserve"> </w:t>
      </w:r>
      <w:r>
        <w:t xml:space="preserve"> </w:t>
      </w:r>
    </w:p>
    <w:p w:rsidR="00861D95" w:rsidP="00861D95" w14:paraId="1505097D" w14:textId="77777777">
      <w:pPr>
        <w:keepLines/>
        <w:widowControl/>
      </w:pPr>
    </w:p>
    <w:p w:rsidR="00861D95" w:rsidP="00861D95" w14:paraId="7D49C830" w14:textId="77777777">
      <w:pPr>
        <w:keepLines/>
        <w:widowControl/>
      </w:pPr>
    </w:p>
    <w:p w:rsidR="00861D95" w:rsidRPr="007C0B39" w:rsidP="00861D95" w14:paraId="1291DA18" w14:textId="77777777">
      <w:pPr>
        <w:keepLines/>
        <w:widowControl/>
      </w:pPr>
    </w:p>
    <w:p w:rsidR="00861D95" w:rsidRPr="007C0B39" w:rsidP="00861D95" w14:paraId="0068798E" w14:textId="77777777">
      <w:pPr>
        <w:keepLines/>
        <w:widowControl/>
      </w:pPr>
      <w:r w:rsidRPr="007C0B39">
        <w:t>________________________________</w:t>
      </w:r>
    </w:p>
    <w:p w:rsidR="00861D95" w:rsidRPr="002C00E8" w:rsidP="00861D95" w14:paraId="430BDDDB" w14:textId="77777777">
      <w:pPr>
        <w:keepLines/>
        <w:widowControl/>
      </w:pPr>
      <w:r w:rsidRPr="007C0B39">
        <w:t>Date</w:t>
      </w:r>
    </w:p>
    <w:p w:rsidR="00861D95" w:rsidRPr="008C4282" w:rsidP="00861D95" w14:paraId="394AE6EA" w14:textId="77777777">
      <w:pPr>
        <w:widowControl/>
        <w:rPr>
          <w:szCs w:val="22"/>
        </w:rPr>
      </w:pPr>
    </w:p>
    <w:p w:rsidR="004A147B" w:rsidP="00823B51" w14:paraId="14827BE1" w14:textId="57A6136F">
      <w:pPr>
        <w:keepNext/>
        <w:keepLines/>
        <w:widowControl/>
        <w:outlineLvl w:val="0"/>
        <w:rPr>
          <w:szCs w:val="22"/>
        </w:rPr>
      </w:pPr>
    </w:p>
    <w:sectPr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E690D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74E41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76B237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43D277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1903CC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C73" w14:paraId="0FAE8C15" w14:textId="77777777">
      <w:r>
        <w:separator/>
      </w:r>
    </w:p>
  </w:footnote>
  <w:footnote w:type="continuationSeparator" w:id="1">
    <w:p w:rsidR="00E87C73" w:rsidP="00C721AC" w14:paraId="6EA0F9C0" w14:textId="77777777">
      <w:pPr>
        <w:spacing w:before="120"/>
        <w:rPr>
          <w:sz w:val="20"/>
        </w:rPr>
      </w:pPr>
      <w:r>
        <w:rPr>
          <w:sz w:val="20"/>
        </w:rPr>
        <w:t xml:space="preserve">(Continued from previous page)  </w:t>
      </w:r>
      <w:r>
        <w:rPr>
          <w:sz w:val="20"/>
        </w:rPr>
        <w:separator/>
      </w:r>
    </w:p>
  </w:footnote>
  <w:footnote w:type="continuationNotice" w:id="2">
    <w:p w:rsidR="00E87C73" w:rsidP="00C721AC" w14:paraId="24D7D6CA" w14:textId="77777777">
      <w:pPr>
        <w:jc w:val="right"/>
        <w:rPr>
          <w:sz w:val="20"/>
        </w:rPr>
      </w:pPr>
    </w:p>
  </w:footnote>
  <w:footnote w:id="3">
    <w:p w:rsidR="00267049" w:rsidP="00267049" w14:paraId="79CF9DE8" w14:textId="77777777">
      <w:pPr>
        <w:pStyle w:val="FootnoteText"/>
      </w:pPr>
      <w:r>
        <w:rPr>
          <w:rStyle w:val="FootnoteReference"/>
        </w:rPr>
        <w:footnoteRef/>
      </w:r>
      <w:r>
        <w:t xml:space="preserve"> 47 USC </w:t>
      </w:r>
      <w:r w:rsidRPr="00E3357E">
        <w:t>§</w:t>
      </w:r>
      <w:r>
        <w:t xml:space="preserve"> 214</w:t>
      </w:r>
      <w:r w:rsidRPr="00E3357E">
        <w:t>.</w:t>
      </w:r>
    </w:p>
  </w:footnote>
  <w:footnote w:id="4">
    <w:p w:rsidR="00267049" w:rsidP="00267049" w14:paraId="2CE9D1E8" w14:textId="77777777">
      <w:pPr>
        <w:pStyle w:val="FootnoteText"/>
      </w:pPr>
      <w:r>
        <w:rPr>
          <w:rStyle w:val="FootnoteReference"/>
        </w:rPr>
        <w:footnoteRef/>
      </w:r>
      <w:r>
        <w:t xml:space="preserve"> 47 </w:t>
      </w:r>
      <w:r w:rsidRPr="00015200">
        <w:t>CFR §§ 63.03, 63.04.</w:t>
      </w:r>
    </w:p>
  </w:footnote>
  <w:footnote w:id="5">
    <w:p w:rsidR="00267049" w:rsidRPr="00F74D07" w:rsidP="00267049" w14:paraId="2126783E" w14:textId="77777777">
      <w:pPr>
        <w:pStyle w:val="FootnoteText"/>
      </w:pPr>
      <w:r>
        <w:rPr>
          <w:rStyle w:val="FootnoteReference"/>
        </w:rPr>
        <w:footnoteRef/>
      </w:r>
      <w:r>
        <w:t xml:space="preserve"> </w:t>
      </w:r>
      <w:r>
        <w:rPr>
          <w:i/>
        </w:rPr>
        <w:t xml:space="preserve">See </w:t>
      </w:r>
      <w:r>
        <w:t>47 CFR § 1.93(b).</w:t>
      </w:r>
    </w:p>
  </w:footnote>
  <w:footnote w:id="6">
    <w:p w:rsidR="00267049" w:rsidRPr="00D84548" w:rsidP="00267049" w14:paraId="5BDF9686" w14:textId="77777777">
      <w:pPr>
        <w:pStyle w:val="FootnoteText"/>
      </w:pPr>
      <w:r w:rsidRPr="00D84548">
        <w:rPr>
          <w:rStyle w:val="FootnoteReference"/>
        </w:rPr>
        <w:footnoteRef/>
      </w:r>
      <w:r w:rsidRPr="00D84548">
        <w:t xml:space="preserve"> </w:t>
      </w:r>
      <w:r>
        <w:rPr>
          <w:szCs w:val="22"/>
        </w:rPr>
        <w:t>47 U.S.C.</w:t>
      </w:r>
      <w:r w:rsidRPr="00D84548">
        <w:rPr>
          <w:szCs w:val="22"/>
        </w:rPr>
        <w:t xml:space="preserve"> §</w:t>
      </w:r>
      <w:r>
        <w:rPr>
          <w:szCs w:val="22"/>
        </w:rPr>
        <w:t xml:space="preserve"> 154(i).</w:t>
      </w:r>
    </w:p>
  </w:footnote>
  <w:footnote w:id="7">
    <w:p w:rsidR="00267049" w:rsidP="00267049" w14:paraId="2B9E6EC5"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8">
    <w:p w:rsidR="00823B51" w:rsidP="00823B51" w14:paraId="26E7A024" w14:textId="77777777">
      <w:pPr>
        <w:pStyle w:val="FootnoteText"/>
      </w:pPr>
      <w:r>
        <w:rPr>
          <w:rStyle w:val="FootnoteReference"/>
        </w:rPr>
        <w:footnoteRef/>
      </w:r>
      <w:r>
        <w:t xml:space="preserve"> 47 U.S.C. </w:t>
      </w:r>
      <w:r w:rsidRPr="00E3357E">
        <w:t>§</w:t>
      </w:r>
      <w:r>
        <w:t xml:space="preserve"> 214</w:t>
      </w:r>
      <w:r w:rsidRPr="00E3357E">
        <w:t>.</w:t>
      </w:r>
    </w:p>
  </w:footnote>
  <w:footnote w:id="9">
    <w:p w:rsidR="00823B51" w:rsidRPr="00D36906" w:rsidP="00823B51" w14:paraId="1EF73DBA" w14:textId="507CEEFA">
      <w:pPr>
        <w:pStyle w:val="FootnoteText"/>
        <w:rPr>
          <w:lang w:val="fr-FR"/>
        </w:rPr>
      </w:pPr>
      <w:r>
        <w:rPr>
          <w:rStyle w:val="FootnoteReference"/>
        </w:rPr>
        <w:footnoteRef/>
      </w:r>
      <w:r w:rsidRPr="00D36906">
        <w:rPr>
          <w:lang w:val="fr-FR"/>
        </w:rPr>
        <w:t xml:space="preserve"> 47 CFR §§ 63.03, 63.04.</w:t>
      </w:r>
    </w:p>
  </w:footnote>
  <w:footnote w:id="10">
    <w:p w:rsidR="00B64CD5" w:rsidRPr="00D36906" w:rsidP="00B64CD5" w14:paraId="4BEDB56B" w14:textId="77777777">
      <w:pPr>
        <w:pStyle w:val="FootnoteText"/>
        <w:rPr>
          <w:lang w:val="fr-FR"/>
        </w:rPr>
      </w:pPr>
      <w:r>
        <w:rPr>
          <w:rStyle w:val="FootnoteReference"/>
        </w:rPr>
        <w:footnoteRef/>
      </w:r>
      <w:r w:rsidRPr="00D36906">
        <w:rPr>
          <w:lang w:val="fr-FR"/>
        </w:rPr>
        <w:t xml:space="preserve"> </w:t>
      </w:r>
      <w:r w:rsidRPr="00D36906">
        <w:rPr>
          <w:szCs w:val="22"/>
          <w:lang w:val="fr-FR"/>
        </w:rPr>
        <w:t xml:space="preserve">47 </w:t>
      </w:r>
      <w:r w:rsidRPr="00D36906">
        <w:rPr>
          <w:lang w:val="fr-FR"/>
        </w:rPr>
        <w:t>U.S.C.</w:t>
      </w:r>
      <w:r w:rsidRPr="00D36906">
        <w:rPr>
          <w:szCs w:val="22"/>
          <w:lang w:val="fr-FR"/>
        </w:rPr>
        <w:t xml:space="preserve"> § 151 </w:t>
      </w:r>
      <w:r w:rsidRPr="00D36906">
        <w:rPr>
          <w:i/>
          <w:szCs w:val="22"/>
          <w:lang w:val="fr-FR"/>
        </w:rPr>
        <w:t>et seq.</w:t>
      </w:r>
    </w:p>
  </w:footnote>
  <w:footnote w:id="11">
    <w:p w:rsidR="00B64CD5" w:rsidP="00B64CD5" w14:paraId="7955B0BF" w14:textId="77777777">
      <w:pPr>
        <w:pStyle w:val="FootnoteText"/>
      </w:pPr>
      <w:r>
        <w:rPr>
          <w:rStyle w:val="FootnoteReference"/>
        </w:rPr>
        <w:footnoteRef/>
      </w:r>
      <w:r>
        <w:t xml:space="preserve"> </w:t>
      </w:r>
      <w:r w:rsidRPr="009572C1">
        <w:rPr>
          <w:i/>
        </w:rPr>
        <w:t>See</w:t>
      </w:r>
      <w:r>
        <w:t xml:space="preserve"> 47 U.S.C. § 214(a)</w:t>
      </w:r>
      <w:r w:rsidRPr="009572C1">
        <w:t>.</w:t>
      </w:r>
    </w:p>
  </w:footnote>
  <w:footnote w:id="12">
    <w:p w:rsidR="00B64CD5" w:rsidP="00B64CD5" w14:paraId="676A7849" w14:textId="77777777">
      <w:pPr>
        <w:pStyle w:val="FootnoteText"/>
      </w:pPr>
      <w:r>
        <w:rPr>
          <w:rStyle w:val="FootnoteReference"/>
        </w:rPr>
        <w:footnoteRef/>
      </w:r>
      <w:r>
        <w:t xml:space="preserve"> 47 CFR § 63.01; </w:t>
      </w:r>
      <w:r>
        <w:rPr>
          <w:i/>
        </w:rPr>
        <w:t>See Implementation of Section 402(b)(2)(A) of the Telecommunications Act of 1996</w:t>
      </w:r>
      <w:r w:rsidRPr="001B2C64">
        <w:t xml:space="preserve">; </w:t>
      </w:r>
      <w:r>
        <w:rPr>
          <w:i/>
        </w:rPr>
        <w:t>Petition for Forbearance of the Independent Telephone &amp; Telecommunications Alliance</w:t>
      </w:r>
      <w:r>
        <w:t>, Report and Order and Second Memorandum Opinion and Order, 14 FCC Rcd 11364 (1999) (</w:t>
      </w:r>
      <w:r>
        <w:rPr>
          <w:i/>
        </w:rPr>
        <w:t>1999 Streamlining Order</w:t>
      </w:r>
      <w:r>
        <w:t>).</w:t>
      </w:r>
      <w:r>
        <w:rPr>
          <w:i/>
        </w:rPr>
        <w:t xml:space="preserve">  </w:t>
      </w:r>
    </w:p>
  </w:footnote>
  <w:footnote w:id="13">
    <w:p w:rsidR="00B64CD5" w:rsidP="00B64CD5" w14:paraId="7A956DBF" w14:textId="0390A350">
      <w:pPr>
        <w:pStyle w:val="FootnoteText"/>
      </w:pPr>
      <w:r>
        <w:rPr>
          <w:rStyle w:val="FootnoteReference"/>
        </w:rPr>
        <w:footnoteRef/>
      </w:r>
      <w:r>
        <w:t xml:space="preserve"> 47 CFR § 63.03; </w:t>
      </w:r>
      <w:r>
        <w:rPr>
          <w:i/>
        </w:rPr>
        <w:t>See Implementation of Further Streamlining Measures for Domestic Section 214 Authorizations</w:t>
      </w:r>
      <w:r w:rsidRPr="001B2C64">
        <w:t xml:space="preserve">, </w:t>
      </w:r>
      <w:r>
        <w:t>Report and Order, 17 FCC Rcd 5517, 5521, para. 5 (2002) (</w:t>
      </w:r>
      <w:r>
        <w:rPr>
          <w:i/>
        </w:rPr>
        <w:t>2002 Streamlining Order</w:t>
      </w:r>
      <w:r>
        <w:t xml:space="preserve">).  </w:t>
      </w:r>
      <w:r>
        <w:rPr>
          <w:i/>
        </w:rPr>
        <w:t xml:space="preserve">See also </w:t>
      </w:r>
      <w:r>
        <w:t xml:space="preserve">47 </w:t>
      </w:r>
      <w:r w:rsidRPr="003F6349">
        <w:t>CFR</w:t>
      </w:r>
      <w:r>
        <w:t xml:space="preserve"> § 63.03(d)(1) (excluding all </w:t>
      </w:r>
      <w:r w:rsidRPr="001D5F43">
        <w:rPr>
          <w:i/>
        </w:rPr>
        <w:t>pro forma</w:t>
      </w:r>
      <w:r>
        <w:t xml:space="preserve"> transactions, which do not result in a change in the carrier’s ultimate ownership or control, from the domestic Section 214 application and approval requirements), § 63.04(d)(2) (requiring that a post-transaction notice be filed with the Commission within 30 days of a </w:t>
      </w:r>
      <w:r w:rsidRPr="001D5F43">
        <w:rPr>
          <w:i/>
        </w:rPr>
        <w:t>pro forma</w:t>
      </w:r>
      <w:r>
        <w:t xml:space="preserve"> transfer of a domestic </w:t>
      </w:r>
      <w:r w:rsidR="00610EAD">
        <w:t xml:space="preserve">section </w:t>
      </w:r>
      <w:r>
        <w:t xml:space="preserve">214 authorization to a trustee, a debtor-in-possession, or any other party pursuant to any applicable chapter of the Bankruptcy Code).  </w:t>
      </w:r>
    </w:p>
  </w:footnote>
  <w:footnote w:id="14">
    <w:p w:rsidR="00B64CD5" w:rsidP="00B64CD5" w14:paraId="51A0216F" w14:textId="77777777">
      <w:pPr>
        <w:pStyle w:val="FootnoteText"/>
      </w:pPr>
      <w:r>
        <w:rPr>
          <w:rStyle w:val="FootnoteReference"/>
        </w:rPr>
        <w:footnoteRef/>
      </w:r>
      <w:r>
        <w:t xml:space="preserve"> </w:t>
      </w:r>
      <w:r>
        <w:rPr>
          <w:i/>
        </w:rPr>
        <w:t xml:space="preserve">See </w:t>
      </w:r>
      <w:r>
        <w:t xml:space="preserve">47 CFR §§ 63.01, 63.03, 63.04, 63.18 and 63.24; </w:t>
      </w:r>
      <w:r>
        <w:rPr>
          <w:i/>
        </w:rPr>
        <w:t>see also 2002 Streamlining Order</w:t>
      </w:r>
      <w:r>
        <w:t xml:space="preserve">, 17 FCC Rcd at </w:t>
      </w:r>
      <w:r w:rsidRPr="00F920D0">
        <w:t>5547-49</w:t>
      </w:r>
      <w:r>
        <w:t xml:space="preserve">, paras. 59-64 </w:t>
      </w:r>
      <w:r w:rsidRPr="006126B6">
        <w:t>(modify</w:t>
      </w:r>
      <w:r>
        <w:t>ing</w:t>
      </w:r>
      <w:r w:rsidRPr="006126B6">
        <w:t xml:space="preserve"> </w:t>
      </w:r>
      <w:r>
        <w:t>47 CFR §</w:t>
      </w:r>
      <w:r w:rsidRPr="006126B6">
        <w:t xml:space="preserve"> 63.01 to reflect that asset purchases will no longer be subject to blanket authority, but rather will be treated as transfers of contro</w:t>
      </w:r>
      <w:r>
        <w:t>l).</w:t>
      </w:r>
    </w:p>
  </w:footnote>
  <w:footnote w:id="15">
    <w:p w:rsidR="00B64CD5" w:rsidP="00B64CD5" w14:paraId="072F92A5" w14:textId="77777777">
      <w:pPr>
        <w:pStyle w:val="FootnoteText"/>
      </w:pPr>
      <w:r>
        <w:rPr>
          <w:rStyle w:val="FootnoteReference"/>
        </w:rPr>
        <w:footnoteRef/>
      </w:r>
      <w:r>
        <w:t xml:space="preserve"> </w:t>
      </w:r>
      <w:r>
        <w:rPr>
          <w:i/>
        </w:rPr>
        <w:t xml:space="preserve">See </w:t>
      </w:r>
      <w:r>
        <w:t>47 CFR § 63.04.</w:t>
      </w:r>
    </w:p>
  </w:footnote>
  <w:footnote w:id="16">
    <w:p w:rsidR="00B64CD5" w:rsidP="00B64CD5" w14:paraId="471965F5" w14:textId="77777777">
      <w:pPr>
        <w:pStyle w:val="FootnoteText"/>
      </w:pPr>
      <w:r>
        <w:rPr>
          <w:rStyle w:val="FootnoteReference"/>
        </w:rPr>
        <w:footnoteRef/>
      </w:r>
      <w:r>
        <w:t xml:space="preserve"> </w:t>
      </w:r>
      <w:r>
        <w:rPr>
          <w:i/>
        </w:rPr>
        <w:t xml:space="preserve">See </w:t>
      </w:r>
      <w:r>
        <w:t>47 U.S.C. § 214(a).</w:t>
      </w:r>
    </w:p>
  </w:footnote>
  <w:footnote w:id="17">
    <w:p w:rsidR="00B16DA0" w:rsidRPr="00C8227F" w:rsidP="00B16DA0" w14:paraId="4589F6D1" w14:textId="33E1F9A8">
      <w:pPr>
        <w:pStyle w:val="FootnoteText"/>
      </w:pPr>
      <w:r w:rsidRPr="00C8227F">
        <w:rPr>
          <w:rStyle w:val="FootnoteReference"/>
        </w:rPr>
        <w:footnoteRef/>
      </w:r>
      <w:r w:rsidRPr="00C8227F">
        <w:t xml:space="preserve"> </w:t>
      </w:r>
      <w:r w:rsidRPr="00C8227F" w:rsidR="00C8227F">
        <w:rPr>
          <w:i/>
        </w:rPr>
        <w:t xml:space="preserve">See </w:t>
      </w:r>
      <w:r w:rsidR="00C8227F">
        <w:t>Joint Application for Consent to Transfer Control</w:t>
      </w:r>
      <w:r w:rsidRPr="00C8227F" w:rsidR="00C8227F">
        <w:rPr>
          <w:bCs/>
        </w:rPr>
        <w:t xml:space="preserve">, </w:t>
      </w:r>
      <w:r w:rsidRPr="00C8227F" w:rsidR="00C8227F">
        <w:t>WC Docket No. 19-</w:t>
      </w:r>
      <w:r w:rsidR="00C8227F">
        <w:t>50</w:t>
      </w:r>
      <w:r w:rsidRPr="00C8227F" w:rsidR="00C8227F">
        <w:t xml:space="preserve"> (filed Mar. </w:t>
      </w:r>
      <w:r w:rsidR="001E4497">
        <w:t>4</w:t>
      </w:r>
      <w:r w:rsidRPr="00C8227F" w:rsidR="00C8227F">
        <w:t>, 2019) (MIP IV MW Application).</w:t>
      </w:r>
      <w:r w:rsidR="00BE3BFE">
        <w:t xml:space="preserve">  </w:t>
      </w:r>
    </w:p>
  </w:footnote>
  <w:footnote w:id="18">
    <w:p w:rsidR="00D16377" w:rsidRPr="00D16377" w14:paraId="286612F7" w14:textId="107354C7">
      <w:pPr>
        <w:pStyle w:val="FootnoteText"/>
      </w:pPr>
      <w:r>
        <w:rPr>
          <w:rStyle w:val="FootnoteReference"/>
        </w:rPr>
        <w:footnoteRef/>
      </w:r>
      <w:r>
        <w:t xml:space="preserve"> </w:t>
      </w:r>
      <w:r w:rsidR="00C8227F">
        <w:rPr>
          <w:i/>
        </w:rPr>
        <w:t xml:space="preserve">See </w:t>
      </w:r>
      <w:r w:rsidR="00C8227F">
        <w:t>Joint Application at 2.</w:t>
      </w:r>
    </w:p>
  </w:footnote>
  <w:footnote w:id="19">
    <w:p w:rsidR="00B16DA0" w:rsidRPr="00C8227F" w:rsidP="00B16DA0" w14:paraId="07626C0D" w14:textId="534E6B6B">
      <w:pPr>
        <w:pStyle w:val="FootnoteText"/>
      </w:pPr>
      <w:r>
        <w:rPr>
          <w:rStyle w:val="FootnoteReference"/>
        </w:rPr>
        <w:footnoteRef/>
      </w:r>
      <w:r>
        <w:t xml:space="preserve"> </w:t>
      </w:r>
      <w:r w:rsidR="00C8227F">
        <w:rPr>
          <w:i/>
        </w:rPr>
        <w:t xml:space="preserve">See </w:t>
      </w:r>
      <w:r w:rsidR="00826A2A">
        <w:rPr>
          <w:i/>
          <w:iCs/>
        </w:rPr>
        <w:t>id.</w:t>
      </w:r>
    </w:p>
  </w:footnote>
  <w:footnote w:id="20">
    <w:p w:rsidR="00673A1C" w:rsidRPr="00673A1C" w14:paraId="3A24DD91" w14:textId="32284F26">
      <w:pPr>
        <w:pStyle w:val="FootnoteText"/>
      </w:pPr>
      <w:r>
        <w:rPr>
          <w:rStyle w:val="FootnoteReference"/>
        </w:rPr>
        <w:footnoteRef/>
      </w:r>
      <w:r>
        <w:t xml:space="preserve"> </w:t>
      </w:r>
      <w:r>
        <w:rPr>
          <w:i/>
        </w:rPr>
        <w:t>See</w:t>
      </w:r>
      <w:r>
        <w:t xml:space="preserve"> </w:t>
      </w:r>
      <w:r w:rsidR="001E4497">
        <w:t>Joint Application at 2</w:t>
      </w:r>
      <w:r>
        <w:t xml:space="preserve">. </w:t>
      </w:r>
      <w:r>
        <w:rPr>
          <w:i/>
        </w:rPr>
        <w:t>See also</w:t>
      </w:r>
      <w:r>
        <w:t xml:space="preserve"> 47 CFR</w:t>
      </w:r>
      <w:r w:rsidR="00B547F3">
        <w:t xml:space="preserve"> §</w:t>
      </w:r>
      <w:r>
        <w:t xml:space="preserve"> 63.03(d)</w:t>
      </w:r>
      <w:r w:rsidR="00B547F3">
        <w:t>(1)</w:t>
      </w:r>
      <w:r>
        <w:t xml:space="preserve"> (explaining that a “common carrier under section 214 … is authorized to undertake any corporate restructuring… that does not result in a change of ultimate ownership or control.” Such a restructuring is considered a </w:t>
      </w:r>
      <w:r w:rsidRPr="00026414">
        <w:rPr>
          <w:i/>
        </w:rPr>
        <w:t>pro forma</w:t>
      </w:r>
      <w:r>
        <w:t xml:space="preserve"> transfer of control and no Commission approval is generally required.). </w:t>
      </w:r>
    </w:p>
  </w:footnote>
  <w:footnote w:id="21">
    <w:p w:rsidR="00E949E6" w:rsidRPr="00EB0A0B" w14:paraId="4C0E460B" w14:textId="401E5341">
      <w:pPr>
        <w:pStyle w:val="FootnoteText"/>
      </w:pPr>
      <w:r>
        <w:rPr>
          <w:rStyle w:val="FootnoteReference"/>
        </w:rPr>
        <w:footnoteRef/>
      </w:r>
      <w:r>
        <w:t xml:space="preserve"> </w:t>
      </w:r>
      <w:r w:rsidR="00EB0A0B">
        <w:rPr>
          <w:i/>
        </w:rPr>
        <w:t>See</w:t>
      </w:r>
      <w:r w:rsidR="00EB0A0B">
        <w:t xml:space="preserve"> Joint Application at 5.</w:t>
      </w:r>
    </w:p>
  </w:footnote>
  <w:footnote w:id="22">
    <w:p w:rsidR="00E949E6" w:rsidRPr="001E4497" w14:paraId="3A4441E6" w14:textId="7DB4A904">
      <w:pPr>
        <w:pStyle w:val="FootnoteText"/>
      </w:pPr>
      <w:r>
        <w:rPr>
          <w:rStyle w:val="FootnoteReference"/>
        </w:rPr>
        <w:footnoteRef/>
      </w:r>
      <w:r>
        <w:t xml:space="preserve"> </w:t>
      </w:r>
      <w:r w:rsidR="001E4497">
        <w:rPr>
          <w:i/>
        </w:rPr>
        <w:t>See</w:t>
      </w:r>
      <w:r w:rsidR="001E4497">
        <w:t xml:space="preserve"> Joint Application at 2.</w:t>
      </w:r>
    </w:p>
  </w:footnote>
  <w:footnote w:id="23">
    <w:p w:rsidR="000C2318" w14:paraId="693CC102" w14:textId="13B549D1">
      <w:pPr>
        <w:pStyle w:val="FootnoteText"/>
      </w:pPr>
      <w:r>
        <w:rPr>
          <w:rStyle w:val="FootnoteReference"/>
        </w:rPr>
        <w:footnoteRef/>
      </w:r>
      <w:r>
        <w:t xml:space="preserve"> </w:t>
      </w:r>
      <w:r w:rsidR="00F13194">
        <w:rPr>
          <w:i/>
          <w:iCs/>
        </w:rPr>
        <w:t>See</w:t>
      </w:r>
      <w:r w:rsidR="00F13194">
        <w:t xml:space="preserve"> </w:t>
      </w:r>
      <w:r w:rsidRPr="00511163" w:rsidR="00F13194">
        <w:t>Letter from Jeffrey J. Gee, Chief, Investigations &amp; Hearings Division, FCC Enforcement Bureau, to R. Otto Maly, Manager, Bluebird Media, LLC (June 4, 2019) (on file in EB-IHD-19-00029224) (</w:t>
      </w:r>
      <w:r w:rsidRPr="0094598F" w:rsidR="00F13194">
        <w:t>Bluebird LOI</w:t>
      </w:r>
      <w:r w:rsidRPr="00511163" w:rsidR="00F13194">
        <w:t>).</w:t>
      </w:r>
    </w:p>
  </w:footnote>
  <w:footnote w:id="24">
    <w:p w:rsidR="003F4EDA" w:rsidRPr="001F702F" w14:paraId="7AFD67B9" w14:textId="78450D17">
      <w:pPr>
        <w:pStyle w:val="FootnoteText"/>
      </w:pPr>
      <w:r>
        <w:rPr>
          <w:rStyle w:val="FootnoteReference"/>
        </w:rPr>
        <w:footnoteRef/>
      </w:r>
      <w:r>
        <w:t xml:space="preserve"> </w:t>
      </w:r>
      <w:r w:rsidR="001F702F">
        <w:rPr>
          <w:i/>
        </w:rPr>
        <w:t>See</w:t>
      </w:r>
      <w:r w:rsidR="001F702F">
        <w:t xml:space="preserve"> Joint Application at 2-3. </w:t>
      </w:r>
    </w:p>
  </w:footnote>
  <w:footnote w:id="25">
    <w:p w:rsidR="00C53527" w:rsidRPr="001F702F" w14:paraId="34723CA2" w14:textId="0AF19410">
      <w:pPr>
        <w:pStyle w:val="FootnoteText"/>
      </w:pPr>
      <w:r>
        <w:rPr>
          <w:rStyle w:val="FootnoteReference"/>
        </w:rPr>
        <w:footnoteRef/>
      </w:r>
      <w:r>
        <w:t xml:space="preserve"> </w:t>
      </w:r>
      <w:r w:rsidR="001F702F">
        <w:rPr>
          <w:i/>
        </w:rPr>
        <w:t>See</w:t>
      </w:r>
      <w:r w:rsidR="001F702F">
        <w:t xml:space="preserve"> </w:t>
      </w:r>
      <w:r w:rsidR="001B64CF">
        <w:rPr>
          <w:i/>
          <w:iCs/>
        </w:rPr>
        <w:t>id.</w:t>
      </w:r>
      <w:r w:rsidR="001F702F">
        <w:t xml:space="preserve"> </w:t>
      </w:r>
    </w:p>
  </w:footnote>
  <w:footnote w:id="26">
    <w:p w:rsidR="00C53527" w:rsidRPr="001B64CF" w14:paraId="6A29C4C2" w14:textId="1656156E">
      <w:pPr>
        <w:pStyle w:val="FootnoteText"/>
        <w:rPr>
          <w:i/>
          <w:iCs/>
        </w:rPr>
      </w:pPr>
      <w:r>
        <w:rPr>
          <w:rStyle w:val="FootnoteReference"/>
        </w:rPr>
        <w:footnoteRef/>
      </w:r>
      <w:r>
        <w:t xml:space="preserve"> </w:t>
      </w:r>
      <w:r w:rsidR="0083270D">
        <w:rPr>
          <w:i/>
        </w:rPr>
        <w:t>See</w:t>
      </w:r>
      <w:r w:rsidR="0083270D">
        <w:t xml:space="preserve"> </w:t>
      </w:r>
      <w:r w:rsidR="001B64CF">
        <w:rPr>
          <w:i/>
          <w:iCs/>
        </w:rPr>
        <w:t>id.</w:t>
      </w:r>
    </w:p>
  </w:footnote>
  <w:footnote w:id="27">
    <w:p w:rsidR="001879A3" w:rsidRPr="00423613" w:rsidP="001879A3" w14:paraId="55421630" w14:textId="78650554">
      <w:pPr>
        <w:pStyle w:val="FootnoteText"/>
      </w:pPr>
      <w:r>
        <w:rPr>
          <w:rStyle w:val="FootnoteReference"/>
        </w:rPr>
        <w:footnoteRef/>
      </w:r>
      <w:r>
        <w:t xml:space="preserve"> </w:t>
      </w:r>
      <w:r w:rsidR="00423613">
        <w:rPr>
          <w:i/>
        </w:rPr>
        <w:t xml:space="preserve">See </w:t>
      </w:r>
      <w:r w:rsidR="00423613">
        <w:t xml:space="preserve">Joint Application at 3-4. </w:t>
      </w:r>
    </w:p>
  </w:footnote>
  <w:footnote w:id="28">
    <w:p w:rsidR="001879A3" w:rsidRPr="001A6147" w:rsidP="001879A3" w14:paraId="635A12DE" w14:textId="2E8ABD80">
      <w:pPr>
        <w:pStyle w:val="FootnoteText"/>
      </w:pPr>
      <w:r>
        <w:rPr>
          <w:rStyle w:val="FootnoteReference"/>
        </w:rPr>
        <w:footnoteRef/>
      </w:r>
      <w:r>
        <w:t xml:space="preserve"> </w:t>
      </w:r>
      <w:r w:rsidR="001E4497">
        <w:t>Joint Application at 4</w:t>
      </w:r>
      <w:r w:rsidR="000955EB">
        <w:t xml:space="preserve"> (“The Applicants realize that they should have filed an application for prior approval of the </w:t>
      </w:r>
      <w:r w:rsidRPr="001A6147" w:rsidR="000955EB">
        <w:t xml:space="preserve">transfer of control of MNA’s domestic Section 214 authorization.”). </w:t>
      </w:r>
    </w:p>
  </w:footnote>
  <w:footnote w:id="29">
    <w:p w:rsidR="001879A3" w:rsidRPr="001A6147" w:rsidP="001879A3" w14:paraId="1192A9EA" w14:textId="751ED76C">
      <w:pPr>
        <w:pStyle w:val="FootnoteText"/>
      </w:pPr>
      <w:r w:rsidRPr="001A6147">
        <w:rPr>
          <w:rStyle w:val="FootnoteReference"/>
        </w:rPr>
        <w:footnoteRef/>
      </w:r>
      <w:r w:rsidRPr="001A6147">
        <w:t xml:space="preserve"> </w:t>
      </w:r>
      <w:r w:rsidRPr="001A6147">
        <w:rPr>
          <w:i/>
        </w:rPr>
        <w:t xml:space="preserve">See generally </w:t>
      </w:r>
      <w:r w:rsidRPr="001A6147">
        <w:t>Joint Application; 47 U.S.C. § 214; 47 CFR §§ 63.03-04</w:t>
      </w:r>
      <w:r w:rsidRPr="001A6147" w:rsidR="001A6147">
        <w:t>.</w:t>
      </w:r>
    </w:p>
  </w:footnote>
  <w:footnote w:id="30">
    <w:p w:rsidR="001879A3" w:rsidRPr="005133B0" w:rsidP="001879A3" w14:paraId="428D32A0" w14:textId="76829664">
      <w:pPr>
        <w:pStyle w:val="FootnoteText"/>
      </w:pPr>
      <w:r w:rsidRPr="001A6147">
        <w:rPr>
          <w:rStyle w:val="FootnoteReference"/>
        </w:rPr>
        <w:footnoteRef/>
      </w:r>
      <w:r w:rsidRPr="001A6147">
        <w:t xml:space="preserve"> </w:t>
      </w:r>
      <w:r w:rsidRPr="001A6147">
        <w:rPr>
          <w:i/>
        </w:rPr>
        <w:t xml:space="preserve">See </w:t>
      </w:r>
      <w:r w:rsidRPr="001A6147" w:rsidR="00D05804">
        <w:t>Letter from Bennett L. Ross, counsel for Bluebird Media, LLC, and MNA Holdings, LLC, to Marlene H. Dortch, Secretary, Office of the Secretary, FCC (Mar. 26, 2019) (requesting</w:t>
      </w:r>
      <w:r w:rsidR="00D05804">
        <w:t xml:space="preserve"> special temporary authority for MNA to stay operative during the Section 214 approval phase) (STA Request)</w:t>
      </w:r>
      <w:r>
        <w:t>.</w:t>
      </w:r>
    </w:p>
  </w:footnote>
  <w:footnote w:id="31">
    <w:p w:rsidR="001879A3" w:rsidP="001879A3" w14:paraId="3DDBFBF1" w14:textId="26471183">
      <w:pPr>
        <w:pStyle w:val="FootnoteText"/>
      </w:pPr>
      <w:r w:rsidRPr="00CA5713">
        <w:rPr>
          <w:rStyle w:val="FootnoteReference"/>
        </w:rPr>
        <w:footnoteRef/>
      </w:r>
      <w:r w:rsidRPr="00CA5713">
        <w:t xml:space="preserve"> </w:t>
      </w:r>
      <w:r w:rsidRPr="00CA5713">
        <w:rPr>
          <w:i/>
        </w:rPr>
        <w:t>See</w:t>
      </w:r>
      <w:r w:rsidRPr="00CA5713">
        <w:t xml:space="preserve"> Grant of</w:t>
      </w:r>
      <w:r w:rsidRPr="00CA5713" w:rsidR="00A5440D">
        <w:t xml:space="preserve"> Bluebird Medial, LLC and MNA Holdings, LLC</w:t>
      </w:r>
      <w:r w:rsidRPr="00CA5713">
        <w:t xml:space="preserve"> Joint Request for </w:t>
      </w:r>
      <w:r w:rsidRPr="00CA5713" w:rsidR="00A5440D">
        <w:t>Approval of the Transfer of Control of Missouri Network Alliance, LLC</w:t>
      </w:r>
      <w:r w:rsidRPr="00CA5713">
        <w:t xml:space="preserve">, WC Docket No. </w:t>
      </w:r>
      <w:r w:rsidRPr="00CA5713" w:rsidR="00A5440D">
        <w:t>19-68</w:t>
      </w:r>
      <w:r w:rsidRPr="00CA5713" w:rsidR="00CA5713">
        <w:t xml:space="preserve"> </w:t>
      </w:r>
      <w:r w:rsidRPr="00CA5713">
        <w:t>(</w:t>
      </w:r>
      <w:r w:rsidRPr="00CA5713" w:rsidR="00A5440D">
        <w:t>Apr</w:t>
      </w:r>
      <w:r w:rsidRPr="00CA5713">
        <w:t xml:space="preserve">. </w:t>
      </w:r>
      <w:r w:rsidRPr="00CA5713" w:rsidR="00A5440D">
        <w:t>8</w:t>
      </w:r>
      <w:r w:rsidRPr="00CA5713">
        <w:t>, 201</w:t>
      </w:r>
      <w:r w:rsidRPr="00CA5713" w:rsidR="00A5440D">
        <w:t>9</w:t>
      </w:r>
      <w:r w:rsidRPr="00CA5713">
        <w:t>).</w:t>
      </w:r>
    </w:p>
  </w:footnote>
  <w:footnote w:id="32">
    <w:p w:rsidR="001879A3" w:rsidP="001879A3" w14:paraId="3B5D21E5" w14:textId="248F34E1">
      <w:pPr>
        <w:pStyle w:val="FootnoteText"/>
      </w:pPr>
      <w:r w:rsidRPr="00A5440D">
        <w:rPr>
          <w:rStyle w:val="FootnoteReference"/>
        </w:rPr>
        <w:footnoteRef/>
      </w:r>
      <w:r w:rsidRPr="00A5440D">
        <w:t xml:space="preserve"> </w:t>
      </w:r>
      <w:r w:rsidRPr="00A5440D" w:rsidR="00A5440D">
        <w:rPr>
          <w:i/>
        </w:rPr>
        <w:t xml:space="preserve">Notice of </w:t>
      </w:r>
      <w:r w:rsidRPr="00A5440D">
        <w:rPr>
          <w:i/>
        </w:rPr>
        <w:t>Domestic</w:t>
      </w:r>
      <w:r w:rsidRPr="00A5440D">
        <w:rPr>
          <w:i/>
          <w:snapToGrid w:val="0"/>
        </w:rPr>
        <w:t xml:space="preserve"> Section 214 Authorization Granted</w:t>
      </w:r>
      <w:r w:rsidRPr="00A5440D">
        <w:t>, Public Notice, DA 1</w:t>
      </w:r>
      <w:r w:rsidRPr="00A5440D" w:rsidR="00A5440D">
        <w:t>9</w:t>
      </w:r>
      <w:r w:rsidRPr="00A5440D">
        <w:t>-3</w:t>
      </w:r>
      <w:r w:rsidRPr="00A5440D" w:rsidR="00A5440D">
        <w:t>98</w:t>
      </w:r>
      <w:r w:rsidRPr="00A5440D">
        <w:t xml:space="preserve"> (</w:t>
      </w:r>
      <w:r w:rsidRPr="00A5440D" w:rsidR="00A5440D">
        <w:t xml:space="preserve">WCB May </w:t>
      </w:r>
      <w:r w:rsidRPr="00A5440D">
        <w:t>9, 201</w:t>
      </w:r>
      <w:r w:rsidRPr="00A5440D" w:rsidR="00A5440D">
        <w:t>9</w:t>
      </w:r>
      <w:r w:rsidRPr="00A5440D">
        <w:t>).</w:t>
      </w:r>
    </w:p>
  </w:footnote>
  <w:footnote w:id="33">
    <w:p w:rsidR="001879A3" w:rsidRPr="00F13194" w:rsidP="001879A3" w14:paraId="7EEA23C2" w14:textId="72B8DF23">
      <w:pPr>
        <w:pStyle w:val="FootnoteText"/>
      </w:pPr>
      <w:r w:rsidRPr="00511163">
        <w:rPr>
          <w:rStyle w:val="FootnoteReference"/>
        </w:rPr>
        <w:footnoteRef/>
      </w:r>
      <w:r w:rsidRPr="00511163">
        <w:t xml:space="preserve"> </w:t>
      </w:r>
      <w:r w:rsidRPr="00511163">
        <w:rPr>
          <w:i/>
        </w:rPr>
        <w:t>See</w:t>
      </w:r>
      <w:r w:rsidRPr="00511163">
        <w:t xml:space="preserve"> </w:t>
      </w:r>
      <w:r w:rsidRPr="0094598F" w:rsidR="00F13194">
        <w:t>Bluebird LOI</w:t>
      </w:r>
      <w:r w:rsidR="00F13194">
        <w:t xml:space="preserve">. </w:t>
      </w:r>
    </w:p>
  </w:footnote>
  <w:footnote w:id="34">
    <w:p w:rsidR="001879A3" w:rsidRPr="00CA0BBA" w:rsidP="001879A3" w14:paraId="776AB3F2" w14:textId="38D6323B">
      <w:pPr>
        <w:pStyle w:val="FootnoteText"/>
        <w:rPr>
          <w:i/>
        </w:rPr>
      </w:pPr>
      <w:r w:rsidRPr="0083270D">
        <w:rPr>
          <w:rStyle w:val="FootnoteReference"/>
        </w:rPr>
        <w:footnoteRef/>
      </w:r>
      <w:r w:rsidRPr="0083270D">
        <w:t xml:space="preserve"> </w:t>
      </w:r>
      <w:r w:rsidRPr="0083270D">
        <w:rPr>
          <w:i/>
        </w:rPr>
        <w:t xml:space="preserve">See </w:t>
      </w:r>
      <w:r w:rsidR="00E54F66">
        <w:rPr>
          <w:i/>
        </w:rPr>
        <w:t xml:space="preserve">generally </w:t>
      </w:r>
      <w:r w:rsidR="00E54F66">
        <w:t xml:space="preserve">Letter from Bennett L. Ross, Counsel for Bluebird Media, LLC, to </w:t>
      </w:r>
      <w:r w:rsidR="000E58B6">
        <w:t xml:space="preserve">Jeffrey J. Gee, Chief, </w:t>
      </w:r>
      <w:r w:rsidR="00E54F66">
        <w:t>Investigations &amp; Hearings</w:t>
      </w:r>
      <w:r w:rsidR="000E58B6">
        <w:t xml:space="preserve"> Division</w:t>
      </w:r>
      <w:r w:rsidR="00E54F66">
        <w:t xml:space="preserve">, </w:t>
      </w:r>
      <w:r w:rsidR="00511163">
        <w:t xml:space="preserve">FCC </w:t>
      </w:r>
      <w:r w:rsidR="00E54F66">
        <w:t>Enforcement Bureau</w:t>
      </w:r>
      <w:r w:rsidR="00511163">
        <w:t xml:space="preserve"> </w:t>
      </w:r>
      <w:r w:rsidR="00E54F66">
        <w:t>(July 8, 2019) (LOI Response)</w:t>
      </w:r>
      <w:r w:rsidRPr="0083270D">
        <w:t>.</w:t>
      </w:r>
    </w:p>
  </w:footnote>
  <w:footnote w:id="35">
    <w:p w:rsidR="00861D95" w:rsidP="00861D95" w14:paraId="09896465" w14:textId="77777777">
      <w:pPr>
        <w:pStyle w:val="FootnoteText"/>
      </w:pPr>
      <w:r>
        <w:rPr>
          <w:rStyle w:val="FootnoteReference"/>
        </w:rPr>
        <w:footnoteRef/>
      </w:r>
      <w:r>
        <w:t xml:space="preserve"> </w:t>
      </w:r>
      <w:r w:rsidRPr="00C566EC">
        <w:rPr>
          <w:i/>
        </w:rPr>
        <w:t>See</w:t>
      </w:r>
      <w:r>
        <w:t xml:space="preserve"> 47 CFR 1.93(b).</w:t>
      </w:r>
    </w:p>
  </w:footnote>
  <w:footnote w:id="36">
    <w:p w:rsidR="00861D95" w:rsidP="00861D95" w14:paraId="76DD31CF" w14:textId="77777777">
      <w:pPr>
        <w:pStyle w:val="FootnoteText"/>
      </w:pPr>
      <w:r w:rsidRPr="00A07FCB">
        <w:rPr>
          <w:rStyle w:val="FootnoteReference"/>
        </w:rPr>
        <w:footnoteRef/>
      </w:r>
      <w:r w:rsidRPr="00A07FCB">
        <w:t xml:space="preserve"> 47 CFR § 1.16.</w:t>
      </w:r>
    </w:p>
  </w:footnote>
  <w:footnote w:id="37">
    <w:p w:rsidR="00C14C73" w:rsidRPr="005A1186" w:rsidP="00C14C73" w14:paraId="6A87BC9F" w14:textId="77777777">
      <w:pPr>
        <w:pStyle w:val="FootnoteText"/>
      </w:pPr>
      <w:r w:rsidRPr="005A1186">
        <w:rPr>
          <w:rStyle w:val="FootnoteReference"/>
        </w:rPr>
        <w:footnoteRef/>
      </w:r>
      <w:r w:rsidRPr="005A1186">
        <w:t xml:space="preserve"> Payments made using the Commission’s Fee Filer system do not require the submission of an FCC Form 159.</w:t>
      </w:r>
    </w:p>
  </w:footnote>
  <w:footnote w:id="38">
    <w:p w:rsidR="00C14C73" w:rsidRPr="005A1186" w:rsidP="00C14C73" w14:paraId="745C1F5D" w14:textId="77777777">
      <w:pPr>
        <w:autoSpaceDE w:val="0"/>
        <w:autoSpaceDN w:val="0"/>
        <w:adjustRightInd w:val="0"/>
        <w:rPr>
          <w:sz w:val="20"/>
        </w:rPr>
      </w:pPr>
      <w:r w:rsidRPr="005A1186">
        <w:rPr>
          <w:rStyle w:val="FootnoteReference"/>
        </w:rPr>
        <w:footnoteRef/>
      </w:r>
      <w:r w:rsidRPr="005A1186">
        <w:rPr>
          <w:sz w:val="20"/>
        </w:rPr>
        <w:t xml:space="preserve"> </w:t>
      </w:r>
      <w:r w:rsidRPr="00C14C73">
        <w:rPr>
          <w:snapToGrid/>
          <w:kern w:val="0"/>
          <w:sz w:val="20"/>
        </w:rPr>
        <w:t>For</w:t>
      </w:r>
      <w:r w:rsidRPr="005A1186">
        <w:rPr>
          <w:sz w:val="20"/>
        </w:rPr>
        <w:t xml:space="preserve"> questions regarding payment procedures, please contact the Financial Operations Group Help Desk by phone</w:t>
      </w:r>
    </w:p>
    <w:p w:rsidR="00C14C73" w:rsidRPr="005A1186" w:rsidP="00C14C73" w14:paraId="0D2C1971" w14:textId="0285635B">
      <w:pPr>
        <w:pStyle w:val="FootnoteText"/>
      </w:pPr>
      <w:r w:rsidRPr="005A1186">
        <w:t xml:space="preserve">at 1-877-480-3201 (option #6), or by e-mail at </w:t>
      </w:r>
      <w:hyperlink r:id="rId1" w:history="1">
        <w:r w:rsidRPr="001A673C" w:rsidR="0049078A">
          <w:rPr>
            <w:rStyle w:val="Hyperlink"/>
          </w:rPr>
          <w:t>ARINQUIRIES@fcc.gov</w:t>
        </w:r>
      </w:hyperlink>
      <w:r w:rsidRPr="005A1186">
        <w:t>.</w:t>
      </w:r>
    </w:p>
  </w:footnote>
  <w:footnote w:id="39">
    <w:p w:rsidR="002A71B9" w14:paraId="747C56C1" w14:textId="5ACCCE14">
      <w:pPr>
        <w:pStyle w:val="FootnoteText"/>
      </w:pPr>
      <w:r>
        <w:rPr>
          <w:rStyle w:val="FootnoteReference"/>
        </w:rPr>
        <w:footnoteRef/>
      </w:r>
      <w:r>
        <w:t xml:space="preserve"> </w:t>
      </w:r>
      <w:r w:rsidRPr="00C14C73">
        <w:rPr>
          <w:snapToGrid w:val="0"/>
          <w:kern w:val="28"/>
        </w:rPr>
        <w:t xml:space="preserve">Instructions for completing the form may be obtained at </w:t>
      </w:r>
      <w:hyperlink r:id="rId2" w:history="1">
        <w:r w:rsidRPr="001A673C" w:rsidR="0049078A">
          <w:rPr>
            <w:rStyle w:val="Hyperlink"/>
            <w:snapToGrid w:val="0"/>
            <w:kern w:val="28"/>
          </w:rPr>
          <w:t>http://www.fcc.gov/Forms/Form159/159.pdf</w:t>
        </w:r>
      </w:hyperlink>
      <w:r w:rsidRPr="00C14C73">
        <w:rPr>
          <w:snapToGrid w:val="0"/>
          <w:kern w:val="28"/>
        </w:rPr>
        <w:t>.</w:t>
      </w:r>
      <w:r>
        <w:rPr>
          <w:snapToGrid w:val="0"/>
          <w:kern w:val="28"/>
        </w:rPr>
        <w:t xml:space="preserve"> </w:t>
      </w:r>
    </w:p>
  </w:footnote>
  <w:footnote w:id="40">
    <w:p w:rsidR="00861D95" w:rsidP="00861D95" w14:paraId="2DD0D871" w14:textId="77777777">
      <w:pPr>
        <w:pStyle w:val="FootnoteText"/>
        <w:tabs>
          <w:tab w:val="left" w:pos="810"/>
        </w:tabs>
      </w:pPr>
      <w:r w:rsidRPr="003F6349">
        <w:rPr>
          <w:rStyle w:val="FootnoteReference"/>
        </w:rPr>
        <w:footnoteRef/>
      </w:r>
      <w:r w:rsidRPr="003F6349">
        <w:t xml:space="preserve"> </w:t>
      </w:r>
      <w:r>
        <w:rPr>
          <w:i/>
        </w:rPr>
        <w:t xml:space="preserve">See </w:t>
      </w:r>
      <w:r w:rsidRPr="003F6349">
        <w:t xml:space="preserve">5 </w:t>
      </w:r>
      <w:r>
        <w:t>U.S.C.</w:t>
      </w:r>
      <w:r w:rsidRPr="003F6349">
        <w:t xml:space="preserve"> § 504; 47 CFR</w:t>
      </w:r>
      <w:r>
        <w:t xml:space="preserve"> §§ 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93C0F0" w14:textId="6A17A742">
    <w:pPr>
      <w:pStyle w:val="Header"/>
      <w:rPr>
        <w:b w:val="0"/>
      </w:rPr>
    </w:pPr>
    <w:r>
      <w:tab/>
      <w:t>Federal Communications Commission</w:t>
    </w:r>
    <w:r>
      <w:tab/>
    </w:r>
    <w:r w:rsidR="00682307">
      <w:t>DA 20-</w:t>
    </w:r>
    <w:r w:rsidR="0033218E">
      <w:t>234</w:t>
    </w:r>
  </w:p>
  <w:p w:rsidR="00D25FB5" w14:paraId="475D882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A3E5A7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F392CF" w14:textId="28787F3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82307">
      <w:rPr>
        <w:spacing w:val="-2"/>
      </w:rPr>
      <w:t>DA 20-</w:t>
    </w:r>
    <w:r w:rsidR="0033218E">
      <w:rPr>
        <w:spacing w:val="-2"/>
      </w:rPr>
      <w:t>234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7876BA"/>
    <w:multiLevelType w:val="hybridMultilevel"/>
    <w:tmpl w:val="5E9638A4"/>
    <w:lvl w:ilvl="0">
      <w:start w:val="1"/>
      <w:numFmt w:val="lowerLetter"/>
      <w:lvlText w:val="(%1)"/>
      <w:lvlJc w:val="left"/>
      <w:pPr>
        <w:ind w:left="1080" w:hanging="360"/>
      </w:pPr>
      <w:rPr>
        <w:rFonts w:cs="Times New Roman" w:hint="default"/>
        <w:b w:val="0"/>
        <w:i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8">
    <w:nsid w:val="4420424D"/>
    <w:multiLevelType w:val="hybridMultilevel"/>
    <w:tmpl w:val="F26E2E94"/>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BA16B6A"/>
    <w:multiLevelType w:val="hybridMultilevel"/>
    <w:tmpl w:val="D87A3F34"/>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58E4668"/>
    <w:multiLevelType w:val="hybridMultilevel"/>
    <w:tmpl w:val="AAB69DFE"/>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num w:numId="1">
    <w:abstractNumId w:val="3"/>
  </w:num>
  <w:num w:numId="2">
    <w:abstractNumId w:val="11"/>
  </w:num>
  <w:num w:numId="3">
    <w:abstractNumId w:val="5"/>
  </w:num>
  <w:num w:numId="4">
    <w:abstractNumId w:val="9"/>
  </w:num>
  <w:num w:numId="5">
    <w:abstractNumId w:val="4"/>
  </w:num>
  <w:num w:numId="6">
    <w:abstractNumId w:val="0"/>
  </w:num>
  <w:num w:numId="7">
    <w:abstractNumId w:val="7"/>
  </w:num>
  <w:num w:numId="8">
    <w:abstractNumId w:val="11"/>
    <w:lvlOverride w:ilvl="0">
      <w:startOverride w:val="1"/>
    </w:lvlOverride>
  </w:num>
  <w:num w:numId="9">
    <w:abstractNumId w:val="2"/>
  </w:num>
  <w:num w:numId="10">
    <w:abstractNumId w:val="1"/>
  </w:num>
  <w:num w:numId="11">
    <w:abstractNumId w:val="6"/>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6"/>
    <w:rsid w:val="00006CD4"/>
    <w:rsid w:val="00012352"/>
    <w:rsid w:val="00013E17"/>
    <w:rsid w:val="00015200"/>
    <w:rsid w:val="00015E6D"/>
    <w:rsid w:val="00016CF9"/>
    <w:rsid w:val="00026414"/>
    <w:rsid w:val="00027B04"/>
    <w:rsid w:val="00031B18"/>
    <w:rsid w:val="00033778"/>
    <w:rsid w:val="00036039"/>
    <w:rsid w:val="00037F90"/>
    <w:rsid w:val="00056450"/>
    <w:rsid w:val="0006638D"/>
    <w:rsid w:val="00076B60"/>
    <w:rsid w:val="000817E0"/>
    <w:rsid w:val="00083CB2"/>
    <w:rsid w:val="000875BF"/>
    <w:rsid w:val="00091B05"/>
    <w:rsid w:val="000955EB"/>
    <w:rsid w:val="00096D8C"/>
    <w:rsid w:val="000A356B"/>
    <w:rsid w:val="000B17E0"/>
    <w:rsid w:val="000B5033"/>
    <w:rsid w:val="000C0B65"/>
    <w:rsid w:val="000C2318"/>
    <w:rsid w:val="000E05FE"/>
    <w:rsid w:val="000E3D42"/>
    <w:rsid w:val="000E58B6"/>
    <w:rsid w:val="000E6D9D"/>
    <w:rsid w:val="001070B1"/>
    <w:rsid w:val="00111042"/>
    <w:rsid w:val="00122BD5"/>
    <w:rsid w:val="00133F79"/>
    <w:rsid w:val="00143D3D"/>
    <w:rsid w:val="001546A3"/>
    <w:rsid w:val="00156A19"/>
    <w:rsid w:val="00185913"/>
    <w:rsid w:val="001879A3"/>
    <w:rsid w:val="001930A7"/>
    <w:rsid w:val="00194A66"/>
    <w:rsid w:val="00195F4B"/>
    <w:rsid w:val="001A16C9"/>
    <w:rsid w:val="001A41C3"/>
    <w:rsid w:val="001A6147"/>
    <w:rsid w:val="001A673C"/>
    <w:rsid w:val="001B2C64"/>
    <w:rsid w:val="001B64CF"/>
    <w:rsid w:val="001C5C03"/>
    <w:rsid w:val="001D5473"/>
    <w:rsid w:val="001D5F43"/>
    <w:rsid w:val="001D6BCF"/>
    <w:rsid w:val="001E01CA"/>
    <w:rsid w:val="001E4497"/>
    <w:rsid w:val="001F390A"/>
    <w:rsid w:val="001F5A25"/>
    <w:rsid w:val="001F702F"/>
    <w:rsid w:val="00206E95"/>
    <w:rsid w:val="002136BC"/>
    <w:rsid w:val="00224861"/>
    <w:rsid w:val="00225FDF"/>
    <w:rsid w:val="00234431"/>
    <w:rsid w:val="00243EFD"/>
    <w:rsid w:val="00254102"/>
    <w:rsid w:val="00264F55"/>
    <w:rsid w:val="00267049"/>
    <w:rsid w:val="00270BC6"/>
    <w:rsid w:val="002755D1"/>
    <w:rsid w:val="00275CF5"/>
    <w:rsid w:val="0028301F"/>
    <w:rsid w:val="00285017"/>
    <w:rsid w:val="002A2D2E"/>
    <w:rsid w:val="002A71B9"/>
    <w:rsid w:val="002B2D0B"/>
    <w:rsid w:val="002C00E8"/>
    <w:rsid w:val="002D3DBD"/>
    <w:rsid w:val="002D4D9A"/>
    <w:rsid w:val="002E5E77"/>
    <w:rsid w:val="003040B3"/>
    <w:rsid w:val="003053C3"/>
    <w:rsid w:val="00307F88"/>
    <w:rsid w:val="00321D28"/>
    <w:rsid w:val="0033218E"/>
    <w:rsid w:val="00332A26"/>
    <w:rsid w:val="00334508"/>
    <w:rsid w:val="00343749"/>
    <w:rsid w:val="00352B60"/>
    <w:rsid w:val="00364D8C"/>
    <w:rsid w:val="003660ED"/>
    <w:rsid w:val="00384C37"/>
    <w:rsid w:val="003A3AC8"/>
    <w:rsid w:val="003B0550"/>
    <w:rsid w:val="003B694F"/>
    <w:rsid w:val="003C7962"/>
    <w:rsid w:val="003E5DB8"/>
    <w:rsid w:val="003F171C"/>
    <w:rsid w:val="003F3346"/>
    <w:rsid w:val="003F4EDA"/>
    <w:rsid w:val="003F6349"/>
    <w:rsid w:val="004077B0"/>
    <w:rsid w:val="00412FC5"/>
    <w:rsid w:val="00413764"/>
    <w:rsid w:val="00422276"/>
    <w:rsid w:val="00423613"/>
    <w:rsid w:val="004242F1"/>
    <w:rsid w:val="004247F1"/>
    <w:rsid w:val="00445A00"/>
    <w:rsid w:val="00451B0F"/>
    <w:rsid w:val="0049078A"/>
    <w:rsid w:val="004A147B"/>
    <w:rsid w:val="004B5585"/>
    <w:rsid w:val="004C008C"/>
    <w:rsid w:val="004C2EE3"/>
    <w:rsid w:val="004C7083"/>
    <w:rsid w:val="004D48AD"/>
    <w:rsid w:val="004D49F7"/>
    <w:rsid w:val="004E3A56"/>
    <w:rsid w:val="004E4A22"/>
    <w:rsid w:val="004E64C2"/>
    <w:rsid w:val="004F43F7"/>
    <w:rsid w:val="004F55C5"/>
    <w:rsid w:val="00511163"/>
    <w:rsid w:val="005118E3"/>
    <w:rsid w:val="00511968"/>
    <w:rsid w:val="00512317"/>
    <w:rsid w:val="0051271A"/>
    <w:rsid w:val="005133B0"/>
    <w:rsid w:val="005138B0"/>
    <w:rsid w:val="005228E3"/>
    <w:rsid w:val="00532386"/>
    <w:rsid w:val="00533E13"/>
    <w:rsid w:val="0053781E"/>
    <w:rsid w:val="00551274"/>
    <w:rsid w:val="0055614C"/>
    <w:rsid w:val="00563E69"/>
    <w:rsid w:val="00566D06"/>
    <w:rsid w:val="0058110E"/>
    <w:rsid w:val="005A1186"/>
    <w:rsid w:val="005A2EB0"/>
    <w:rsid w:val="005A311A"/>
    <w:rsid w:val="005B61E5"/>
    <w:rsid w:val="005B6756"/>
    <w:rsid w:val="005C7797"/>
    <w:rsid w:val="005D0F72"/>
    <w:rsid w:val="005D244C"/>
    <w:rsid w:val="005E14C2"/>
    <w:rsid w:val="005E669A"/>
    <w:rsid w:val="006038C2"/>
    <w:rsid w:val="0060751E"/>
    <w:rsid w:val="00607BA5"/>
    <w:rsid w:val="00610EAD"/>
    <w:rsid w:val="0061180A"/>
    <w:rsid w:val="006126B6"/>
    <w:rsid w:val="00626EB6"/>
    <w:rsid w:val="006305BC"/>
    <w:rsid w:val="00642E84"/>
    <w:rsid w:val="00645A81"/>
    <w:rsid w:val="006461F4"/>
    <w:rsid w:val="00655D03"/>
    <w:rsid w:val="0066381D"/>
    <w:rsid w:val="00670418"/>
    <w:rsid w:val="00673A1C"/>
    <w:rsid w:val="00681F36"/>
    <w:rsid w:val="00682026"/>
    <w:rsid w:val="00682307"/>
    <w:rsid w:val="00683388"/>
    <w:rsid w:val="00683F84"/>
    <w:rsid w:val="006844C7"/>
    <w:rsid w:val="00687DE0"/>
    <w:rsid w:val="00691F80"/>
    <w:rsid w:val="006961A0"/>
    <w:rsid w:val="00696B46"/>
    <w:rsid w:val="006A5123"/>
    <w:rsid w:val="006A6A81"/>
    <w:rsid w:val="006B0CE5"/>
    <w:rsid w:val="006D1457"/>
    <w:rsid w:val="006E7264"/>
    <w:rsid w:val="006F7393"/>
    <w:rsid w:val="0070224F"/>
    <w:rsid w:val="007115F7"/>
    <w:rsid w:val="00713A17"/>
    <w:rsid w:val="00715F34"/>
    <w:rsid w:val="00732319"/>
    <w:rsid w:val="007425BE"/>
    <w:rsid w:val="00756CAF"/>
    <w:rsid w:val="007608A3"/>
    <w:rsid w:val="00764D6B"/>
    <w:rsid w:val="0077057B"/>
    <w:rsid w:val="00782F5E"/>
    <w:rsid w:val="00785689"/>
    <w:rsid w:val="00785D46"/>
    <w:rsid w:val="0079754B"/>
    <w:rsid w:val="007A0364"/>
    <w:rsid w:val="007A1E6D"/>
    <w:rsid w:val="007A44F3"/>
    <w:rsid w:val="007B0EB2"/>
    <w:rsid w:val="007C0432"/>
    <w:rsid w:val="007C0B39"/>
    <w:rsid w:val="007D50CA"/>
    <w:rsid w:val="007E1664"/>
    <w:rsid w:val="007E54A5"/>
    <w:rsid w:val="007F565C"/>
    <w:rsid w:val="007F6DF4"/>
    <w:rsid w:val="00805D33"/>
    <w:rsid w:val="00810B6F"/>
    <w:rsid w:val="00810D43"/>
    <w:rsid w:val="008153EB"/>
    <w:rsid w:val="00822CE0"/>
    <w:rsid w:val="00823B51"/>
    <w:rsid w:val="00826A2A"/>
    <w:rsid w:val="00831F06"/>
    <w:rsid w:val="0083270D"/>
    <w:rsid w:val="00841AB1"/>
    <w:rsid w:val="00843A5F"/>
    <w:rsid w:val="00854FBE"/>
    <w:rsid w:val="008557B8"/>
    <w:rsid w:val="00861D95"/>
    <w:rsid w:val="00864CFF"/>
    <w:rsid w:val="0087104D"/>
    <w:rsid w:val="0088692B"/>
    <w:rsid w:val="00894183"/>
    <w:rsid w:val="008978B8"/>
    <w:rsid w:val="008A3E97"/>
    <w:rsid w:val="008B0E5F"/>
    <w:rsid w:val="008B2A14"/>
    <w:rsid w:val="008B59CF"/>
    <w:rsid w:val="008C4282"/>
    <w:rsid w:val="008C50F9"/>
    <w:rsid w:val="008C682D"/>
    <w:rsid w:val="008C68F1"/>
    <w:rsid w:val="008D223F"/>
    <w:rsid w:val="008E2C6D"/>
    <w:rsid w:val="008F6786"/>
    <w:rsid w:val="008F6D34"/>
    <w:rsid w:val="0091368A"/>
    <w:rsid w:val="009160EE"/>
    <w:rsid w:val="00921803"/>
    <w:rsid w:val="00925778"/>
    <w:rsid w:val="00926503"/>
    <w:rsid w:val="00934286"/>
    <w:rsid w:val="009420B7"/>
    <w:rsid w:val="00942A53"/>
    <w:rsid w:val="0094598F"/>
    <w:rsid w:val="00947847"/>
    <w:rsid w:val="00954821"/>
    <w:rsid w:val="009572C1"/>
    <w:rsid w:val="00970533"/>
    <w:rsid w:val="00971A06"/>
    <w:rsid w:val="009726D8"/>
    <w:rsid w:val="00983BF8"/>
    <w:rsid w:val="009A0581"/>
    <w:rsid w:val="009A17D0"/>
    <w:rsid w:val="009A5C97"/>
    <w:rsid w:val="009B4E30"/>
    <w:rsid w:val="009B5029"/>
    <w:rsid w:val="009C6FA2"/>
    <w:rsid w:val="009D3477"/>
    <w:rsid w:val="009D7308"/>
    <w:rsid w:val="009D7731"/>
    <w:rsid w:val="009E1BED"/>
    <w:rsid w:val="009E2A43"/>
    <w:rsid w:val="009F153C"/>
    <w:rsid w:val="009F76DB"/>
    <w:rsid w:val="00A07FCB"/>
    <w:rsid w:val="00A10C05"/>
    <w:rsid w:val="00A15E2A"/>
    <w:rsid w:val="00A254D3"/>
    <w:rsid w:val="00A30949"/>
    <w:rsid w:val="00A32C3B"/>
    <w:rsid w:val="00A34C07"/>
    <w:rsid w:val="00A40A22"/>
    <w:rsid w:val="00A44922"/>
    <w:rsid w:val="00A45F4F"/>
    <w:rsid w:val="00A52C6A"/>
    <w:rsid w:val="00A53CDE"/>
    <w:rsid w:val="00A5440D"/>
    <w:rsid w:val="00A600A9"/>
    <w:rsid w:val="00A917DE"/>
    <w:rsid w:val="00A95818"/>
    <w:rsid w:val="00A9586C"/>
    <w:rsid w:val="00A96061"/>
    <w:rsid w:val="00AA55B7"/>
    <w:rsid w:val="00AA5B9E"/>
    <w:rsid w:val="00AB2407"/>
    <w:rsid w:val="00AB53DF"/>
    <w:rsid w:val="00AD4FBE"/>
    <w:rsid w:val="00AD7B94"/>
    <w:rsid w:val="00AE4CEF"/>
    <w:rsid w:val="00AF4AD4"/>
    <w:rsid w:val="00B0211A"/>
    <w:rsid w:val="00B05731"/>
    <w:rsid w:val="00B07E5C"/>
    <w:rsid w:val="00B16DA0"/>
    <w:rsid w:val="00B547F3"/>
    <w:rsid w:val="00B64CD5"/>
    <w:rsid w:val="00B652F1"/>
    <w:rsid w:val="00B65ACA"/>
    <w:rsid w:val="00B811F7"/>
    <w:rsid w:val="00B9409A"/>
    <w:rsid w:val="00B964F9"/>
    <w:rsid w:val="00BA0DBE"/>
    <w:rsid w:val="00BA5DC6"/>
    <w:rsid w:val="00BA6196"/>
    <w:rsid w:val="00BB0209"/>
    <w:rsid w:val="00BB0221"/>
    <w:rsid w:val="00BB128A"/>
    <w:rsid w:val="00BB180C"/>
    <w:rsid w:val="00BB77E2"/>
    <w:rsid w:val="00BC3EBE"/>
    <w:rsid w:val="00BC6D8C"/>
    <w:rsid w:val="00BE3BFE"/>
    <w:rsid w:val="00BE7EE5"/>
    <w:rsid w:val="00BF4BE0"/>
    <w:rsid w:val="00C04D46"/>
    <w:rsid w:val="00C05779"/>
    <w:rsid w:val="00C14C73"/>
    <w:rsid w:val="00C34006"/>
    <w:rsid w:val="00C34ED6"/>
    <w:rsid w:val="00C36B4C"/>
    <w:rsid w:val="00C426B1"/>
    <w:rsid w:val="00C53527"/>
    <w:rsid w:val="00C566EC"/>
    <w:rsid w:val="00C66160"/>
    <w:rsid w:val="00C721AC"/>
    <w:rsid w:val="00C80EA3"/>
    <w:rsid w:val="00C8227F"/>
    <w:rsid w:val="00C87E06"/>
    <w:rsid w:val="00C90D6A"/>
    <w:rsid w:val="00C92E56"/>
    <w:rsid w:val="00CA0BBA"/>
    <w:rsid w:val="00CA247E"/>
    <w:rsid w:val="00CA5713"/>
    <w:rsid w:val="00CA6D21"/>
    <w:rsid w:val="00CB283B"/>
    <w:rsid w:val="00CC72B6"/>
    <w:rsid w:val="00CD1C41"/>
    <w:rsid w:val="00CD24B6"/>
    <w:rsid w:val="00CD35CD"/>
    <w:rsid w:val="00CD6724"/>
    <w:rsid w:val="00D0218D"/>
    <w:rsid w:val="00D05804"/>
    <w:rsid w:val="00D11885"/>
    <w:rsid w:val="00D16377"/>
    <w:rsid w:val="00D25FB5"/>
    <w:rsid w:val="00D35CE7"/>
    <w:rsid w:val="00D36906"/>
    <w:rsid w:val="00D4002D"/>
    <w:rsid w:val="00D44223"/>
    <w:rsid w:val="00D51952"/>
    <w:rsid w:val="00D66F4F"/>
    <w:rsid w:val="00D743D7"/>
    <w:rsid w:val="00D81ED6"/>
    <w:rsid w:val="00D84548"/>
    <w:rsid w:val="00D97744"/>
    <w:rsid w:val="00DA2529"/>
    <w:rsid w:val="00DB130A"/>
    <w:rsid w:val="00DB2EBB"/>
    <w:rsid w:val="00DB6D1E"/>
    <w:rsid w:val="00DC10A1"/>
    <w:rsid w:val="00DC3266"/>
    <w:rsid w:val="00DC655F"/>
    <w:rsid w:val="00DD0B59"/>
    <w:rsid w:val="00DD1339"/>
    <w:rsid w:val="00DD5D86"/>
    <w:rsid w:val="00DD7EBD"/>
    <w:rsid w:val="00DE3EC5"/>
    <w:rsid w:val="00DF28C8"/>
    <w:rsid w:val="00DF39E1"/>
    <w:rsid w:val="00DF62B6"/>
    <w:rsid w:val="00DF6911"/>
    <w:rsid w:val="00E039DE"/>
    <w:rsid w:val="00E03D11"/>
    <w:rsid w:val="00E07225"/>
    <w:rsid w:val="00E21559"/>
    <w:rsid w:val="00E3357E"/>
    <w:rsid w:val="00E5409F"/>
    <w:rsid w:val="00E54F66"/>
    <w:rsid w:val="00E632D9"/>
    <w:rsid w:val="00E639EA"/>
    <w:rsid w:val="00E64883"/>
    <w:rsid w:val="00E7251E"/>
    <w:rsid w:val="00E73381"/>
    <w:rsid w:val="00E76F52"/>
    <w:rsid w:val="00E776FE"/>
    <w:rsid w:val="00E87C73"/>
    <w:rsid w:val="00E90CAF"/>
    <w:rsid w:val="00E949E6"/>
    <w:rsid w:val="00EA1FA5"/>
    <w:rsid w:val="00EB0A0B"/>
    <w:rsid w:val="00EB629E"/>
    <w:rsid w:val="00EC11CF"/>
    <w:rsid w:val="00ED419F"/>
    <w:rsid w:val="00EE6488"/>
    <w:rsid w:val="00F00D57"/>
    <w:rsid w:val="00F021FA"/>
    <w:rsid w:val="00F13194"/>
    <w:rsid w:val="00F1347A"/>
    <w:rsid w:val="00F34C35"/>
    <w:rsid w:val="00F37361"/>
    <w:rsid w:val="00F46EDF"/>
    <w:rsid w:val="00F62E97"/>
    <w:rsid w:val="00F6345C"/>
    <w:rsid w:val="00F634A4"/>
    <w:rsid w:val="00F64209"/>
    <w:rsid w:val="00F74D07"/>
    <w:rsid w:val="00F850F2"/>
    <w:rsid w:val="00F920D0"/>
    <w:rsid w:val="00F93BF5"/>
    <w:rsid w:val="00F950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rsid w:val="00B65ACA"/>
    <w:rPr>
      <w:snapToGrid w:val="0"/>
      <w:kern w:val="28"/>
      <w:sz w:val="22"/>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link w:val="FootnoteText"/>
    <w:rsid w:val="009160EE"/>
  </w:style>
  <w:style w:type="character" w:styleId="CommentReference">
    <w:name w:val="annotation reference"/>
    <w:basedOn w:val="DefaultParagraphFont"/>
    <w:rsid w:val="004A147B"/>
    <w:rPr>
      <w:sz w:val="16"/>
      <w:szCs w:val="16"/>
    </w:rPr>
  </w:style>
  <w:style w:type="paragraph" w:styleId="CommentText">
    <w:name w:val="annotation text"/>
    <w:basedOn w:val="Normal"/>
    <w:link w:val="CommentTextChar"/>
    <w:rsid w:val="004A147B"/>
    <w:rPr>
      <w:sz w:val="20"/>
    </w:rPr>
  </w:style>
  <w:style w:type="character" w:customStyle="1" w:styleId="CommentTextChar">
    <w:name w:val="Comment Text Char"/>
    <w:basedOn w:val="DefaultParagraphFont"/>
    <w:link w:val="CommentText"/>
    <w:rsid w:val="004A147B"/>
    <w:rPr>
      <w:snapToGrid w:val="0"/>
      <w:kern w:val="28"/>
    </w:rPr>
  </w:style>
  <w:style w:type="paragraph" w:styleId="CommentSubject">
    <w:name w:val="annotation subject"/>
    <w:basedOn w:val="CommentText"/>
    <w:next w:val="CommentText"/>
    <w:link w:val="CommentSubjectChar"/>
    <w:rsid w:val="004A147B"/>
    <w:rPr>
      <w:b/>
      <w:bCs/>
    </w:rPr>
  </w:style>
  <w:style w:type="character" w:customStyle="1" w:styleId="CommentSubjectChar">
    <w:name w:val="Comment Subject Char"/>
    <w:basedOn w:val="CommentTextChar"/>
    <w:link w:val="CommentSubject"/>
    <w:rsid w:val="004A147B"/>
    <w:rPr>
      <w:b/>
      <w:bCs/>
      <w:snapToGrid w:val="0"/>
      <w:kern w:val="28"/>
    </w:rPr>
  </w:style>
  <w:style w:type="paragraph" w:styleId="BalloonText">
    <w:name w:val="Balloon Text"/>
    <w:basedOn w:val="Normal"/>
    <w:link w:val="BalloonTextChar"/>
    <w:rsid w:val="004A147B"/>
    <w:rPr>
      <w:rFonts w:ascii="Segoe UI" w:hAnsi="Segoe UI" w:cs="Segoe UI"/>
      <w:sz w:val="18"/>
      <w:szCs w:val="18"/>
    </w:rPr>
  </w:style>
  <w:style w:type="character" w:customStyle="1" w:styleId="BalloonTextChar">
    <w:name w:val="Balloon Text Char"/>
    <w:basedOn w:val="DefaultParagraphFont"/>
    <w:link w:val="BalloonText"/>
    <w:rsid w:val="004A147B"/>
    <w:rPr>
      <w:rFonts w:ascii="Segoe UI" w:hAnsi="Segoe UI" w:cs="Segoe UI"/>
      <w:snapToGrid w:val="0"/>
      <w:kern w:val="28"/>
      <w:sz w:val="18"/>
      <w:szCs w:val="18"/>
    </w:rPr>
  </w:style>
  <w:style w:type="character" w:customStyle="1" w:styleId="Heading1Char">
    <w:name w:val="Heading 1 Char"/>
    <w:link w:val="Heading1"/>
    <w:locked/>
    <w:rsid w:val="00B64CD5"/>
    <w:rPr>
      <w:rFonts w:ascii="Times New Roman Bold" w:hAnsi="Times New Roman Bold"/>
      <w:b/>
      <w:caps/>
      <w:snapToGrid w:val="0"/>
      <w:kern w:val="28"/>
      <w:sz w:val="22"/>
    </w:rPr>
  </w:style>
  <w:style w:type="character" w:styleId="FollowedHyperlink">
    <w:name w:val="FollowedHyperlink"/>
    <w:basedOn w:val="DefaultParagraphFont"/>
    <w:rsid w:val="00C8227F"/>
    <w:rPr>
      <w:color w:val="954F72" w:themeColor="followedHyperlink"/>
      <w:u w:val="single"/>
    </w:rPr>
  </w:style>
  <w:style w:type="character" w:customStyle="1" w:styleId="UnresolvedMention">
    <w:name w:val="Unresolved Mention"/>
    <w:basedOn w:val="DefaultParagraphFont"/>
    <w:uiPriority w:val="99"/>
    <w:semiHidden/>
    <w:unhideWhenUsed/>
    <w:rsid w:val="001546A3"/>
    <w:rPr>
      <w:color w:val="605E5C"/>
      <w:shd w:val="clear" w:color="auto" w:fill="E1DFDD"/>
    </w:rPr>
  </w:style>
  <w:style w:type="paragraph" w:customStyle="1" w:styleId="Paranum1">
    <w:name w:val="Paranum1"/>
    <w:basedOn w:val="ParaNum"/>
    <w:rsid w:val="00C14C73"/>
    <w:pPr>
      <w:widowControl/>
      <w:numPr>
        <w:numId w:val="0"/>
      </w:numPr>
      <w:autoSpaceDE w:val="0"/>
      <w:autoSpaceDN w:val="0"/>
      <w:adjustRightInd w:val="0"/>
      <w:spacing w:after="0"/>
    </w:pPr>
    <w:rPr>
      <w:rFonts w:ascii="TimesNewRomanPSMT" w:hAnsi="TimesNewRomanPSMT" w:eastAsiaTheme="minorHAnsi" w:cs="TimesNewRomanPSMT"/>
      <w:snapToGrid/>
      <w:kern w:val="0"/>
      <w:szCs w:val="22"/>
    </w:rPr>
  </w:style>
  <w:style w:type="paragraph" w:styleId="ListParagraph">
    <w:name w:val="List Paragraph"/>
    <w:basedOn w:val="Normal"/>
    <w:uiPriority w:val="34"/>
    <w:qFormat/>
    <w:rsid w:val="00E7251E"/>
    <w:pPr>
      <w:ind w:left="720"/>
      <w:contextualSpacing/>
    </w:pPr>
  </w:style>
  <w:style w:type="paragraph" w:styleId="Revision">
    <w:name w:val="Revision"/>
    <w:hidden/>
    <w:uiPriority w:val="99"/>
    <w:semiHidden/>
    <w:rsid w:val="00C87E0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Jeffrey.Gee@fcc.gov" TargetMode="External" /><Relationship Id="rId12" Type="http://schemas.openxmlformats.org/officeDocument/2006/relationships/hyperlink" Target="mailto:Kalun.Lee@fcc.gov" TargetMode="External" /><Relationship Id="rId13" Type="http://schemas.openxmlformats.org/officeDocument/2006/relationships/hyperlink" Target="mailto:Ryan.McDonald@fcc.gov" TargetMode="External" /><Relationship Id="rId14" Type="http://schemas.openxmlformats.org/officeDocument/2006/relationships/hyperlink" Target="mailto:RROGWireFaxes@fcc.gov" TargetMode="External" /><Relationship Id="rId15" Type="http://schemas.openxmlformats.org/officeDocument/2006/relationships/hyperlink" Target="https://www.fcc.gov/licensing-databases/fees/wire-transfer" TargetMode="External" /><Relationship Id="rId16" Type="http://schemas.openxmlformats.org/officeDocument/2006/relationships/hyperlink" Target="https://apps.fcc.gov/FeeFiler/login.cfm"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ross@wiley.law"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