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00D6A6C6" w14:textId="77777777">
      <w:pPr>
        <w:jc w:val="right"/>
        <w:rPr>
          <w:sz w:val="24"/>
        </w:rPr>
      </w:pPr>
    </w:p>
    <w:p w:rsidR="00013A8B" w:rsidRPr="00B20363" w:rsidP="00013A8B" w14:paraId="45C8BDAA" w14:textId="03B6231C">
      <w:pPr>
        <w:spacing w:before="120" w:after="240"/>
        <w:rPr>
          <w:b/>
          <w:sz w:val="24"/>
        </w:rPr>
      </w:pPr>
      <w:r w:rsidRPr="00B20363">
        <w:rPr>
          <w:b/>
          <w:sz w:val="24"/>
        </w:rPr>
        <w:t xml:space="preserve">Report No. </w:t>
      </w:r>
      <w:r w:rsidR="00CA4D20">
        <w:rPr>
          <w:b/>
          <w:sz w:val="24"/>
        </w:rPr>
        <w:t>SPB-</w:t>
      </w:r>
      <w:r w:rsidR="007632A9">
        <w:rPr>
          <w:b/>
          <w:sz w:val="24"/>
        </w:rPr>
        <w:t>280</w:t>
      </w:r>
    </w:p>
    <w:p w:rsidR="00013A8B" w:rsidRPr="00B20363" w:rsidP="00013A8B" w14:paraId="41210464" w14:textId="69D80520">
      <w:pPr>
        <w:jc w:val="right"/>
        <w:rPr>
          <w:b/>
          <w:sz w:val="24"/>
        </w:rPr>
      </w:pPr>
      <w:r>
        <w:rPr>
          <w:b/>
          <w:sz w:val="24"/>
        </w:rPr>
        <w:t>DA 20-</w:t>
      </w:r>
      <w:r w:rsidR="007632A9">
        <w:rPr>
          <w:b/>
          <w:sz w:val="24"/>
        </w:rPr>
        <w:t>238</w:t>
      </w:r>
    </w:p>
    <w:p w:rsidR="00013A8B" w:rsidP="00013A8B" w14:paraId="2AB24945" w14:textId="46C1D625">
      <w:pPr>
        <w:spacing w:before="60"/>
        <w:jc w:val="right"/>
        <w:rPr>
          <w:b/>
          <w:sz w:val="24"/>
        </w:rPr>
      </w:pPr>
      <w:r>
        <w:rPr>
          <w:b/>
          <w:sz w:val="24"/>
        </w:rPr>
        <w:t xml:space="preserve">Released: </w:t>
      </w:r>
      <w:r w:rsidR="001B60E8">
        <w:rPr>
          <w:b/>
          <w:sz w:val="24"/>
        </w:rPr>
        <w:t xml:space="preserve">March 5, </w:t>
      </w:r>
      <w:r w:rsidR="00CA4D20">
        <w:rPr>
          <w:b/>
          <w:sz w:val="24"/>
        </w:rPr>
        <w:t>2020</w:t>
      </w:r>
    </w:p>
    <w:p w:rsidR="001B60E8" w:rsidRPr="00B20363" w:rsidP="00013A8B" w14:paraId="0D58F2CD" w14:textId="77777777">
      <w:pPr>
        <w:spacing w:before="60"/>
        <w:jc w:val="right"/>
        <w:rPr>
          <w:b/>
          <w:sz w:val="24"/>
        </w:rPr>
      </w:pPr>
    </w:p>
    <w:p w:rsidR="00013A8B" w:rsidRPr="00B20363" w:rsidP="00013A8B" w14:paraId="7E5A90F2" w14:textId="7C0701F6">
      <w:pPr>
        <w:spacing w:after="240"/>
        <w:jc w:val="center"/>
        <w:rPr>
          <w:rFonts w:ascii="Times New Roman Bold" w:hAnsi="Times New Roman Bold"/>
          <w:b/>
          <w:caps/>
          <w:sz w:val="24"/>
        </w:rPr>
      </w:pPr>
      <w:r>
        <w:rPr>
          <w:rFonts w:ascii="Times New Roman Bold" w:hAnsi="Times New Roman Bold"/>
          <w:b/>
          <w:caps/>
          <w:sz w:val="24"/>
        </w:rPr>
        <w:t xml:space="preserve">SATELLITE POLICY </w:t>
      </w:r>
      <w:r w:rsidR="007632A9">
        <w:rPr>
          <w:rFonts w:ascii="Times New Roman Bold" w:hAnsi="Times New Roman Bold"/>
          <w:b/>
          <w:caps/>
          <w:sz w:val="24"/>
        </w:rPr>
        <w:t>bRANCH</w:t>
      </w:r>
      <w:r w:rsidR="007632A9">
        <w:rPr>
          <w:rFonts w:ascii="Times New Roman Bold" w:hAnsi="Times New Roman Bold"/>
          <w:b/>
          <w:caps/>
          <w:sz w:val="24"/>
        </w:rPr>
        <w:t xml:space="preserve"> </w:t>
      </w:r>
      <w:r>
        <w:rPr>
          <w:rFonts w:ascii="Times New Roman Bold" w:hAnsi="Times New Roman Bold"/>
          <w:b/>
          <w:caps/>
          <w:sz w:val="24"/>
        </w:rPr>
        <w:t>INFORMATION</w:t>
      </w:r>
    </w:p>
    <w:p w:rsidR="00CA4D20" w:rsidP="00013A8B" w14:paraId="73778401" w14:textId="77777777">
      <w:pPr>
        <w:jc w:val="center"/>
        <w:rPr>
          <w:b/>
          <w:sz w:val="24"/>
        </w:rPr>
      </w:pPr>
      <w:r>
        <w:rPr>
          <w:b/>
          <w:sz w:val="24"/>
        </w:rPr>
        <w:t>MYRIOTA PTY. LTD</w:t>
      </w:r>
      <w:r w:rsidR="00FD05C2">
        <w:rPr>
          <w:b/>
          <w:sz w:val="24"/>
        </w:rPr>
        <w:t>.</w:t>
      </w:r>
      <w:r>
        <w:rPr>
          <w:b/>
          <w:sz w:val="24"/>
        </w:rPr>
        <w:t xml:space="preserve"> PETITION ACCEPTED FOR FILING, </w:t>
      </w:r>
    </w:p>
    <w:p w:rsidR="00CA4D20" w:rsidP="00013A8B" w14:paraId="4B101060" w14:textId="77777777">
      <w:pPr>
        <w:jc w:val="center"/>
        <w:rPr>
          <w:b/>
          <w:sz w:val="24"/>
        </w:rPr>
      </w:pPr>
      <w:r>
        <w:rPr>
          <w:b/>
          <w:sz w:val="24"/>
        </w:rPr>
        <w:t>IBFS FILE NO. SAT-PDR-20191118-00135</w:t>
      </w:r>
    </w:p>
    <w:p w:rsidR="00CA4D20" w:rsidP="00013A8B" w14:paraId="42511003" w14:textId="77777777">
      <w:pPr>
        <w:jc w:val="center"/>
        <w:rPr>
          <w:b/>
          <w:sz w:val="24"/>
        </w:rPr>
      </w:pPr>
      <w:r>
        <w:rPr>
          <w:b/>
          <w:sz w:val="24"/>
        </w:rPr>
        <w:t>CUT-OFF ESTABLISHED FOR ADDITIONAL NVNG MSS APPLICATION</w:t>
      </w:r>
      <w:r w:rsidR="0013771E">
        <w:rPr>
          <w:b/>
          <w:sz w:val="24"/>
        </w:rPr>
        <w:t>S</w:t>
      </w:r>
      <w:r>
        <w:rPr>
          <w:b/>
          <w:sz w:val="24"/>
        </w:rPr>
        <w:t xml:space="preserve"> OR</w:t>
      </w:r>
    </w:p>
    <w:p w:rsidR="00CA4D20" w:rsidP="00013A8B" w14:paraId="3AE01476" w14:textId="77777777">
      <w:pPr>
        <w:jc w:val="center"/>
        <w:rPr>
          <w:b/>
          <w:sz w:val="24"/>
        </w:rPr>
      </w:pPr>
      <w:r>
        <w:rPr>
          <w:b/>
          <w:sz w:val="24"/>
        </w:rPr>
        <w:t>PETITIONS FOR OPERATIONS IN THE 137-138 MHz and 148-150.5 MHz BANDS</w:t>
      </w:r>
    </w:p>
    <w:p w:rsidR="00CA4D20" w:rsidP="00013A8B" w14:paraId="417DD6BF" w14:textId="77777777">
      <w:pPr>
        <w:jc w:val="center"/>
        <w:rPr>
          <w:b/>
          <w:sz w:val="24"/>
        </w:rPr>
      </w:pPr>
    </w:p>
    <w:p w:rsidR="00F96F63" w:rsidP="00F96F63" w14:paraId="13A43C19" w14:textId="77777777">
      <w:pPr>
        <w:rPr>
          <w:sz w:val="24"/>
        </w:rPr>
      </w:pPr>
      <w:bookmarkStart w:id="0" w:name="TOChere"/>
    </w:p>
    <w:p w:rsidR="00D060A8" w:rsidP="00F96F63" w14:paraId="54B09E4E" w14:textId="46CAF3A1">
      <w:pPr>
        <w:rPr>
          <w:color w:val="000000"/>
          <w:szCs w:val="22"/>
        </w:rPr>
      </w:pPr>
      <w:r>
        <w:rPr>
          <w:sz w:val="24"/>
        </w:rPr>
        <w:tab/>
      </w:r>
      <w:bookmarkStart w:id="1" w:name="_GoBack"/>
      <w:r w:rsidRPr="0013771E">
        <w:rPr>
          <w:szCs w:val="22"/>
        </w:rPr>
        <w:t>Myriota Pty. Ltd</w:t>
      </w:r>
      <w:r w:rsidRPr="0013771E" w:rsidR="00FD05C2">
        <w:rPr>
          <w:szCs w:val="22"/>
        </w:rPr>
        <w:t>.</w:t>
      </w:r>
      <w:r w:rsidRPr="0013771E">
        <w:rPr>
          <w:szCs w:val="22"/>
        </w:rPr>
        <w:t xml:space="preserve"> petitions the Commission for a declaratory </w:t>
      </w:r>
      <w:r w:rsidRPr="0013771E" w:rsidR="005270B7">
        <w:rPr>
          <w:szCs w:val="22"/>
        </w:rPr>
        <w:t>ruling to provide non-voice, non-geostationary orbit (NVNG) mobile-satellite service (MSS) to the United States using a proposed constellation authorized by Australia</w:t>
      </w:r>
      <w:bookmarkEnd w:id="1"/>
      <w:r w:rsidRPr="0013771E" w:rsidR="005270B7">
        <w:rPr>
          <w:szCs w:val="22"/>
        </w:rPr>
        <w:t xml:space="preserve">.  </w:t>
      </w:r>
      <w:r w:rsidRPr="0013771E" w:rsidR="005270B7">
        <w:rPr>
          <w:color w:val="000000"/>
          <w:szCs w:val="22"/>
        </w:rPr>
        <w:t xml:space="preserve">In this public notice we accept Myriota’s petition for filing and establish a pleading cycle and </w:t>
      </w:r>
      <w:r w:rsidRPr="0013771E" w:rsidR="005270B7">
        <w:rPr>
          <w:i/>
          <w:color w:val="000000"/>
          <w:szCs w:val="22"/>
        </w:rPr>
        <w:t>ex parte</w:t>
      </w:r>
      <w:r w:rsidRPr="0013771E" w:rsidR="005270B7">
        <w:rPr>
          <w:color w:val="000000"/>
          <w:szCs w:val="22"/>
        </w:rPr>
        <w:t xml:space="preserve"> procedures for its consideration.  We also initiate a processing round for additional applications and petitions for operations in the </w:t>
      </w:r>
      <w:r w:rsidRPr="0013771E" w:rsidR="003403C8">
        <w:rPr>
          <w:color w:val="000000"/>
          <w:szCs w:val="22"/>
        </w:rPr>
        <w:t xml:space="preserve">137-138 MHz (space-to-Earth) and 148-150.5 MHz (Earth-to-space) bands. </w:t>
      </w:r>
      <w:bookmarkEnd w:id="0"/>
      <w:r w:rsidR="000A0D84">
        <w:rPr>
          <w:color w:val="000000"/>
          <w:szCs w:val="22"/>
        </w:rPr>
        <w:t xml:space="preserve"> </w:t>
      </w:r>
      <w:r w:rsidRPr="0013771E">
        <w:rPr>
          <w:color w:val="000000"/>
          <w:szCs w:val="22"/>
        </w:rPr>
        <w:t xml:space="preserve">Swarm Technologies was recently licensed for operations in these bands, subject to inclusion in any processing round </w:t>
      </w:r>
      <w:r w:rsidRPr="0013771E" w:rsidR="00632DFC">
        <w:rPr>
          <w:color w:val="000000"/>
          <w:szCs w:val="22"/>
        </w:rPr>
        <w:t xml:space="preserve">that may be </w:t>
      </w:r>
      <w:r w:rsidRPr="0013771E">
        <w:rPr>
          <w:color w:val="000000"/>
          <w:szCs w:val="22"/>
        </w:rPr>
        <w:t>initiated for these bands.</w:t>
      </w:r>
      <w:r>
        <w:rPr>
          <w:rStyle w:val="FootnoteReference"/>
          <w:szCs w:val="22"/>
        </w:rPr>
        <w:footnoteReference w:id="3"/>
      </w:r>
      <w:r w:rsidRPr="0013771E">
        <w:rPr>
          <w:color w:val="000000"/>
          <w:szCs w:val="22"/>
        </w:rPr>
        <w:t xml:space="preserve"> Accordingly, </w:t>
      </w:r>
      <w:r w:rsidR="00BC1032">
        <w:rPr>
          <w:color w:val="000000"/>
          <w:szCs w:val="22"/>
        </w:rPr>
        <w:t xml:space="preserve">both Myriota’s and </w:t>
      </w:r>
      <w:r w:rsidRPr="0013771E">
        <w:rPr>
          <w:color w:val="000000"/>
          <w:szCs w:val="22"/>
        </w:rPr>
        <w:t>Swarm Technolog</w:t>
      </w:r>
      <w:r w:rsidRPr="0013771E" w:rsidR="00632DFC">
        <w:rPr>
          <w:color w:val="000000"/>
          <w:szCs w:val="22"/>
        </w:rPr>
        <w:t>ies</w:t>
      </w:r>
      <w:r w:rsidR="00BC1032">
        <w:rPr>
          <w:color w:val="000000"/>
          <w:szCs w:val="22"/>
        </w:rPr>
        <w:t>’</w:t>
      </w:r>
      <w:r w:rsidRPr="0013771E">
        <w:rPr>
          <w:color w:val="000000"/>
          <w:szCs w:val="22"/>
        </w:rPr>
        <w:t xml:space="preserve"> </w:t>
      </w:r>
      <w:r w:rsidR="00BC1032">
        <w:rPr>
          <w:color w:val="000000"/>
          <w:szCs w:val="22"/>
        </w:rPr>
        <w:t xml:space="preserve">applications </w:t>
      </w:r>
      <w:r w:rsidR="00C40962">
        <w:rPr>
          <w:color w:val="000000"/>
          <w:szCs w:val="22"/>
        </w:rPr>
        <w:t xml:space="preserve">are </w:t>
      </w:r>
      <w:r w:rsidR="00BC1032">
        <w:rPr>
          <w:color w:val="000000"/>
          <w:szCs w:val="22"/>
        </w:rPr>
        <w:t xml:space="preserve">considered lead applications in </w:t>
      </w:r>
      <w:r w:rsidRPr="0013771E">
        <w:rPr>
          <w:color w:val="000000"/>
          <w:szCs w:val="22"/>
        </w:rPr>
        <w:t>this processing round</w:t>
      </w:r>
      <w:r w:rsidR="00BC1032">
        <w:rPr>
          <w:color w:val="000000"/>
          <w:szCs w:val="22"/>
        </w:rPr>
        <w:t>.</w:t>
      </w:r>
      <w:r>
        <w:rPr>
          <w:rStyle w:val="FootnoteReference"/>
          <w:szCs w:val="22"/>
        </w:rPr>
        <w:footnoteReference w:id="4"/>
      </w:r>
      <w:r w:rsidR="00BC1032">
        <w:rPr>
          <w:color w:val="000000"/>
          <w:szCs w:val="22"/>
        </w:rPr>
        <w:t xml:space="preserve">  H</w:t>
      </w:r>
      <w:r w:rsidRPr="0013771E">
        <w:rPr>
          <w:color w:val="000000"/>
          <w:szCs w:val="22"/>
        </w:rPr>
        <w:t>owever</w:t>
      </w:r>
      <w:r w:rsidRPr="0013771E" w:rsidR="008962CD">
        <w:rPr>
          <w:color w:val="000000"/>
          <w:szCs w:val="22"/>
        </w:rPr>
        <w:t>,</w:t>
      </w:r>
      <w:r w:rsidRPr="0013771E">
        <w:rPr>
          <w:color w:val="000000"/>
          <w:szCs w:val="22"/>
        </w:rPr>
        <w:t xml:space="preserve"> </w:t>
      </w:r>
      <w:r w:rsidR="00BC1032">
        <w:rPr>
          <w:color w:val="000000"/>
          <w:szCs w:val="22"/>
        </w:rPr>
        <w:t>the Swarm Technologies</w:t>
      </w:r>
      <w:r w:rsidR="00DB235D">
        <w:rPr>
          <w:color w:val="000000"/>
          <w:szCs w:val="22"/>
        </w:rPr>
        <w:t>’</w:t>
      </w:r>
      <w:r w:rsidR="00BC1032">
        <w:rPr>
          <w:color w:val="000000"/>
          <w:szCs w:val="22"/>
        </w:rPr>
        <w:t xml:space="preserve"> application has already been the subject of a separate accepted for filing notice</w:t>
      </w:r>
      <w:r w:rsidR="00692C6F">
        <w:rPr>
          <w:color w:val="000000"/>
          <w:szCs w:val="22"/>
        </w:rPr>
        <w:t xml:space="preserve"> that did not initiate a processing round</w:t>
      </w:r>
      <w:r w:rsidR="00BC1032">
        <w:rPr>
          <w:color w:val="000000"/>
          <w:szCs w:val="22"/>
        </w:rPr>
        <w:t>,</w:t>
      </w:r>
      <w:r>
        <w:rPr>
          <w:rStyle w:val="FootnoteReference"/>
          <w:szCs w:val="22"/>
        </w:rPr>
        <w:footnoteReference w:id="5"/>
      </w:r>
      <w:r w:rsidR="00BC1032">
        <w:rPr>
          <w:color w:val="000000"/>
          <w:szCs w:val="22"/>
        </w:rPr>
        <w:t xml:space="preserve"> and is included in this processing round for the purposes of any modifications to the Swarm authorization </w:t>
      </w:r>
      <w:r w:rsidR="00103D6F">
        <w:rPr>
          <w:color w:val="000000"/>
          <w:szCs w:val="22"/>
        </w:rPr>
        <w:t>resulting from co</w:t>
      </w:r>
      <w:r w:rsidR="00BC1032">
        <w:rPr>
          <w:color w:val="000000"/>
          <w:szCs w:val="22"/>
        </w:rPr>
        <w:t xml:space="preserve">nsideration of </w:t>
      </w:r>
      <w:r w:rsidR="00103D6F">
        <w:rPr>
          <w:color w:val="000000"/>
          <w:szCs w:val="22"/>
        </w:rPr>
        <w:t xml:space="preserve">the </w:t>
      </w:r>
      <w:r w:rsidR="00692C6F">
        <w:rPr>
          <w:color w:val="000000"/>
          <w:szCs w:val="22"/>
        </w:rPr>
        <w:t xml:space="preserve">lead and competing </w:t>
      </w:r>
      <w:r w:rsidR="00BC1032">
        <w:rPr>
          <w:color w:val="000000"/>
          <w:szCs w:val="22"/>
        </w:rPr>
        <w:t>applications in th</w:t>
      </w:r>
      <w:r w:rsidR="00482E9D">
        <w:rPr>
          <w:color w:val="000000"/>
          <w:szCs w:val="22"/>
        </w:rPr>
        <w:t>is</w:t>
      </w:r>
      <w:r w:rsidR="00BC1032">
        <w:rPr>
          <w:color w:val="000000"/>
          <w:szCs w:val="22"/>
        </w:rPr>
        <w:t xml:space="preserve"> processing round.</w:t>
      </w:r>
      <w:r>
        <w:rPr>
          <w:rStyle w:val="FootnoteReference"/>
          <w:szCs w:val="22"/>
        </w:rPr>
        <w:footnoteReference w:id="6"/>
      </w:r>
      <w:r w:rsidR="00BC1032">
        <w:rPr>
          <w:color w:val="000000"/>
          <w:szCs w:val="22"/>
        </w:rPr>
        <w:t xml:space="preserve"> </w:t>
      </w:r>
    </w:p>
    <w:p w:rsidR="00103D6F" w:rsidP="00F96F63" w14:paraId="3F027E5A" w14:textId="2E38C169">
      <w:pPr>
        <w:rPr>
          <w:color w:val="000000"/>
          <w:szCs w:val="22"/>
        </w:rPr>
      </w:pPr>
    </w:p>
    <w:p w:rsidR="003E7310" w:rsidRPr="0013771E" w:rsidP="00F96F63" w14:paraId="5260A5F2" w14:textId="77777777">
      <w:pPr>
        <w:rPr>
          <w:color w:val="000000"/>
          <w:szCs w:val="22"/>
        </w:rPr>
      </w:pPr>
    </w:p>
    <w:p w:rsidR="003403C8" w:rsidRPr="0013771E" w:rsidP="00B347FF" w14:paraId="16B5FCEA" w14:textId="5B093298">
      <w:pPr>
        <w:rPr>
          <w:color w:val="000000"/>
          <w:szCs w:val="22"/>
        </w:rPr>
      </w:pPr>
      <w:r w:rsidRPr="0013771E">
        <w:rPr>
          <w:i/>
          <w:color w:val="000000"/>
          <w:szCs w:val="22"/>
        </w:rPr>
        <w:tab/>
      </w:r>
      <w:r w:rsidRPr="0013771E">
        <w:rPr>
          <w:i/>
          <w:color w:val="000000"/>
          <w:szCs w:val="22"/>
        </w:rPr>
        <w:t>Myriota Petition</w:t>
      </w:r>
      <w:r w:rsidRPr="0013771E">
        <w:rPr>
          <w:color w:val="000000"/>
          <w:szCs w:val="22"/>
        </w:rPr>
        <w:t xml:space="preserve">.  Myriota proposes to operate </w:t>
      </w:r>
      <w:r w:rsidRPr="00480B72" w:rsidR="00480B72">
        <w:rPr>
          <w:color w:val="000000"/>
          <w:szCs w:val="22"/>
        </w:rPr>
        <w:t>its NVNG MSS</w:t>
      </w:r>
      <w:r w:rsidR="006D4A38">
        <w:rPr>
          <w:color w:val="000000"/>
          <w:szCs w:val="22"/>
        </w:rPr>
        <w:t xml:space="preserve"> system</w:t>
      </w:r>
      <w:r w:rsidRPr="00480B72" w:rsidR="00480B72">
        <w:rPr>
          <w:color w:val="000000"/>
          <w:szCs w:val="22"/>
        </w:rPr>
        <w:t xml:space="preserve"> </w:t>
      </w:r>
      <w:r w:rsidR="00480B72">
        <w:rPr>
          <w:color w:val="000000"/>
          <w:szCs w:val="22"/>
        </w:rPr>
        <w:t>in</w:t>
      </w:r>
      <w:r w:rsidRPr="00480B72" w:rsidR="00480B72">
        <w:t xml:space="preserve"> </w:t>
      </w:r>
      <w:r w:rsidRPr="00480B72" w:rsidR="00480B72">
        <w:rPr>
          <w:color w:val="000000"/>
          <w:szCs w:val="22"/>
        </w:rPr>
        <w:t xml:space="preserve">the 137-138 MHz (space-to-Earth) and 148-150.5 MHz (Earth-to-space) </w:t>
      </w:r>
      <w:r w:rsidR="00480B72">
        <w:rPr>
          <w:color w:val="000000"/>
          <w:szCs w:val="22"/>
        </w:rPr>
        <w:t xml:space="preserve">frequency </w:t>
      </w:r>
      <w:r w:rsidRPr="00480B72" w:rsidR="00480B72">
        <w:rPr>
          <w:color w:val="000000"/>
          <w:szCs w:val="22"/>
        </w:rPr>
        <w:t>bands</w:t>
      </w:r>
      <w:r w:rsidR="00480B72">
        <w:rPr>
          <w:color w:val="000000"/>
          <w:szCs w:val="22"/>
        </w:rPr>
        <w:t xml:space="preserve"> using the same</w:t>
      </w:r>
      <w:r w:rsidRPr="0013771E">
        <w:rPr>
          <w:color w:val="000000"/>
          <w:szCs w:val="22"/>
        </w:rPr>
        <w:t xml:space="preserve"> </w:t>
      </w:r>
      <w:r w:rsidR="00480B72">
        <w:rPr>
          <w:color w:val="000000"/>
          <w:szCs w:val="22"/>
        </w:rPr>
        <w:t xml:space="preserve">26-satellite </w:t>
      </w:r>
      <w:r w:rsidRPr="0013771E">
        <w:rPr>
          <w:color w:val="000000"/>
          <w:szCs w:val="22"/>
        </w:rPr>
        <w:t xml:space="preserve">constellation </w:t>
      </w:r>
      <w:r w:rsidR="00480B72">
        <w:rPr>
          <w:color w:val="000000"/>
          <w:szCs w:val="22"/>
        </w:rPr>
        <w:t xml:space="preserve">described in IBFS File No. </w:t>
      </w:r>
      <w:r w:rsidR="006D4A38">
        <w:rPr>
          <w:color w:val="000000"/>
          <w:szCs w:val="22"/>
        </w:rPr>
        <w:t>SAT-PDR-</w:t>
      </w:r>
      <w:r w:rsidR="00AB0604">
        <w:rPr>
          <w:color w:val="000000"/>
          <w:szCs w:val="22"/>
        </w:rPr>
        <w:t>20190328-00020.</w:t>
      </w:r>
      <w:r w:rsidRPr="0013771E">
        <w:rPr>
          <w:color w:val="000000"/>
          <w:szCs w:val="22"/>
        </w:rPr>
        <w:t xml:space="preserve"> </w:t>
      </w:r>
      <w:r w:rsidR="000A0D84">
        <w:rPr>
          <w:color w:val="000000"/>
          <w:szCs w:val="22"/>
        </w:rPr>
        <w:t xml:space="preserve"> </w:t>
      </w:r>
      <w:r w:rsidRPr="0013771E">
        <w:rPr>
          <w:color w:val="000000"/>
          <w:szCs w:val="22"/>
        </w:rPr>
        <w:t xml:space="preserve">In its petition, Myriota requests </w:t>
      </w:r>
      <w:r w:rsidRPr="0013771E" w:rsidR="006D4A38">
        <w:rPr>
          <w:color w:val="000000"/>
          <w:szCs w:val="22"/>
        </w:rPr>
        <w:t xml:space="preserve">a </w:t>
      </w:r>
      <w:r w:rsidR="006D4A38">
        <w:rPr>
          <w:color w:val="000000"/>
          <w:szCs w:val="22"/>
        </w:rPr>
        <w:t xml:space="preserve">limited </w:t>
      </w:r>
      <w:r w:rsidRPr="0013771E" w:rsidR="006D4A38">
        <w:rPr>
          <w:color w:val="000000"/>
          <w:szCs w:val="22"/>
        </w:rPr>
        <w:t>waiver of</w:t>
      </w:r>
      <w:r w:rsidR="006D4A38">
        <w:rPr>
          <w:color w:val="000000"/>
          <w:szCs w:val="22"/>
        </w:rPr>
        <w:t xml:space="preserve"> section 25.142(a)(1), to the extent it requires applicants to demonstrate they will not cause unacceptable interference to authorized NVNG MSS systems, and of section 25.114, to address limitations in the Schedule S form.</w:t>
      </w:r>
      <w:r>
        <w:rPr>
          <w:rStyle w:val="FootnoteReference"/>
          <w:szCs w:val="22"/>
        </w:rPr>
        <w:footnoteReference w:id="7"/>
      </w:r>
      <w:r w:rsidR="006D4A38">
        <w:rPr>
          <w:color w:val="000000"/>
          <w:szCs w:val="22"/>
        </w:rPr>
        <w:t xml:space="preserve"> </w:t>
      </w:r>
      <w:r w:rsidRPr="0013771E">
        <w:rPr>
          <w:color w:val="000000"/>
          <w:szCs w:val="22"/>
        </w:rPr>
        <w:t xml:space="preserve"> </w:t>
      </w:r>
      <w:r w:rsidRPr="0013771E">
        <w:rPr>
          <w:color w:val="000000"/>
          <w:szCs w:val="22"/>
        </w:rPr>
        <w:t xml:space="preserve"> </w:t>
      </w:r>
    </w:p>
    <w:p w:rsidR="003403C8" w:rsidRPr="0013771E" w:rsidP="003403C8" w14:paraId="5EB46A08" w14:textId="77777777">
      <w:pPr>
        <w:autoSpaceDE w:val="0"/>
        <w:autoSpaceDN w:val="0"/>
        <w:adjustRightInd w:val="0"/>
        <w:jc w:val="both"/>
        <w:rPr>
          <w:color w:val="000000"/>
          <w:szCs w:val="22"/>
        </w:rPr>
      </w:pPr>
    </w:p>
    <w:p w:rsidR="003403C8" w:rsidRPr="009E3C27" w:rsidP="003403C8" w14:paraId="4A54AA9E" w14:textId="77777777">
      <w:pPr>
        <w:autoSpaceDE w:val="0"/>
        <w:autoSpaceDN w:val="0"/>
        <w:adjustRightInd w:val="0"/>
        <w:ind w:firstLine="720"/>
        <w:jc w:val="both"/>
        <w:rPr>
          <w:color w:val="000000"/>
          <w:szCs w:val="22"/>
        </w:rPr>
      </w:pPr>
      <w:bookmarkStart w:id="5" w:name="co_pp_sp_4493_7667_1"/>
      <w:bookmarkEnd w:id="5"/>
      <w:r w:rsidRPr="0013771E">
        <w:rPr>
          <w:i/>
          <w:iCs/>
          <w:color w:val="000000"/>
          <w:szCs w:val="22"/>
        </w:rPr>
        <w:t>Accepted for filing</w:t>
      </w:r>
      <w:r w:rsidRPr="0013771E">
        <w:rPr>
          <w:color w:val="000000"/>
          <w:szCs w:val="22"/>
        </w:rPr>
        <w:t>.  The Myriota petition is accepted for filing.  The Commission reserves the right</w:t>
      </w:r>
      <w:r w:rsidRPr="009E3C27">
        <w:rPr>
          <w:color w:val="000000"/>
          <w:szCs w:val="22"/>
        </w:rPr>
        <w:t xml:space="preserve"> to return any application or petition if, upon further examination, it is determined to be defective and not in conformance with the Commission’s rules or policies. </w:t>
      </w:r>
    </w:p>
    <w:p w:rsidR="003403C8" w:rsidP="00F96F63" w14:paraId="2D2256F3" w14:textId="77777777">
      <w:pPr>
        <w:rPr>
          <w:sz w:val="24"/>
        </w:rPr>
      </w:pPr>
    </w:p>
    <w:p w:rsidR="008962CD" w:rsidP="008962CD" w14:paraId="196E832B" w14:textId="24E77F35">
      <w:pPr>
        <w:autoSpaceDE w:val="0"/>
        <w:autoSpaceDN w:val="0"/>
        <w:adjustRightInd w:val="0"/>
        <w:ind w:firstLine="720"/>
        <w:jc w:val="both"/>
        <w:rPr>
          <w:color w:val="000000"/>
          <w:szCs w:val="22"/>
        </w:rPr>
      </w:pPr>
      <w:r>
        <w:rPr>
          <w:i/>
          <w:iCs/>
          <w:color w:val="000000"/>
          <w:szCs w:val="22"/>
        </w:rPr>
        <w:t>P</w:t>
      </w:r>
      <w:r w:rsidRPr="009E3C27">
        <w:rPr>
          <w:i/>
          <w:iCs/>
          <w:color w:val="000000"/>
          <w:szCs w:val="22"/>
        </w:rPr>
        <w:t>leading cycle</w:t>
      </w:r>
      <w:r w:rsidRPr="009E3C27">
        <w:rPr>
          <w:color w:val="000000"/>
          <w:szCs w:val="22"/>
        </w:rPr>
        <w:t xml:space="preserve">. </w:t>
      </w:r>
      <w:r w:rsidR="00E27734">
        <w:rPr>
          <w:color w:val="000000"/>
          <w:szCs w:val="22"/>
        </w:rPr>
        <w:t xml:space="preserve"> </w:t>
      </w:r>
      <w:r w:rsidRPr="009E3C27">
        <w:rPr>
          <w:color w:val="000000"/>
          <w:szCs w:val="22"/>
        </w:rPr>
        <w:t xml:space="preserve">Interested parties may file comments </w:t>
      </w:r>
      <w:r>
        <w:rPr>
          <w:color w:val="000000"/>
          <w:szCs w:val="22"/>
        </w:rPr>
        <w:t xml:space="preserve">concerning the lead applications </w:t>
      </w:r>
      <w:r w:rsidRPr="009D0B97">
        <w:rPr>
          <w:color w:val="000000"/>
          <w:szCs w:val="22"/>
        </w:rPr>
        <w:t xml:space="preserve">no later than </w:t>
      </w:r>
      <w:r w:rsidRPr="007632A9" w:rsidR="001B60E8">
        <w:rPr>
          <w:b/>
          <w:bCs/>
          <w:color w:val="000000"/>
          <w:szCs w:val="22"/>
        </w:rPr>
        <w:t>April 6, 2020</w:t>
      </w:r>
      <w:r w:rsidRPr="009D0B97">
        <w:rPr>
          <w:color w:val="000000"/>
          <w:szCs w:val="22"/>
        </w:rPr>
        <w:t xml:space="preserve">. Responses </w:t>
      </w:r>
      <w:r>
        <w:rPr>
          <w:color w:val="000000"/>
          <w:szCs w:val="22"/>
        </w:rPr>
        <w:t xml:space="preserve">and oppositions </w:t>
      </w:r>
      <w:r w:rsidRPr="009D0B97">
        <w:rPr>
          <w:color w:val="000000"/>
          <w:szCs w:val="22"/>
        </w:rPr>
        <w:t xml:space="preserve">must be filed no later than </w:t>
      </w:r>
      <w:r w:rsidRPr="007632A9" w:rsidR="001B60E8">
        <w:rPr>
          <w:b/>
          <w:bCs/>
          <w:color w:val="000000"/>
          <w:szCs w:val="22"/>
        </w:rPr>
        <w:t xml:space="preserve">April 16, </w:t>
      </w:r>
      <w:r w:rsidRPr="007632A9">
        <w:rPr>
          <w:b/>
          <w:bCs/>
          <w:color w:val="000000"/>
          <w:szCs w:val="22"/>
        </w:rPr>
        <w:t>2020</w:t>
      </w:r>
      <w:r w:rsidRPr="009D0B97">
        <w:rPr>
          <w:color w:val="000000"/>
          <w:szCs w:val="22"/>
        </w:rPr>
        <w:t xml:space="preserve">. </w:t>
      </w:r>
      <w:r w:rsidR="00E27734">
        <w:rPr>
          <w:color w:val="000000"/>
          <w:szCs w:val="22"/>
        </w:rPr>
        <w:t xml:space="preserve"> </w:t>
      </w:r>
      <w:r w:rsidRPr="009D0B97">
        <w:rPr>
          <w:color w:val="000000"/>
          <w:szCs w:val="22"/>
        </w:rPr>
        <w:t xml:space="preserve">Replies to oppositions must be filed no later than </w:t>
      </w:r>
      <w:r w:rsidRPr="007632A9" w:rsidR="001B60E8">
        <w:rPr>
          <w:b/>
          <w:bCs/>
          <w:color w:val="000000"/>
          <w:szCs w:val="22"/>
        </w:rPr>
        <w:t xml:space="preserve">April 21, </w:t>
      </w:r>
      <w:r w:rsidRPr="007632A9">
        <w:rPr>
          <w:b/>
          <w:bCs/>
          <w:color w:val="000000"/>
          <w:szCs w:val="22"/>
        </w:rPr>
        <w:t>2020</w:t>
      </w:r>
      <w:r>
        <w:rPr>
          <w:color w:val="000000"/>
          <w:szCs w:val="22"/>
        </w:rPr>
        <w:t>.</w:t>
      </w:r>
    </w:p>
    <w:p w:rsidR="008962CD" w:rsidRPr="009D0B97" w:rsidP="008962CD" w14:paraId="3FAAC8C3" w14:textId="77777777">
      <w:pPr>
        <w:autoSpaceDE w:val="0"/>
        <w:autoSpaceDN w:val="0"/>
        <w:adjustRightInd w:val="0"/>
        <w:ind w:firstLine="720"/>
        <w:jc w:val="both"/>
        <w:rPr>
          <w:color w:val="000000"/>
          <w:szCs w:val="22"/>
        </w:rPr>
      </w:pPr>
    </w:p>
    <w:p w:rsidR="008962CD" w:rsidRPr="009D0B97" w:rsidP="008962CD" w14:paraId="14341B8C" w14:textId="22F4C938">
      <w:pPr>
        <w:autoSpaceDE w:val="0"/>
        <w:autoSpaceDN w:val="0"/>
        <w:adjustRightInd w:val="0"/>
        <w:jc w:val="both"/>
        <w:rPr>
          <w:color w:val="000000"/>
          <w:szCs w:val="22"/>
        </w:rPr>
      </w:pPr>
      <w:r w:rsidRPr="009D0B97">
        <w:rPr>
          <w:color w:val="000000"/>
          <w:szCs w:val="22"/>
        </w:rPr>
        <w:t xml:space="preserve">· </w:t>
      </w:r>
      <w:r w:rsidRPr="009D0B97">
        <w:rPr>
          <w:color w:val="000000"/>
          <w:szCs w:val="22"/>
        </w:rPr>
        <w:t xml:space="preserve">Persons with Disabilities: </w:t>
      </w:r>
      <w:r w:rsidR="000A0D84">
        <w:rPr>
          <w:color w:val="000000"/>
          <w:szCs w:val="22"/>
        </w:rPr>
        <w:t xml:space="preserve"> </w:t>
      </w:r>
      <w:r w:rsidRPr="009D0B97">
        <w:rPr>
          <w:color w:val="000000"/>
          <w:szCs w:val="22"/>
        </w:rPr>
        <w:t>To request materials in accessible formats for people with disabilities (braille, large print, electronic files, audio format), send an e-mail to FCC504@fcc.gov or call the Consumer &amp; Governmental Affairs Bureau at (202) 418-0530 (voice), (202) 418-0432 (TTY).</w:t>
      </w:r>
    </w:p>
    <w:p w:rsidR="008962CD" w:rsidRPr="009D0B97" w:rsidP="008962CD" w14:paraId="2E117F36" w14:textId="77777777">
      <w:pPr>
        <w:autoSpaceDE w:val="0"/>
        <w:autoSpaceDN w:val="0"/>
        <w:adjustRightInd w:val="0"/>
        <w:jc w:val="both"/>
        <w:rPr>
          <w:snapToGrid/>
          <w:color w:val="000000"/>
          <w:kern w:val="0"/>
          <w:szCs w:val="22"/>
        </w:rPr>
      </w:pPr>
    </w:p>
    <w:p w:rsidR="008962CD" w:rsidRPr="009D0B97" w:rsidP="003E7310" w14:paraId="7049FAAE" w14:textId="78260418">
      <w:pPr>
        <w:autoSpaceDE w:val="0"/>
        <w:autoSpaceDN w:val="0"/>
        <w:adjustRightInd w:val="0"/>
        <w:rPr>
          <w:color w:val="000000"/>
          <w:szCs w:val="22"/>
        </w:rPr>
      </w:pPr>
      <w:r w:rsidRPr="009D0B97">
        <w:rPr>
          <w:color w:val="000000"/>
          <w:szCs w:val="22"/>
        </w:rPr>
        <w:t> · Electronic Fil</w:t>
      </w:r>
      <w:r w:rsidR="007E7230">
        <w:rPr>
          <w:color w:val="000000"/>
          <w:szCs w:val="22"/>
        </w:rPr>
        <w:t>ing</w:t>
      </w:r>
      <w:r w:rsidRPr="009D0B97">
        <w:rPr>
          <w:color w:val="000000"/>
          <w:szCs w:val="22"/>
        </w:rPr>
        <w:t>s: Comments m</w:t>
      </w:r>
      <w:r w:rsidR="007E7230">
        <w:rPr>
          <w:color w:val="000000"/>
          <w:szCs w:val="22"/>
        </w:rPr>
        <w:t>ust</w:t>
      </w:r>
      <w:r w:rsidRPr="009D0B97">
        <w:rPr>
          <w:color w:val="000000"/>
          <w:szCs w:val="22"/>
        </w:rPr>
        <w:t xml:space="preserve"> be filed using the Commission’s International Bureau Filing System at http://licensing.fcc.gov/myibfs/pleading.do.</w:t>
      </w:r>
    </w:p>
    <w:p w:rsidR="008962CD" w:rsidRPr="009D0B97" w:rsidP="008962CD" w14:paraId="6122CAAA" w14:textId="77777777">
      <w:pPr>
        <w:autoSpaceDE w:val="0"/>
        <w:autoSpaceDN w:val="0"/>
        <w:adjustRightInd w:val="0"/>
        <w:jc w:val="both"/>
        <w:rPr>
          <w:color w:val="000000"/>
          <w:szCs w:val="22"/>
        </w:rPr>
      </w:pPr>
      <w:r w:rsidRPr="009D0B97">
        <w:rPr>
          <w:color w:val="000000"/>
          <w:szCs w:val="22"/>
        </w:rPr>
        <w:t> </w:t>
      </w:r>
    </w:p>
    <w:p w:rsidR="008962CD" w:rsidRPr="009D0B97" w:rsidP="008962CD" w14:paraId="59D69146" w14:textId="60A3D8DB">
      <w:pPr>
        <w:autoSpaceDE w:val="0"/>
        <w:autoSpaceDN w:val="0"/>
        <w:adjustRightInd w:val="0"/>
        <w:ind w:firstLine="720"/>
        <w:rPr>
          <w:color w:val="000000"/>
          <w:szCs w:val="22"/>
        </w:rPr>
      </w:pPr>
      <w:r w:rsidRPr="009D0B97">
        <w:rPr>
          <w:i/>
          <w:iCs/>
          <w:color w:val="000000"/>
          <w:szCs w:val="22"/>
        </w:rPr>
        <w:t>Additional applications</w:t>
      </w:r>
      <w:r w:rsidRPr="009D0B97">
        <w:rPr>
          <w:color w:val="000000"/>
          <w:szCs w:val="22"/>
        </w:rPr>
        <w:t xml:space="preserve">. </w:t>
      </w:r>
      <w:r>
        <w:rPr>
          <w:color w:val="000000"/>
          <w:szCs w:val="22"/>
        </w:rPr>
        <w:t xml:space="preserve"> </w:t>
      </w:r>
      <w:r w:rsidRPr="009D0B97">
        <w:rPr>
          <w:color w:val="000000"/>
          <w:szCs w:val="22"/>
        </w:rPr>
        <w:t>We invite additional applications and petitions for declaratory ruling for N</w:t>
      </w:r>
      <w:r>
        <w:rPr>
          <w:color w:val="000000"/>
          <w:szCs w:val="22"/>
        </w:rPr>
        <w:t>VNG MSS</w:t>
      </w:r>
      <w:r w:rsidRPr="009D0B97">
        <w:rPr>
          <w:color w:val="000000"/>
          <w:szCs w:val="22"/>
        </w:rPr>
        <w:t xml:space="preserve"> satellite operation</w:t>
      </w:r>
      <w:r>
        <w:rPr>
          <w:color w:val="000000"/>
          <w:szCs w:val="22"/>
        </w:rPr>
        <w:t>s</w:t>
      </w:r>
      <w:r w:rsidRPr="009D0B97">
        <w:rPr>
          <w:color w:val="000000"/>
          <w:szCs w:val="22"/>
        </w:rPr>
        <w:t xml:space="preserve"> in the</w:t>
      </w:r>
      <w:r w:rsidRPr="00362474" w:rsidR="00362474">
        <w:rPr>
          <w:color w:val="000000"/>
          <w:szCs w:val="22"/>
        </w:rPr>
        <w:t xml:space="preserve"> </w:t>
      </w:r>
      <w:r w:rsidR="00362474">
        <w:rPr>
          <w:color w:val="000000"/>
          <w:szCs w:val="22"/>
        </w:rPr>
        <w:t>137-138 MHz (space-to-Earth) and 148-150.5 MHz</w:t>
      </w:r>
      <w:r>
        <w:rPr>
          <w:color w:val="000000"/>
          <w:szCs w:val="22"/>
        </w:rPr>
        <w:t xml:space="preserve"> </w:t>
      </w:r>
      <w:r w:rsidR="003B1A26">
        <w:rPr>
          <w:color w:val="000000"/>
          <w:szCs w:val="22"/>
        </w:rPr>
        <w:t xml:space="preserve">bands. </w:t>
      </w:r>
      <w:r>
        <w:rPr>
          <w:color w:val="000000"/>
          <w:szCs w:val="22"/>
        </w:rPr>
        <w:t xml:space="preserve"> </w:t>
      </w:r>
      <w:r w:rsidRPr="009D0B97">
        <w:rPr>
          <w:color w:val="000000"/>
          <w:szCs w:val="22"/>
        </w:rPr>
        <w:t>Applications and petitions filed by</w:t>
      </w:r>
      <w:r>
        <w:rPr>
          <w:color w:val="000000"/>
          <w:szCs w:val="22"/>
        </w:rPr>
        <w:t xml:space="preserve"> </w:t>
      </w:r>
      <w:r w:rsidR="001B60E8">
        <w:rPr>
          <w:color w:val="000000"/>
          <w:szCs w:val="22"/>
        </w:rPr>
        <w:t xml:space="preserve">May 4, </w:t>
      </w:r>
      <w:r>
        <w:rPr>
          <w:color w:val="000000"/>
          <w:szCs w:val="22"/>
        </w:rPr>
        <w:t>20</w:t>
      </w:r>
      <w:r w:rsidR="00DB235D">
        <w:rPr>
          <w:color w:val="000000"/>
          <w:szCs w:val="22"/>
        </w:rPr>
        <w:t>20</w:t>
      </w:r>
      <w:r w:rsidRPr="009D0B97">
        <w:rPr>
          <w:color w:val="000000"/>
          <w:szCs w:val="22"/>
        </w:rPr>
        <w:t xml:space="preserve"> will be considered together with </w:t>
      </w:r>
      <w:r>
        <w:rPr>
          <w:color w:val="000000"/>
          <w:szCs w:val="22"/>
        </w:rPr>
        <w:t>Myriota</w:t>
      </w:r>
      <w:r w:rsidR="003B1A26">
        <w:rPr>
          <w:color w:val="000000"/>
          <w:szCs w:val="22"/>
        </w:rPr>
        <w:t xml:space="preserve"> and Swarm. </w:t>
      </w:r>
      <w:r w:rsidRPr="009D0B97">
        <w:rPr>
          <w:color w:val="000000"/>
          <w:szCs w:val="22"/>
        </w:rPr>
        <w:t>Requests filed after this date may not be entitled to shared use of this spectrum with respect to any grant of applications or petitions filed prior to the cut-off date.</w:t>
      </w:r>
      <w:r w:rsidR="003E7310">
        <w:rPr>
          <w:color w:val="000000"/>
          <w:szCs w:val="22"/>
        </w:rPr>
        <w:t xml:space="preserve">  </w:t>
      </w:r>
      <w:r w:rsidRPr="009D0B97">
        <w:rPr>
          <w:color w:val="000000"/>
          <w:szCs w:val="22"/>
        </w:rPr>
        <w:t xml:space="preserve">Applications </w:t>
      </w:r>
      <w:bookmarkStart w:id="6" w:name="co_pp_sp_4493_7668_1"/>
      <w:bookmarkEnd w:id="6"/>
      <w:r w:rsidRPr="009D0B97">
        <w:rPr>
          <w:color w:val="000000"/>
          <w:szCs w:val="22"/>
        </w:rPr>
        <w:t xml:space="preserve">must be filed electronically through IBFS at </w:t>
      </w:r>
      <w:hyperlink r:id="rId5" w:history="1">
        <w:r w:rsidRPr="002841C6" w:rsidR="009F2D10">
          <w:rPr>
            <w:rStyle w:val="Hyperlink"/>
            <w:szCs w:val="22"/>
          </w:rPr>
          <w:t>http://licensing.fcc.gov/myibfs</w:t>
        </w:r>
      </w:hyperlink>
      <w:r w:rsidRPr="009D0B97">
        <w:rPr>
          <w:color w:val="000000"/>
          <w:szCs w:val="22"/>
        </w:rPr>
        <w:t>.</w:t>
      </w:r>
      <w:r w:rsidR="009F2D10">
        <w:rPr>
          <w:color w:val="000000"/>
          <w:szCs w:val="22"/>
        </w:rPr>
        <w:t xml:space="preserve"> </w:t>
      </w:r>
    </w:p>
    <w:p w:rsidR="008962CD" w:rsidRPr="009D0B97" w:rsidP="008962CD" w14:paraId="17901E46" w14:textId="77777777">
      <w:pPr>
        <w:autoSpaceDE w:val="0"/>
        <w:autoSpaceDN w:val="0"/>
        <w:adjustRightInd w:val="0"/>
        <w:rPr>
          <w:color w:val="000000"/>
          <w:szCs w:val="22"/>
        </w:rPr>
      </w:pPr>
      <w:r w:rsidRPr="009D0B97">
        <w:rPr>
          <w:color w:val="000000"/>
          <w:szCs w:val="22"/>
        </w:rPr>
        <w:t> </w:t>
      </w:r>
    </w:p>
    <w:p w:rsidR="0013771E" w:rsidRPr="009D0B97" w:rsidP="0013771E" w14:paraId="0EE60FDE" w14:textId="77777777">
      <w:pPr>
        <w:autoSpaceDE w:val="0"/>
        <w:autoSpaceDN w:val="0"/>
        <w:adjustRightInd w:val="0"/>
        <w:ind w:firstLine="720"/>
        <w:rPr>
          <w:color w:val="000000"/>
          <w:szCs w:val="22"/>
        </w:rPr>
      </w:pPr>
      <w:r w:rsidRPr="009D0B97">
        <w:rPr>
          <w:i/>
          <w:iCs/>
          <w:color w:val="000000"/>
          <w:szCs w:val="22"/>
        </w:rPr>
        <w:t>Ex parte status</w:t>
      </w:r>
      <w:r w:rsidRPr="009D0B97">
        <w:rPr>
          <w:color w:val="000000"/>
          <w:szCs w:val="22"/>
        </w:rPr>
        <w:t xml:space="preserve">. </w:t>
      </w:r>
      <w:r>
        <w:rPr>
          <w:color w:val="000000"/>
          <w:szCs w:val="22"/>
        </w:rPr>
        <w:t xml:space="preserve"> Myriota’s </w:t>
      </w:r>
      <w:r w:rsidRPr="009D0B97">
        <w:rPr>
          <w:color w:val="000000"/>
          <w:szCs w:val="22"/>
        </w:rPr>
        <w:t xml:space="preserve">petition for declaratory ruling is subject to the “permit-but-disclose” provisions of the Commission’s rules governing </w:t>
      </w:r>
      <w:r w:rsidRPr="009D0B97">
        <w:rPr>
          <w:i/>
          <w:iCs/>
          <w:color w:val="000000"/>
          <w:szCs w:val="22"/>
        </w:rPr>
        <w:t>ex parte</w:t>
      </w:r>
      <w:r w:rsidRPr="009D0B97">
        <w:rPr>
          <w:color w:val="000000"/>
          <w:szCs w:val="22"/>
        </w:rPr>
        <w:t xml:space="preserve"> communications. </w:t>
      </w:r>
      <w:hyperlink r:id="rId6" w:history="1">
        <w:r w:rsidRPr="00BC2D8F">
          <w:rPr>
            <w:rStyle w:val="Hyperlink"/>
            <w:color w:val="auto"/>
            <w:szCs w:val="22"/>
            <w:u w:val="none"/>
          </w:rPr>
          <w:t>47 CFR § 1.1206</w:t>
        </w:r>
      </w:hyperlink>
      <w:r w:rsidRPr="009D0B97">
        <w:rPr>
          <w:color w:val="000000"/>
          <w:szCs w:val="22"/>
        </w:rPr>
        <w:t xml:space="preserve">. </w:t>
      </w:r>
      <w:r>
        <w:rPr>
          <w:color w:val="000000"/>
          <w:szCs w:val="22"/>
        </w:rPr>
        <w:t xml:space="preserve"> </w:t>
      </w:r>
      <w:r w:rsidRPr="009D0B97">
        <w:rPr>
          <w:color w:val="000000"/>
          <w:szCs w:val="22"/>
        </w:rPr>
        <w:t xml:space="preserve">To provide for uniformity of treatment, we will also treat any other applications considered in this processing round under the “permit-but-disclose” provisions of the </w:t>
      </w:r>
      <w:r w:rsidRPr="009D0B97">
        <w:rPr>
          <w:i/>
          <w:iCs/>
          <w:color w:val="000000"/>
          <w:szCs w:val="22"/>
        </w:rPr>
        <w:t>ex parte</w:t>
      </w:r>
      <w:r w:rsidRPr="009D0B97">
        <w:rPr>
          <w:color w:val="000000"/>
          <w:szCs w:val="22"/>
        </w:rPr>
        <w:t xml:space="preserve"> rules.</w:t>
      </w:r>
    </w:p>
    <w:p w:rsidR="008962CD" w:rsidRPr="009D0B97" w:rsidP="008962CD" w14:paraId="2AFB601D" w14:textId="77777777">
      <w:pPr>
        <w:autoSpaceDE w:val="0"/>
        <w:autoSpaceDN w:val="0"/>
        <w:adjustRightInd w:val="0"/>
        <w:rPr>
          <w:color w:val="000000"/>
          <w:szCs w:val="22"/>
        </w:rPr>
      </w:pPr>
    </w:p>
    <w:p w:rsidR="008962CD" w:rsidRPr="009D0B97" w:rsidP="008962CD" w14:paraId="08A2EF50" w14:textId="77777777">
      <w:pPr>
        <w:autoSpaceDE w:val="0"/>
        <w:autoSpaceDN w:val="0"/>
        <w:adjustRightInd w:val="0"/>
        <w:rPr>
          <w:color w:val="000000"/>
          <w:szCs w:val="22"/>
        </w:rPr>
      </w:pPr>
    </w:p>
    <w:p w:rsidR="008962CD" w:rsidP="00F96F63" w14:paraId="6DC37B12" w14:textId="1F499676">
      <w:pPr>
        <w:rPr>
          <w:sz w:val="24"/>
        </w:rPr>
      </w:pPr>
    </w:p>
    <w:p w:rsidR="007632A9" w:rsidRPr="007632A9" w:rsidP="007632A9" w14:paraId="651DEDAE" w14:textId="48340A9F">
      <w:pPr>
        <w:rPr>
          <w:sz w:val="24"/>
        </w:rPr>
      </w:pPr>
    </w:p>
    <w:p w:rsidR="007632A9" w:rsidP="007632A9" w14:paraId="0F884A82" w14:textId="7A9F2168">
      <w:pPr>
        <w:rPr>
          <w:sz w:val="24"/>
        </w:rPr>
      </w:pPr>
    </w:p>
    <w:p w:rsidR="007632A9" w:rsidP="007632A9" w14:paraId="45D19E39" w14:textId="15AFCBE6">
      <w:pPr>
        <w:rPr>
          <w:sz w:val="24"/>
        </w:rPr>
      </w:pPr>
    </w:p>
    <w:p w:rsidR="007632A9" w:rsidRPr="007632A9" w:rsidP="007632A9" w14:paraId="142DEC35" w14:textId="10C112B3">
      <w:pPr>
        <w:jc w:val="center"/>
        <w:rPr>
          <w:b/>
          <w:bCs/>
          <w:sz w:val="24"/>
        </w:rPr>
      </w:pPr>
      <w:r>
        <w:rPr>
          <w:b/>
          <w:bCs/>
          <w:sz w:val="24"/>
        </w:rPr>
        <w:t>-FCC-</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79B9D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7E50F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EAC74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EA2615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20FE" w14:paraId="61CFAA78" w14:textId="77777777">
      <w:r>
        <w:separator/>
      </w:r>
    </w:p>
  </w:footnote>
  <w:footnote w:type="continuationSeparator" w:id="1">
    <w:p w:rsidR="00D920FE" w14:paraId="7D23DBFB" w14:textId="77777777">
      <w:pPr>
        <w:rPr>
          <w:sz w:val="20"/>
        </w:rPr>
      </w:pPr>
      <w:r>
        <w:rPr>
          <w:sz w:val="20"/>
        </w:rPr>
        <w:t xml:space="preserve">(Continued from previous page)  </w:t>
      </w:r>
      <w:r>
        <w:rPr>
          <w:sz w:val="20"/>
        </w:rPr>
        <w:separator/>
      </w:r>
    </w:p>
  </w:footnote>
  <w:footnote w:type="continuationNotice" w:id="2">
    <w:p w:rsidR="00D920FE" w:rsidRPr="003641C9" w:rsidP="003641C9" w14:paraId="1FC7D686" w14:textId="0593498D">
      <w:pPr>
        <w:pStyle w:val="Footer"/>
      </w:pPr>
    </w:p>
  </w:footnote>
  <w:footnote w:id="3">
    <w:p w:rsidR="00632DFC" w14:paraId="6ADE952A" w14:textId="0D8B0F18">
      <w:pPr>
        <w:pStyle w:val="FootnoteText"/>
      </w:pPr>
      <w:r>
        <w:rPr>
          <w:rStyle w:val="FootnoteReference"/>
        </w:rPr>
        <w:footnoteRef/>
      </w:r>
      <w:r>
        <w:t xml:space="preserve"> Swarm Technologies, Inc., Memorandum Opinion, Order and Authorization, </w:t>
      </w:r>
      <w:r w:rsidR="009F2D10">
        <w:t xml:space="preserve">DA 19-1044, </w:t>
      </w:r>
      <w:r w:rsidR="006D679A">
        <w:t xml:space="preserve">para. </w:t>
      </w:r>
      <w:r w:rsidR="009F2D10">
        <w:t xml:space="preserve">17 </w:t>
      </w:r>
      <w:r>
        <w:t>(</w:t>
      </w:r>
      <w:r w:rsidR="009F2D10">
        <w:t xml:space="preserve">IB rel. </w:t>
      </w:r>
      <w:r>
        <w:t>Oct. 17, 2019)</w:t>
      </w:r>
      <w:r w:rsidR="00F92926">
        <w:t xml:space="preserve"> (Swarm </w:t>
      </w:r>
      <w:r w:rsidR="00103D6F">
        <w:t>O</w:t>
      </w:r>
      <w:r w:rsidR="00F92926">
        <w:t>rder)</w:t>
      </w:r>
      <w:r>
        <w:t xml:space="preserve">. </w:t>
      </w:r>
    </w:p>
  </w:footnote>
  <w:footnote w:id="4">
    <w:p w:rsidR="00BC1032" w14:paraId="780D595A" w14:textId="693BD106">
      <w:pPr>
        <w:pStyle w:val="FootnoteText"/>
      </w:pPr>
      <w:r>
        <w:rPr>
          <w:rStyle w:val="FootnoteReference"/>
        </w:rPr>
        <w:footnoteRef/>
      </w:r>
      <w:r>
        <w:t xml:space="preserve"> </w:t>
      </w:r>
      <w:r w:rsidRPr="006D4A38">
        <w:rPr>
          <w:i/>
          <w:iCs/>
        </w:rPr>
        <w:t>See</w:t>
      </w:r>
      <w:r>
        <w:t xml:space="preserve"> 47 </w:t>
      </w:r>
      <w:r w:rsidR="0054210E">
        <w:t>CFR §</w:t>
      </w:r>
      <w:r>
        <w:t xml:space="preserve"> </w:t>
      </w:r>
      <w:r w:rsidR="00692C6F">
        <w:t>25.157(c).</w:t>
      </w:r>
    </w:p>
  </w:footnote>
  <w:footnote w:id="5">
    <w:p w:rsidR="00C82EA1" w14:paraId="3329BD85" w14:textId="72383621">
      <w:pPr>
        <w:pStyle w:val="FootnoteText"/>
      </w:pPr>
      <w:r>
        <w:rPr>
          <w:rStyle w:val="FootnoteReference"/>
        </w:rPr>
        <w:footnoteRef/>
      </w:r>
      <w:r>
        <w:t xml:space="preserve"> </w:t>
      </w:r>
      <w:r w:rsidR="006D4A38">
        <w:t>Public Notice, Satellite Policy Branch Information, Report No. SAT-01374 (March 1, 2019).</w:t>
      </w:r>
    </w:p>
  </w:footnote>
  <w:footnote w:id="6">
    <w:p w:rsidR="00692C6F" w14:paraId="6358597A" w14:textId="00919489">
      <w:pPr>
        <w:pStyle w:val="FootnoteText"/>
      </w:pPr>
      <w:r>
        <w:rPr>
          <w:rStyle w:val="FootnoteReference"/>
        </w:rPr>
        <w:footnoteRef/>
      </w:r>
      <w:r>
        <w:t xml:space="preserve"> </w:t>
      </w:r>
      <w:r w:rsidR="006A6253">
        <w:t xml:space="preserve"> </w:t>
      </w:r>
      <w:r w:rsidR="00F92926">
        <w:t xml:space="preserve">On November 18, 2019, </w:t>
      </w:r>
      <w:r w:rsidR="006A6253">
        <w:t>Myriota filed</w:t>
      </w:r>
      <w:r w:rsidR="00F92926">
        <w:t xml:space="preserve"> a petition requesting clarification of the Swarm </w:t>
      </w:r>
      <w:r w:rsidR="00103D6F">
        <w:t>O</w:t>
      </w:r>
      <w:r w:rsidR="00F92926">
        <w:t>rder</w:t>
      </w:r>
      <w:bookmarkStart w:id="2" w:name="_Hlk31795737"/>
      <w:r w:rsidR="004F0DA7">
        <w:t xml:space="preserve">.  Myriota Pty. Ltd. Petition for Clarification (filed Nov. 18, 2019). </w:t>
      </w:r>
      <w:bookmarkEnd w:id="2"/>
      <w:r w:rsidR="000D6040">
        <w:t xml:space="preserve"> </w:t>
      </w:r>
      <w:r w:rsidR="004F0DA7">
        <w:t>S</w:t>
      </w:r>
      <w:r w:rsidR="000B1817">
        <w:t>pecifically</w:t>
      </w:r>
      <w:r w:rsidR="004F0DA7">
        <w:t>, Myriota requests a clarification</w:t>
      </w:r>
      <w:r w:rsidR="00F92926">
        <w:t xml:space="preserve"> </w:t>
      </w:r>
      <w:r w:rsidR="000B1817">
        <w:t>regarding</w:t>
      </w:r>
      <w:r w:rsidR="004F0DA7">
        <w:t>:</w:t>
      </w:r>
      <w:r w:rsidR="000B1817">
        <w:t xml:space="preserve"> </w:t>
      </w:r>
      <w:r w:rsidR="006A6253">
        <w:t xml:space="preserve">(i) </w:t>
      </w:r>
      <w:r w:rsidR="004F0DA7">
        <w:t xml:space="preserve">the </w:t>
      </w:r>
      <w:r w:rsidR="006A6253">
        <w:t>conditions for initiating a processing round</w:t>
      </w:r>
      <w:r w:rsidR="005E5F6F">
        <w:t xml:space="preserve"> in </w:t>
      </w:r>
      <w:r w:rsidR="00415D60">
        <w:t xml:space="preserve">the </w:t>
      </w:r>
      <w:r w:rsidR="005E5F6F">
        <w:t>NVNG VHF bands</w:t>
      </w:r>
      <w:r w:rsidR="006A6253">
        <w:t>;</w:t>
      </w:r>
      <w:r w:rsidR="005E5F6F">
        <w:t xml:space="preserve"> (ii) how Swarm would be included in such </w:t>
      </w:r>
      <w:r w:rsidR="004F0DA7">
        <w:t xml:space="preserve">a </w:t>
      </w:r>
      <w:r w:rsidR="005E5F6F">
        <w:t xml:space="preserve">processing round; </w:t>
      </w:r>
      <w:r w:rsidR="000B1817">
        <w:t xml:space="preserve">and </w:t>
      </w:r>
      <w:r w:rsidR="005E5F6F">
        <w:t xml:space="preserve">(iii) </w:t>
      </w:r>
      <w:r w:rsidR="000B1817">
        <w:t xml:space="preserve">the </w:t>
      </w:r>
      <w:r w:rsidR="005E5F6F">
        <w:t xml:space="preserve">effect of </w:t>
      </w:r>
      <w:r w:rsidR="00103D6F">
        <w:t xml:space="preserve">Swarm’s operations, </w:t>
      </w:r>
      <w:r w:rsidR="005E5F6F">
        <w:t>or any system authorized in the future</w:t>
      </w:r>
      <w:r w:rsidR="00103D6F">
        <w:t>,</w:t>
      </w:r>
      <w:r w:rsidR="005E5F6F">
        <w:t xml:space="preserve"> on Orbcomm’s authorized operations. </w:t>
      </w:r>
      <w:r w:rsidR="000D6040">
        <w:t xml:space="preserve"> </w:t>
      </w:r>
      <w:r w:rsidR="005E5F6F">
        <w:t xml:space="preserve">This </w:t>
      </w:r>
      <w:r w:rsidR="000B1817">
        <w:t>public notice add</w:t>
      </w:r>
      <w:r w:rsidR="005E5F6F">
        <w:t xml:space="preserve">resses items (i) and (ii). </w:t>
      </w:r>
      <w:r w:rsidR="00DB235D">
        <w:t xml:space="preserve"> </w:t>
      </w:r>
      <w:r w:rsidR="005E5F6F">
        <w:t>With respect to (iii)</w:t>
      </w:r>
      <w:r w:rsidR="000B1817">
        <w:t xml:space="preserve">, </w:t>
      </w:r>
      <w:bookmarkStart w:id="3" w:name="_Hlk31796745"/>
      <w:bookmarkStart w:id="4" w:name="_Hlk31795839"/>
      <w:r w:rsidR="000B1817">
        <w:t>th</w:t>
      </w:r>
      <w:r w:rsidR="004F0DA7">
        <w:t>e</w:t>
      </w:r>
      <w:r w:rsidR="000B1817">
        <w:t xml:space="preserve"> matter </w:t>
      </w:r>
      <w:r w:rsidR="00672E4C">
        <w:t xml:space="preserve">concerning </w:t>
      </w:r>
      <w:r w:rsidR="00415D60">
        <w:t xml:space="preserve">Swarm’s operations as they </w:t>
      </w:r>
      <w:r w:rsidR="00E27734">
        <w:t xml:space="preserve">relate to </w:t>
      </w:r>
      <w:r w:rsidR="00672E4C">
        <w:t xml:space="preserve">Orbcomm’s </w:t>
      </w:r>
      <w:r w:rsidR="004F0DA7">
        <w:t xml:space="preserve">operations was addressed in </w:t>
      </w:r>
      <w:r w:rsidR="000B1817">
        <w:t xml:space="preserve">the Swarm </w:t>
      </w:r>
      <w:r w:rsidR="00103D6F">
        <w:t>O</w:t>
      </w:r>
      <w:r w:rsidR="000B1817">
        <w:t>rder</w:t>
      </w:r>
      <w:r w:rsidR="00E27734">
        <w:t xml:space="preserve">. </w:t>
      </w:r>
      <w:r w:rsidR="000D6040">
        <w:t xml:space="preserve"> </w:t>
      </w:r>
      <w:r w:rsidRPr="00415D60" w:rsidR="00E27734">
        <w:rPr>
          <w:i/>
          <w:iCs/>
        </w:rPr>
        <w:t>See</w:t>
      </w:r>
      <w:r w:rsidR="00E27734">
        <w:t xml:space="preserve"> Swarm Order, </w:t>
      </w:r>
      <w:r w:rsidR="003641C9">
        <w:t xml:space="preserve">paras. </w:t>
      </w:r>
      <w:r w:rsidR="00E27734">
        <w:t xml:space="preserve">11-13.  Likewise, how </w:t>
      </w:r>
      <w:r w:rsidR="005E5F6F">
        <w:t>future authorizations for other systems</w:t>
      </w:r>
      <w:r w:rsidR="000B1817">
        <w:t xml:space="preserve"> </w:t>
      </w:r>
      <w:r w:rsidR="00E27734">
        <w:t xml:space="preserve">may affect Orbcomm’s operations will be examined </w:t>
      </w:r>
      <w:r w:rsidR="000B1817">
        <w:t>on a case-by-case basis</w:t>
      </w:r>
      <w:r w:rsidRPr="00FE3885" w:rsidR="00FE3885">
        <w:t xml:space="preserve"> </w:t>
      </w:r>
      <w:r w:rsidR="00FE3885">
        <w:t>in the context of individual applications</w:t>
      </w:r>
      <w:r w:rsidR="004F0DA7">
        <w:t xml:space="preserve">. </w:t>
      </w:r>
      <w:r w:rsidR="0097487F">
        <w:t xml:space="preserve"> As a result, </w:t>
      </w:r>
      <w:r w:rsidR="00FE3885">
        <w:t xml:space="preserve">no further action is necessary concerning </w:t>
      </w:r>
      <w:r w:rsidR="0097487F">
        <w:t xml:space="preserve">Myriota’s </w:t>
      </w:r>
      <w:r w:rsidR="003A4A81">
        <w:t>p</w:t>
      </w:r>
      <w:r w:rsidR="0097487F">
        <w:t xml:space="preserve">etition for </w:t>
      </w:r>
      <w:r w:rsidR="003A4A81">
        <w:t>c</w:t>
      </w:r>
      <w:r w:rsidR="0097487F">
        <w:t xml:space="preserve">larification. </w:t>
      </w:r>
      <w:bookmarkEnd w:id="3"/>
    </w:p>
    <w:bookmarkEnd w:id="4"/>
  </w:footnote>
  <w:footnote w:id="7">
    <w:p w:rsidR="006D4A38" w:rsidP="006D4A38" w14:paraId="06953EF9" w14:textId="77777777">
      <w:pPr>
        <w:pStyle w:val="FootnoteText"/>
      </w:pPr>
      <w:r>
        <w:rPr>
          <w:rStyle w:val="FootnoteReference"/>
        </w:rPr>
        <w:footnoteRef/>
      </w:r>
      <w:r>
        <w:t xml:space="preserve">47 CFR §§ 25.142(a)(1) and 25.114(c)(4)(v).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7C50DE4" w14:textId="2C0ADFA3">
    <w:pPr>
      <w:tabs>
        <w:tab w:val="center" w:pos="4680"/>
        <w:tab w:val="right" w:pos="9360"/>
      </w:tabs>
    </w:pPr>
    <w:r w:rsidRPr="009838BC">
      <w:rPr>
        <w:b/>
      </w:rPr>
      <w:tab/>
      <w:t>Federal Communications Commission</w:t>
    </w:r>
    <w:r w:rsidRPr="009838BC">
      <w:rPr>
        <w:b/>
      </w:rPr>
      <w:tab/>
    </w:r>
    <w:r w:rsidR="007632A9">
      <w:rPr>
        <w:b/>
      </w:rPr>
      <w:t>FCC 20-238</w:t>
    </w:r>
  </w:p>
  <w:p w:rsidR="009838BC" w:rsidRPr="009838BC" w:rsidP="009838BC" w14:paraId="6DB2C6C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E81E20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47C3AD5"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7BD37D5" w14:textId="77777777">
                    <w:pPr>
                      <w:rPr>
                        <w:rFonts w:ascii="Arial" w:hAnsi="Arial"/>
                        <w:b/>
                      </w:rPr>
                    </w:pPr>
                    <w:r>
                      <w:rPr>
                        <w:rFonts w:ascii="Arial" w:hAnsi="Arial"/>
                        <w:b/>
                      </w:rPr>
                      <w:t>Federal Communications Commission</w:t>
                    </w:r>
                  </w:p>
                  <w:p w:rsidR="009838BC" w:rsidP="009838BC" w14:paraId="7113B14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B85EFC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88460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CE9CC0D"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7944436" w14:textId="77777777">
                    <w:pPr>
                      <w:spacing w:before="40"/>
                      <w:jc w:val="right"/>
                      <w:rPr>
                        <w:rFonts w:ascii="Arial" w:hAnsi="Arial"/>
                        <w:b/>
                        <w:sz w:val="16"/>
                      </w:rPr>
                    </w:pPr>
                    <w:r>
                      <w:rPr>
                        <w:rFonts w:ascii="Arial" w:hAnsi="Arial"/>
                        <w:b/>
                        <w:sz w:val="16"/>
                      </w:rPr>
                      <w:t>News Media Information 202 / 418-0500</w:t>
                    </w:r>
                  </w:p>
                  <w:p w:rsidR="009838BC" w:rsidP="009838BC" w14:paraId="0E09C408"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paraId="27B2167D" w14:textId="77777777">
                    <w:pPr>
                      <w:jc w:val="right"/>
                    </w:pPr>
                    <w:r>
                      <w:rPr>
                        <w:rFonts w:ascii="Arial" w:hAnsi="Arial"/>
                        <w:b/>
                        <w:sz w:val="16"/>
                      </w:rPr>
                      <w:t>TTY: 1-888-835-5322</w:t>
                    </w:r>
                  </w:p>
                </w:txbxContent>
              </v:textbox>
            </v:shape>
          </w:pict>
        </mc:Fallback>
      </mc:AlternateContent>
    </w:r>
  </w:p>
  <w:p w:rsidR="006F7393" w:rsidRPr="009838BC" w:rsidP="009838BC" w14:paraId="6046044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20"/>
    <w:rsid w:val="000072CE"/>
    <w:rsid w:val="00013A8B"/>
    <w:rsid w:val="00021445"/>
    <w:rsid w:val="00036039"/>
    <w:rsid w:val="00037F90"/>
    <w:rsid w:val="000875BF"/>
    <w:rsid w:val="00096D8C"/>
    <w:rsid w:val="000A0D84"/>
    <w:rsid w:val="000B1817"/>
    <w:rsid w:val="000C05D7"/>
    <w:rsid w:val="000C0B65"/>
    <w:rsid w:val="000D6040"/>
    <w:rsid w:val="000E3D42"/>
    <w:rsid w:val="000E5884"/>
    <w:rsid w:val="000F1178"/>
    <w:rsid w:val="00103D6F"/>
    <w:rsid w:val="00122BD5"/>
    <w:rsid w:val="0013771E"/>
    <w:rsid w:val="001979D9"/>
    <w:rsid w:val="001B60E8"/>
    <w:rsid w:val="001D6BCF"/>
    <w:rsid w:val="001E01CA"/>
    <w:rsid w:val="002060D9"/>
    <w:rsid w:val="00226822"/>
    <w:rsid w:val="00260594"/>
    <w:rsid w:val="002841C6"/>
    <w:rsid w:val="00285017"/>
    <w:rsid w:val="002A2D2E"/>
    <w:rsid w:val="003403C8"/>
    <w:rsid w:val="00343749"/>
    <w:rsid w:val="00357D50"/>
    <w:rsid w:val="00362474"/>
    <w:rsid w:val="003641C9"/>
    <w:rsid w:val="003925DC"/>
    <w:rsid w:val="003A4A81"/>
    <w:rsid w:val="003B0550"/>
    <w:rsid w:val="003B1A26"/>
    <w:rsid w:val="003B694F"/>
    <w:rsid w:val="003E2904"/>
    <w:rsid w:val="003E7310"/>
    <w:rsid w:val="003F171C"/>
    <w:rsid w:val="00412FC5"/>
    <w:rsid w:val="00415D60"/>
    <w:rsid w:val="00422276"/>
    <w:rsid w:val="00422ED2"/>
    <w:rsid w:val="004242F1"/>
    <w:rsid w:val="00445A00"/>
    <w:rsid w:val="00451B0F"/>
    <w:rsid w:val="0046125F"/>
    <w:rsid w:val="004639EE"/>
    <w:rsid w:val="00480B72"/>
    <w:rsid w:val="00482E9D"/>
    <w:rsid w:val="00487524"/>
    <w:rsid w:val="00496106"/>
    <w:rsid w:val="004C12D0"/>
    <w:rsid w:val="004C2EE3"/>
    <w:rsid w:val="004E4A22"/>
    <w:rsid w:val="004F0DA7"/>
    <w:rsid w:val="00511968"/>
    <w:rsid w:val="005270B7"/>
    <w:rsid w:val="0054210E"/>
    <w:rsid w:val="0055614C"/>
    <w:rsid w:val="005A0FC2"/>
    <w:rsid w:val="005E5F6F"/>
    <w:rsid w:val="00607BA5"/>
    <w:rsid w:val="00626EB6"/>
    <w:rsid w:val="00632DFC"/>
    <w:rsid w:val="006353A3"/>
    <w:rsid w:val="00655D03"/>
    <w:rsid w:val="00672E4C"/>
    <w:rsid w:val="00683F84"/>
    <w:rsid w:val="00692C6F"/>
    <w:rsid w:val="006A6253"/>
    <w:rsid w:val="006A6A81"/>
    <w:rsid w:val="006D4A38"/>
    <w:rsid w:val="006D679A"/>
    <w:rsid w:val="006E26AF"/>
    <w:rsid w:val="006F7393"/>
    <w:rsid w:val="0070224F"/>
    <w:rsid w:val="007115F7"/>
    <w:rsid w:val="007632A9"/>
    <w:rsid w:val="00785689"/>
    <w:rsid w:val="0079754B"/>
    <w:rsid w:val="007A1E6D"/>
    <w:rsid w:val="007E7230"/>
    <w:rsid w:val="00822CE0"/>
    <w:rsid w:val="00837C62"/>
    <w:rsid w:val="00841AB1"/>
    <w:rsid w:val="008962CD"/>
    <w:rsid w:val="008C22FD"/>
    <w:rsid w:val="00910F12"/>
    <w:rsid w:val="00926503"/>
    <w:rsid w:val="00930ECF"/>
    <w:rsid w:val="00943B78"/>
    <w:rsid w:val="0097487F"/>
    <w:rsid w:val="009838BC"/>
    <w:rsid w:val="009D0B97"/>
    <w:rsid w:val="009D4608"/>
    <w:rsid w:val="009E3C27"/>
    <w:rsid w:val="009F2D10"/>
    <w:rsid w:val="00A45F4F"/>
    <w:rsid w:val="00A600A9"/>
    <w:rsid w:val="00A866AC"/>
    <w:rsid w:val="00AA55B7"/>
    <w:rsid w:val="00AA5B9E"/>
    <w:rsid w:val="00AB0604"/>
    <w:rsid w:val="00AB2407"/>
    <w:rsid w:val="00AB53DF"/>
    <w:rsid w:val="00B07E5C"/>
    <w:rsid w:val="00B20363"/>
    <w:rsid w:val="00B326E3"/>
    <w:rsid w:val="00B347FF"/>
    <w:rsid w:val="00B436C4"/>
    <w:rsid w:val="00B811F7"/>
    <w:rsid w:val="00B84ADC"/>
    <w:rsid w:val="00BA5DC6"/>
    <w:rsid w:val="00BA6196"/>
    <w:rsid w:val="00BC1032"/>
    <w:rsid w:val="00BC2D8F"/>
    <w:rsid w:val="00BC6D8C"/>
    <w:rsid w:val="00C16AF2"/>
    <w:rsid w:val="00C34006"/>
    <w:rsid w:val="00C40962"/>
    <w:rsid w:val="00C426B1"/>
    <w:rsid w:val="00C82B6B"/>
    <w:rsid w:val="00C82EA1"/>
    <w:rsid w:val="00C8307A"/>
    <w:rsid w:val="00C90D6A"/>
    <w:rsid w:val="00CA4D20"/>
    <w:rsid w:val="00CA7A21"/>
    <w:rsid w:val="00CC72B6"/>
    <w:rsid w:val="00CE541B"/>
    <w:rsid w:val="00D0218D"/>
    <w:rsid w:val="00D060A8"/>
    <w:rsid w:val="00D216CD"/>
    <w:rsid w:val="00D920FE"/>
    <w:rsid w:val="00DA2529"/>
    <w:rsid w:val="00DB130A"/>
    <w:rsid w:val="00DB235D"/>
    <w:rsid w:val="00DC10A1"/>
    <w:rsid w:val="00DC655F"/>
    <w:rsid w:val="00DD7EBD"/>
    <w:rsid w:val="00DF62B6"/>
    <w:rsid w:val="00E07225"/>
    <w:rsid w:val="00E155B7"/>
    <w:rsid w:val="00E27734"/>
    <w:rsid w:val="00E5409F"/>
    <w:rsid w:val="00EC0185"/>
    <w:rsid w:val="00F021FA"/>
    <w:rsid w:val="00F57ACA"/>
    <w:rsid w:val="00F62E97"/>
    <w:rsid w:val="00F64209"/>
    <w:rsid w:val="00F91ECF"/>
    <w:rsid w:val="00F92926"/>
    <w:rsid w:val="00F93BF5"/>
    <w:rsid w:val="00F96F63"/>
    <w:rsid w:val="00FD05C2"/>
    <w:rsid w:val="00FE3885"/>
    <w:rsid w:val="00FE59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46D9B9B-28DE-4139-9949-B8BE2E44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9F2D10"/>
    <w:rPr>
      <w:color w:val="605E5C"/>
      <w:shd w:val="clear" w:color="auto" w:fill="E1DFDD"/>
    </w:rPr>
  </w:style>
  <w:style w:type="paragraph" w:styleId="BalloonText">
    <w:name w:val="Balloon Text"/>
    <w:basedOn w:val="Normal"/>
    <w:link w:val="BalloonTextChar"/>
    <w:uiPriority w:val="99"/>
    <w:semiHidden/>
    <w:unhideWhenUsed/>
    <w:rsid w:val="009D4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08"/>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692C6F"/>
    <w:rPr>
      <w:sz w:val="16"/>
      <w:szCs w:val="16"/>
    </w:rPr>
  </w:style>
  <w:style w:type="paragraph" w:styleId="CommentText">
    <w:name w:val="annotation text"/>
    <w:basedOn w:val="Normal"/>
    <w:link w:val="CommentTextChar"/>
    <w:uiPriority w:val="99"/>
    <w:semiHidden/>
    <w:unhideWhenUsed/>
    <w:rsid w:val="00692C6F"/>
    <w:rPr>
      <w:sz w:val="20"/>
    </w:rPr>
  </w:style>
  <w:style w:type="character" w:customStyle="1" w:styleId="CommentTextChar">
    <w:name w:val="Comment Text Char"/>
    <w:basedOn w:val="DefaultParagraphFont"/>
    <w:link w:val="CommentText"/>
    <w:uiPriority w:val="99"/>
    <w:semiHidden/>
    <w:rsid w:val="00692C6F"/>
    <w:rPr>
      <w:snapToGrid w:val="0"/>
      <w:kern w:val="28"/>
    </w:rPr>
  </w:style>
  <w:style w:type="paragraph" w:styleId="CommentSubject">
    <w:name w:val="annotation subject"/>
    <w:basedOn w:val="CommentText"/>
    <w:next w:val="CommentText"/>
    <w:link w:val="CommentSubjectChar"/>
    <w:uiPriority w:val="99"/>
    <w:semiHidden/>
    <w:unhideWhenUsed/>
    <w:rsid w:val="00692C6F"/>
    <w:rPr>
      <w:b/>
      <w:bCs/>
    </w:rPr>
  </w:style>
  <w:style w:type="character" w:customStyle="1" w:styleId="CommentSubjectChar">
    <w:name w:val="Comment Subject Char"/>
    <w:basedOn w:val="CommentTextChar"/>
    <w:link w:val="CommentSubject"/>
    <w:uiPriority w:val="99"/>
    <w:semiHidden/>
    <w:rsid w:val="00692C6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licensing.fcc.gov/myibfs" TargetMode="External" /><Relationship Id="rId6" Type="http://schemas.openxmlformats.org/officeDocument/2006/relationships/hyperlink" Target="http://www.westlaw.com/Link/Document/FullText?findType=L&amp;pubNum=1000547&amp;cite=47CFRS1.1206&amp;originatingDoc=I6adfe8d64d5011e690d4edf60ce7d742&amp;refType=LQ&amp;originationContext=document&amp;vr=3.0&amp;rs=cblt1.0&amp;transitionType=DocumentItem&amp;contextData=(sc.DocLink)"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