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40AD0E6E" w14:textId="77777777">
      <w:pPr>
        <w:jc w:val="right"/>
        <w:rPr>
          <w:sz w:val="24"/>
        </w:rPr>
      </w:pPr>
    </w:p>
    <w:p w:rsidR="00013A8B" w:rsidRPr="00B20363" w:rsidP="00013A8B" w14:paraId="4E67D4F8" w14:textId="1061D965">
      <w:pPr>
        <w:jc w:val="right"/>
        <w:rPr>
          <w:b/>
          <w:sz w:val="24"/>
        </w:rPr>
      </w:pPr>
      <w:r>
        <w:rPr>
          <w:b/>
          <w:sz w:val="24"/>
        </w:rPr>
        <w:t>DA 20-246</w:t>
      </w:r>
    </w:p>
    <w:p w:rsidR="00013A8B" w:rsidRPr="00B20363" w:rsidP="00013A8B" w14:paraId="006210C7" w14:textId="06309C4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063D9">
        <w:rPr>
          <w:b/>
          <w:sz w:val="24"/>
        </w:rPr>
        <w:t>March 10, 2020</w:t>
      </w:r>
    </w:p>
    <w:p w:rsidR="00013A8B" w:rsidP="00013A8B" w14:paraId="4D2A5E3C" w14:textId="77777777">
      <w:pPr>
        <w:jc w:val="right"/>
        <w:rPr>
          <w:sz w:val="24"/>
        </w:rPr>
      </w:pPr>
    </w:p>
    <w:p w:rsidR="002063D9" w:rsidRPr="002063D9" w:rsidP="002063D9" w14:paraId="6431E337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2063D9">
        <w:rPr>
          <w:rFonts w:ascii="Times New Roman Bold" w:hAnsi="Times New Roman Bold"/>
          <w:b/>
          <w:caps/>
          <w:sz w:val="24"/>
        </w:rPr>
        <w:t>MEDIA BUREAU OPENS MB DOCKET NO. 20-70</w:t>
      </w:r>
    </w:p>
    <w:p w:rsidR="00F96F63" w:rsidP="002063D9" w14:paraId="5D5AD2F9" w14:textId="3B0D40EC">
      <w:pPr>
        <w:jc w:val="center"/>
        <w:rPr>
          <w:b/>
          <w:sz w:val="24"/>
        </w:rPr>
      </w:pPr>
      <w:bookmarkStart w:id="0" w:name="TOChere"/>
      <w:r w:rsidRPr="002063D9">
        <w:rPr>
          <w:b/>
          <w:sz w:val="24"/>
        </w:rPr>
        <w:t>MB Docket No. 20-70</w:t>
      </w:r>
    </w:p>
    <w:p w:rsidR="002063D9" w:rsidRPr="00930ECF" w:rsidP="002063D9" w14:paraId="06807135" w14:textId="77777777">
      <w:pPr>
        <w:jc w:val="center"/>
        <w:rPr>
          <w:sz w:val="24"/>
        </w:rPr>
      </w:pPr>
      <w:bookmarkStart w:id="1" w:name="_GoBack"/>
      <w:bookmarkEnd w:id="1"/>
    </w:p>
    <w:bookmarkEnd w:id="0"/>
    <w:p w:rsidR="002063D9" w:rsidRPr="0059742D" w:rsidP="002063D9" w14:paraId="340A5566" w14:textId="77777777">
      <w:pPr>
        <w:widowControl/>
        <w:suppressAutoHyphens/>
        <w:ind w:firstLine="720"/>
        <w:rPr>
          <w:snapToGrid/>
          <w:spacing w:val="-2"/>
          <w:kern w:val="0"/>
          <w:szCs w:val="22"/>
        </w:rPr>
      </w:pP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20-70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</w:t>
      </w:r>
      <w:r>
        <w:t>“</w:t>
      </w:r>
      <w:r w:rsidRPr="00165A33">
        <w:rPr>
          <w:szCs w:val="22"/>
        </w:rPr>
        <w:t>Revision of the Commission’s Part 76 Review Procedures</w:t>
      </w:r>
      <w:r>
        <w:rPr>
          <w:szCs w:val="22"/>
        </w:rPr>
        <w:t>.”</w:t>
      </w:r>
    </w:p>
    <w:p w:rsidR="002063D9" w:rsidRPr="0059742D" w:rsidP="002063D9" w14:paraId="0B7AEA59" w14:textId="77777777">
      <w:pPr>
        <w:ind w:firstLine="720"/>
        <w:rPr>
          <w:szCs w:val="22"/>
        </w:rPr>
      </w:pPr>
    </w:p>
    <w:p w:rsidR="002063D9" w:rsidRPr="00DC2B2A" w:rsidP="002063D9" w14:paraId="057D05F8" w14:textId="77777777">
      <w:pPr>
        <w:ind w:firstLine="720"/>
        <w:rPr>
          <w:szCs w:val="22"/>
        </w:rPr>
      </w:pPr>
      <w:r w:rsidRPr="0059742D">
        <w:rPr>
          <w:i/>
          <w:szCs w:val="22"/>
        </w:rPr>
        <w:t xml:space="preserve">Ex </w:t>
      </w:r>
      <w:r w:rsidRPr="0059742D">
        <w:rPr>
          <w:i/>
          <w:szCs w:val="22"/>
        </w:rPr>
        <w:t>Parte</w:t>
      </w:r>
      <w:r w:rsidRPr="0059742D">
        <w:rPr>
          <w:i/>
          <w:szCs w:val="22"/>
        </w:rPr>
        <w:t xml:space="preserve"> Rules</w:t>
      </w:r>
      <w:r w:rsidRPr="0059742D">
        <w:rPr>
          <w:szCs w:val="22"/>
        </w:rPr>
        <w:t xml:space="preserve">.  Presentations are subject to “permit-but-disclose” </w:t>
      </w:r>
      <w:r w:rsidRPr="0059742D">
        <w:rPr>
          <w:i/>
          <w:iCs/>
          <w:szCs w:val="22"/>
        </w:rPr>
        <w:t xml:space="preserve">ex </w:t>
      </w:r>
      <w:r w:rsidRPr="0059742D">
        <w:rPr>
          <w:i/>
          <w:iCs/>
          <w:szCs w:val="22"/>
        </w:rPr>
        <w:t>parte</w:t>
      </w:r>
      <w:r w:rsidRPr="0059742D">
        <w:rPr>
          <w:i/>
          <w:iCs/>
          <w:szCs w:val="22"/>
        </w:rPr>
        <w:t xml:space="preserve"> </w:t>
      </w:r>
      <w:r w:rsidRPr="0059742D">
        <w:rPr>
          <w:szCs w:val="22"/>
        </w:rPr>
        <w:t xml:space="preserve">rules.  </w:t>
      </w:r>
      <w:r w:rsidRPr="0059742D">
        <w:rPr>
          <w:i/>
          <w:iCs/>
          <w:szCs w:val="22"/>
        </w:rPr>
        <w:t>See</w:t>
      </w:r>
      <w:r w:rsidRPr="0059742D">
        <w:rPr>
          <w:szCs w:val="22"/>
        </w:rPr>
        <w:t xml:space="preserve"> 47 CFR §§ 1.1206, 1.1200(a).  Persons making </w:t>
      </w:r>
      <w:r w:rsidRPr="0059742D">
        <w:rPr>
          <w:i/>
          <w:iCs/>
          <w:szCs w:val="22"/>
        </w:rPr>
        <w:t xml:space="preserve">ex </w:t>
      </w:r>
      <w:r w:rsidRPr="0059742D">
        <w:rPr>
          <w:i/>
          <w:iCs/>
          <w:szCs w:val="22"/>
        </w:rPr>
        <w:t>parte</w:t>
      </w:r>
      <w:r w:rsidRPr="0059742D">
        <w:rPr>
          <w:i/>
          <w:iCs/>
          <w:szCs w:val="22"/>
        </w:rPr>
        <w:t xml:space="preserve"> </w:t>
      </w:r>
      <w:r w:rsidRPr="0059742D">
        <w:rPr>
          <w:szCs w:val="22"/>
        </w:rPr>
        <w:t xml:space="preserve">presentations must file a copy of any written </w:t>
      </w:r>
      <w:r w:rsidRPr="00DC2B2A">
        <w:rPr>
          <w:szCs w:val="22"/>
        </w:rPr>
        <w:t xml:space="preserve">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DC2B2A">
        <w:rPr>
          <w:i/>
          <w:iCs/>
          <w:szCs w:val="22"/>
        </w:rPr>
        <w:t xml:space="preserve">ex </w:t>
      </w:r>
      <w:r w:rsidRPr="00DC2B2A">
        <w:rPr>
          <w:i/>
          <w:iCs/>
          <w:szCs w:val="22"/>
        </w:rPr>
        <w:t>parte</w:t>
      </w:r>
      <w:r w:rsidRPr="00DC2B2A">
        <w:rPr>
          <w:i/>
          <w:iCs/>
          <w:szCs w:val="22"/>
        </w:rPr>
        <w:t xml:space="preserve"> </w:t>
      </w:r>
      <w:r w:rsidRPr="00DC2B2A">
        <w:rPr>
          <w:szCs w:val="22"/>
        </w:rPr>
        <w:t>rules.</w:t>
      </w:r>
    </w:p>
    <w:p w:rsidR="002063D9" w:rsidRPr="00DC2B2A" w:rsidP="002063D9" w14:paraId="285A9FF6" w14:textId="77777777">
      <w:pPr>
        <w:ind w:firstLine="720"/>
        <w:rPr>
          <w:szCs w:val="22"/>
        </w:rPr>
      </w:pPr>
    </w:p>
    <w:p w:rsidR="002063D9" w:rsidRPr="00DC2B2A" w:rsidP="002063D9" w14:paraId="37B761EE" w14:textId="77777777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2063D9" w:rsidRPr="00B42C45" w:rsidP="002063D9" w14:paraId="1134BED5" w14:textId="77777777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</w:t>
      </w:r>
      <w:r w:rsidRPr="00DC2B2A">
        <w:rPr>
          <w:szCs w:val="22"/>
        </w:rPr>
        <w:t>.</w:t>
      </w:r>
    </w:p>
    <w:p w:rsidR="00F96F63" w:rsidP="00F96F63" w14:paraId="005C8B87" w14:textId="77777777">
      <w:pPr>
        <w:rPr>
          <w:sz w:val="24"/>
        </w:rPr>
      </w:pPr>
    </w:p>
    <w:p w:rsidR="00930ECF" w:rsidRPr="00930ECF" w:rsidP="00F96F63" w14:paraId="79617130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CB87DE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CC2F8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D889C3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E7BBA8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370244B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702D294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0F95BFC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62BF10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43D07437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2F074BEE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45F8BD28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ECA8C9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533AD24C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12A2838E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7F9D9F2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0B7F1CE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9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65A33"/>
    <w:rsid w:val="001979D9"/>
    <w:rsid w:val="001D6BCF"/>
    <w:rsid w:val="001E01CA"/>
    <w:rsid w:val="002060D9"/>
    <w:rsid w:val="002063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9742D"/>
    <w:rsid w:val="00607BA5"/>
    <w:rsid w:val="00626EB6"/>
    <w:rsid w:val="006353A3"/>
    <w:rsid w:val="00655D03"/>
    <w:rsid w:val="00683F84"/>
    <w:rsid w:val="006A6A81"/>
    <w:rsid w:val="006C71B9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42C45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24D6809-698E-4392-B813-2077D9B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D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2063D9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2063D9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2063D9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2063D9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2063D9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2063D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2063D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2063D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2063D9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2063D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63D9"/>
  </w:style>
  <w:style w:type="paragraph" w:customStyle="1" w:styleId="ParaNum">
    <w:name w:val="ParaNum"/>
    <w:basedOn w:val="Normal"/>
    <w:rsid w:val="002063D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2063D9"/>
    <w:rPr>
      <w:sz w:val="20"/>
    </w:rPr>
  </w:style>
  <w:style w:type="character" w:styleId="EndnoteReference">
    <w:name w:val="endnote reference"/>
    <w:semiHidden/>
    <w:rsid w:val="002063D9"/>
    <w:rPr>
      <w:vertAlign w:val="superscript"/>
    </w:rPr>
  </w:style>
  <w:style w:type="paragraph" w:styleId="FootnoteText">
    <w:name w:val="footnote text"/>
    <w:semiHidden/>
    <w:rsid w:val="002063D9"/>
    <w:pPr>
      <w:spacing w:after="120"/>
    </w:pPr>
  </w:style>
  <w:style w:type="character" w:styleId="FootnoteReference">
    <w:name w:val="footnote reference"/>
    <w:semiHidden/>
    <w:rsid w:val="002063D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2063D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063D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063D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063D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063D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063D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063D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063D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063D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063D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063D9"/>
  </w:style>
  <w:style w:type="paragraph" w:styleId="Header">
    <w:name w:val="header"/>
    <w:basedOn w:val="Normal"/>
    <w:autoRedefine/>
    <w:rsid w:val="002063D9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206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3D9"/>
  </w:style>
  <w:style w:type="paragraph" w:styleId="BlockText">
    <w:name w:val="Block Text"/>
    <w:basedOn w:val="Normal"/>
    <w:rsid w:val="002063D9"/>
    <w:pPr>
      <w:spacing w:after="240"/>
      <w:ind w:left="1440" w:right="1440"/>
    </w:pPr>
  </w:style>
  <w:style w:type="paragraph" w:customStyle="1" w:styleId="Paratitle">
    <w:name w:val="Para title"/>
    <w:basedOn w:val="Normal"/>
    <w:rsid w:val="002063D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063D9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063D9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063D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063D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063D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063D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