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5764F" w:rsidRPr="004C403E" w:rsidP="0095764F" w14:paraId="4C3D3F19" w14:textId="77777777">
      <w:pPr>
        <w:jc w:val="center"/>
        <w:rPr>
          <w:b/>
        </w:rPr>
      </w:pPr>
      <w:r>
        <w:rPr>
          <w:b/>
        </w:rPr>
        <w:t xml:space="preserve">Before </w:t>
      </w:r>
      <w:r w:rsidRPr="004C403E" w:rsidR="00665D48">
        <w:rPr>
          <w:b/>
        </w:rPr>
        <w:t>the</w:t>
      </w:r>
    </w:p>
    <w:p w:rsidR="0095764F" w:rsidRPr="004C403E" w:rsidP="0095764F" w14:paraId="64AA8CDA" w14:textId="77777777">
      <w:pPr>
        <w:pStyle w:val="StyleBoldCentered"/>
      </w:pPr>
      <w:r w:rsidRPr="004C403E">
        <w:t>F</w:t>
      </w:r>
      <w:r w:rsidRPr="004C403E">
        <w:rPr>
          <w:caps w:val="0"/>
        </w:rPr>
        <w:t>ederal Communications Commission</w:t>
      </w:r>
    </w:p>
    <w:p w:rsidR="0095764F" w:rsidRPr="004C403E" w:rsidP="0095764F" w14:paraId="7DEA812D" w14:textId="77777777">
      <w:pPr>
        <w:pStyle w:val="StyleBoldCentered"/>
      </w:pPr>
      <w:r w:rsidRPr="004C403E">
        <w:rPr>
          <w:caps w:val="0"/>
        </w:rPr>
        <w:t>Washington, D.C. 20554</w:t>
      </w:r>
    </w:p>
    <w:p w:rsidR="0095764F" w:rsidRPr="004C403E" w:rsidP="0095764F" w14:paraId="286A9076" w14:textId="77777777"/>
    <w:p w:rsidR="0095764F" w:rsidRPr="004C403E" w:rsidP="0095764F" w14:paraId="1B34D51D" w14:textId="77777777"/>
    <w:tbl>
      <w:tblPr>
        <w:tblW w:w="0" w:type="auto"/>
        <w:tblLayout w:type="fixed"/>
        <w:tblLook w:val="0000"/>
      </w:tblPr>
      <w:tblGrid>
        <w:gridCol w:w="4698"/>
        <w:gridCol w:w="630"/>
        <w:gridCol w:w="4248"/>
      </w:tblGrid>
      <w:tr w14:paraId="64572867" w14:textId="77777777" w:rsidTr="00D63E91">
        <w:tblPrEx>
          <w:tblW w:w="0" w:type="auto"/>
          <w:tblLayout w:type="fixed"/>
          <w:tblLook w:val="0000"/>
        </w:tblPrEx>
        <w:trPr>
          <w:trHeight w:val="1260"/>
        </w:trPr>
        <w:tc>
          <w:tcPr>
            <w:tcW w:w="4698" w:type="dxa"/>
          </w:tcPr>
          <w:p w:rsidR="0095764F" w:rsidP="0095764F" w14:paraId="54E06FA2" w14:textId="77777777">
            <w:pPr>
              <w:tabs>
                <w:tab w:val="center" w:pos="4680"/>
              </w:tabs>
              <w:suppressAutoHyphens/>
              <w:rPr>
                <w:spacing w:val="-2"/>
              </w:rPr>
            </w:pPr>
            <w:r w:rsidRPr="004C403E">
              <w:rPr>
                <w:spacing w:val="-2"/>
              </w:rPr>
              <w:t>In the Matter of</w:t>
            </w:r>
          </w:p>
          <w:p w:rsidR="0095764F" w:rsidRPr="004C403E" w:rsidP="0095764F" w14:paraId="4127793C" w14:textId="77777777">
            <w:pPr>
              <w:tabs>
                <w:tab w:val="center" w:pos="4680"/>
              </w:tabs>
              <w:suppressAutoHyphens/>
              <w:rPr>
                <w:spacing w:val="-2"/>
              </w:rPr>
            </w:pPr>
          </w:p>
          <w:p w:rsidR="0095764F" w:rsidP="00567792" w14:paraId="2262D568" w14:textId="77777777">
            <w:pPr>
              <w:tabs>
                <w:tab w:val="center" w:pos="4680"/>
              </w:tabs>
              <w:suppressAutoHyphens/>
              <w:rPr>
                <w:szCs w:val="24"/>
              </w:rPr>
            </w:pPr>
            <w:r>
              <w:rPr>
                <w:spacing w:val="-2"/>
              </w:rPr>
              <w:t>Northern Valley Communications, LLC</w:t>
            </w:r>
          </w:p>
          <w:p w:rsidR="0095764F" w:rsidRPr="00575E35" w:rsidP="0095764F" w14:paraId="44A1ABC1" w14:textId="77777777">
            <w:pPr>
              <w:ind w:right="-18"/>
              <w:rPr>
                <w:szCs w:val="24"/>
              </w:rPr>
            </w:pPr>
            <w:r w:rsidRPr="004C403E">
              <w:rPr>
                <w:szCs w:val="24"/>
              </w:rPr>
              <w:t>Tariff</w:t>
            </w:r>
            <w:r>
              <w:rPr>
                <w:szCs w:val="24"/>
              </w:rPr>
              <w:t xml:space="preserve"> </w:t>
            </w:r>
            <w:r w:rsidRPr="004C403E">
              <w:rPr>
                <w:szCs w:val="24"/>
              </w:rPr>
              <w:t xml:space="preserve">F.C.C. No. </w:t>
            </w:r>
            <w:r w:rsidR="001A3F84">
              <w:rPr>
                <w:szCs w:val="24"/>
              </w:rPr>
              <w:t>3</w:t>
            </w:r>
          </w:p>
        </w:tc>
        <w:tc>
          <w:tcPr>
            <w:tcW w:w="630" w:type="dxa"/>
          </w:tcPr>
          <w:p w:rsidR="0095764F" w:rsidRPr="004C403E" w:rsidP="0095764F" w14:paraId="0946F511" w14:textId="77777777">
            <w:pPr>
              <w:tabs>
                <w:tab w:val="center" w:pos="4680"/>
              </w:tabs>
              <w:suppressAutoHyphens/>
              <w:rPr>
                <w:b/>
                <w:spacing w:val="-2"/>
              </w:rPr>
            </w:pPr>
            <w:r w:rsidRPr="004C403E">
              <w:rPr>
                <w:b/>
                <w:spacing w:val="-2"/>
              </w:rPr>
              <w:t>)</w:t>
            </w:r>
          </w:p>
          <w:p w:rsidR="0095764F" w:rsidRPr="004C403E" w:rsidP="0095764F" w14:paraId="02343A83" w14:textId="77777777">
            <w:pPr>
              <w:tabs>
                <w:tab w:val="center" w:pos="4680"/>
              </w:tabs>
              <w:suppressAutoHyphens/>
              <w:rPr>
                <w:b/>
                <w:spacing w:val="-2"/>
              </w:rPr>
            </w:pPr>
            <w:r w:rsidRPr="004C403E">
              <w:rPr>
                <w:b/>
                <w:spacing w:val="-2"/>
              </w:rPr>
              <w:t>)</w:t>
            </w:r>
          </w:p>
          <w:p w:rsidR="0095764F" w:rsidRPr="004C403E" w:rsidP="0095764F" w14:paraId="28B562F2" w14:textId="77777777">
            <w:pPr>
              <w:tabs>
                <w:tab w:val="center" w:pos="4680"/>
              </w:tabs>
              <w:suppressAutoHyphens/>
              <w:rPr>
                <w:b/>
                <w:spacing w:val="-2"/>
              </w:rPr>
            </w:pPr>
            <w:r w:rsidRPr="004C403E">
              <w:rPr>
                <w:b/>
                <w:spacing w:val="-2"/>
              </w:rPr>
              <w:t>)</w:t>
            </w:r>
          </w:p>
          <w:p w:rsidR="0095764F" w:rsidP="0095764F" w14:paraId="51A1AFF6" w14:textId="77777777">
            <w:pPr>
              <w:tabs>
                <w:tab w:val="center" w:pos="4680"/>
              </w:tabs>
              <w:suppressAutoHyphens/>
              <w:rPr>
                <w:b/>
                <w:spacing w:val="-2"/>
              </w:rPr>
            </w:pPr>
            <w:r w:rsidRPr="004C403E">
              <w:rPr>
                <w:b/>
                <w:spacing w:val="-2"/>
              </w:rPr>
              <w:t>)</w:t>
            </w:r>
          </w:p>
          <w:p w:rsidR="003376C8" w:rsidP="0095764F" w14:paraId="42E85D3D" w14:textId="02034C52">
            <w:pPr>
              <w:tabs>
                <w:tab w:val="center" w:pos="4680"/>
              </w:tabs>
              <w:suppressAutoHyphens/>
              <w:rPr>
                <w:b/>
                <w:spacing w:val="-2"/>
              </w:rPr>
            </w:pPr>
            <w:r>
              <w:rPr>
                <w:b/>
                <w:spacing w:val="-2"/>
              </w:rPr>
              <w:t>)</w:t>
            </w:r>
          </w:p>
          <w:p w:rsidR="009172D9" w:rsidP="0095764F" w14:paraId="53939CA3" w14:textId="7CFBCB58">
            <w:pPr>
              <w:tabs>
                <w:tab w:val="center" w:pos="4680"/>
              </w:tabs>
              <w:suppressAutoHyphens/>
              <w:rPr>
                <w:b/>
                <w:spacing w:val="-2"/>
              </w:rPr>
            </w:pPr>
            <w:r>
              <w:rPr>
                <w:b/>
                <w:spacing w:val="-2"/>
              </w:rPr>
              <w:t>)</w:t>
            </w:r>
          </w:p>
          <w:p w:rsidR="00275823" w:rsidP="0095764F" w14:paraId="5742E8E3" w14:textId="6C273930">
            <w:pPr>
              <w:tabs>
                <w:tab w:val="center" w:pos="4680"/>
              </w:tabs>
              <w:suppressAutoHyphens/>
              <w:rPr>
                <w:b/>
                <w:spacing w:val="-2"/>
              </w:rPr>
            </w:pPr>
            <w:r>
              <w:rPr>
                <w:b/>
                <w:spacing w:val="-2"/>
              </w:rPr>
              <w:t>)</w:t>
            </w:r>
          </w:p>
          <w:p w:rsidR="009172D9" w:rsidP="0095764F" w14:paraId="70A412DA" w14:textId="77777777">
            <w:pPr>
              <w:tabs>
                <w:tab w:val="center" w:pos="4680"/>
              </w:tabs>
              <w:suppressAutoHyphens/>
              <w:rPr>
                <w:b/>
                <w:spacing w:val="-2"/>
              </w:rPr>
            </w:pPr>
          </w:p>
          <w:p w:rsidR="009172D9" w:rsidRPr="004C403E" w:rsidP="0095764F" w14:paraId="674DC413" w14:textId="3CED24A8">
            <w:pPr>
              <w:tabs>
                <w:tab w:val="center" w:pos="4680"/>
              </w:tabs>
              <w:suppressAutoHyphens/>
              <w:rPr>
                <w:b/>
                <w:spacing w:val="-2"/>
              </w:rPr>
            </w:pPr>
          </w:p>
        </w:tc>
        <w:tc>
          <w:tcPr>
            <w:tcW w:w="4248" w:type="dxa"/>
          </w:tcPr>
          <w:p w:rsidR="00B61C0A" w:rsidP="00567792" w14:paraId="2D6801B8" w14:textId="77777777">
            <w:pPr>
              <w:rPr>
                <w:szCs w:val="24"/>
              </w:rPr>
            </w:pPr>
          </w:p>
          <w:p w:rsidR="00567792" w:rsidRPr="00567792" w:rsidP="00567792" w14:paraId="0A16AA24" w14:textId="77777777">
            <w:pPr>
              <w:rPr>
                <w:szCs w:val="24"/>
              </w:rPr>
            </w:pPr>
            <w:r w:rsidRPr="00567792">
              <w:rPr>
                <w:szCs w:val="24"/>
              </w:rPr>
              <w:t>WC Docket No. 20-</w:t>
            </w:r>
            <w:r>
              <w:rPr>
                <w:szCs w:val="24"/>
              </w:rPr>
              <w:t>11</w:t>
            </w:r>
          </w:p>
          <w:p w:rsidR="0095764F" w:rsidRPr="004C403E" w:rsidP="0095764F" w14:paraId="2289E6B2" w14:textId="77777777">
            <w:pPr>
              <w:rPr>
                <w:szCs w:val="24"/>
              </w:rPr>
            </w:pPr>
          </w:p>
          <w:p w:rsidR="0095764F" w:rsidRPr="004C403E" w:rsidP="0095764F" w14:paraId="1F63F64F" w14:textId="77777777">
            <w:pPr>
              <w:rPr>
                <w:szCs w:val="24"/>
              </w:rPr>
            </w:pPr>
            <w:r w:rsidRPr="004C403E">
              <w:rPr>
                <w:szCs w:val="24"/>
              </w:rPr>
              <w:t xml:space="preserve">Transmittal No. </w:t>
            </w:r>
            <w:r>
              <w:rPr>
                <w:szCs w:val="24"/>
              </w:rPr>
              <w:t>1</w:t>
            </w:r>
            <w:r w:rsidR="001A3F84">
              <w:rPr>
                <w:szCs w:val="24"/>
              </w:rPr>
              <w:t>2</w:t>
            </w:r>
          </w:p>
          <w:p w:rsidR="0095764F" w:rsidP="0095764F" w14:paraId="58ECFEA7" w14:textId="230C06B7">
            <w:pPr>
              <w:rPr>
                <w:szCs w:val="24"/>
              </w:rPr>
            </w:pPr>
          </w:p>
          <w:p w:rsidR="009172D9" w:rsidP="0095764F" w14:paraId="1F6A6C9B" w14:textId="50D52CC8">
            <w:pPr>
              <w:rPr>
                <w:szCs w:val="24"/>
              </w:rPr>
            </w:pPr>
          </w:p>
          <w:p w:rsidR="009172D9" w:rsidRPr="004C403E" w:rsidP="0095764F" w14:paraId="1D23D085" w14:textId="77777777">
            <w:pPr>
              <w:rPr>
                <w:szCs w:val="24"/>
              </w:rPr>
            </w:pPr>
          </w:p>
          <w:p w:rsidR="0095764F" w:rsidRPr="004C403E" w:rsidP="0095764F" w14:paraId="16F23139" w14:textId="77777777">
            <w:pPr>
              <w:tabs>
                <w:tab w:val="center" w:pos="4680"/>
              </w:tabs>
              <w:suppressAutoHyphens/>
              <w:rPr>
                <w:spacing w:val="-2"/>
              </w:rPr>
            </w:pPr>
          </w:p>
        </w:tc>
      </w:tr>
    </w:tbl>
    <w:p w:rsidR="0095764F" w:rsidRPr="004C403E" w:rsidP="00862FB6" w14:paraId="7EB5E94E" w14:textId="77777777">
      <w:pPr>
        <w:jc w:val="center"/>
        <w:rPr>
          <w:b/>
          <w:szCs w:val="22"/>
        </w:rPr>
      </w:pPr>
      <w:r w:rsidRPr="004C403E">
        <w:rPr>
          <w:b/>
          <w:szCs w:val="22"/>
        </w:rPr>
        <w:fldChar w:fldCharType="begin"/>
      </w:r>
      <w:r w:rsidRPr="004C403E">
        <w:rPr>
          <w:b/>
          <w:szCs w:val="22"/>
        </w:rPr>
        <w:instrText xml:space="preserve"> AUTOTEXTLIST  \* MERGEFORMAT </w:instrText>
      </w:r>
      <w:r w:rsidRPr="004C403E">
        <w:rPr>
          <w:b/>
          <w:szCs w:val="22"/>
        </w:rPr>
        <w:fldChar w:fldCharType="separate"/>
      </w:r>
      <w:r w:rsidRPr="004C403E">
        <w:rPr>
          <w:b/>
          <w:szCs w:val="22"/>
        </w:rPr>
        <w:t>ORDER</w:t>
      </w:r>
      <w:r w:rsidRPr="004C403E">
        <w:rPr>
          <w:b/>
          <w:szCs w:val="22"/>
        </w:rPr>
        <w:fldChar w:fldCharType="end"/>
      </w:r>
      <w:r w:rsidRPr="004C403E">
        <w:rPr>
          <w:b/>
          <w:szCs w:val="22"/>
        </w:rPr>
        <w:t xml:space="preserve"> DESIGNATING ISSUES FOR INVESTIGATION</w:t>
      </w:r>
    </w:p>
    <w:p w:rsidR="0095764F" w:rsidRPr="004C403E" w:rsidP="00862FB6" w14:paraId="23C45923" w14:textId="77777777">
      <w:pPr>
        <w:jc w:val="center"/>
        <w:rPr>
          <w:b/>
          <w:szCs w:val="22"/>
        </w:rPr>
      </w:pPr>
    </w:p>
    <w:p w:rsidR="0095764F" w:rsidRPr="004C403E" w:rsidP="0095764F" w14:paraId="3E9C5AAC" w14:textId="38B0D452">
      <w:pPr>
        <w:tabs>
          <w:tab w:val="left" w:pos="720"/>
          <w:tab w:val="left" w:pos="5760"/>
          <w:tab w:val="right" w:pos="9270"/>
        </w:tabs>
        <w:suppressAutoHyphens/>
        <w:spacing w:line="227" w:lineRule="auto"/>
        <w:rPr>
          <w:b/>
          <w:spacing w:val="-2"/>
          <w:szCs w:val="22"/>
        </w:rPr>
      </w:pPr>
      <w:r w:rsidRPr="004C403E">
        <w:rPr>
          <w:b/>
          <w:spacing w:val="-2"/>
          <w:szCs w:val="22"/>
        </w:rPr>
        <w:t xml:space="preserve">Adopted:  </w:t>
      </w:r>
      <w:r w:rsidR="009172D9">
        <w:rPr>
          <w:b/>
          <w:spacing w:val="-2"/>
          <w:szCs w:val="22"/>
        </w:rPr>
        <w:t>March 11, 2020</w:t>
      </w:r>
      <w:r w:rsidRPr="004C403E">
        <w:rPr>
          <w:b/>
          <w:spacing w:val="-2"/>
          <w:szCs w:val="22"/>
        </w:rPr>
        <w:tab/>
        <w:t xml:space="preserve">Released:  </w:t>
      </w:r>
      <w:r w:rsidR="009172D9">
        <w:rPr>
          <w:b/>
          <w:spacing w:val="-2"/>
          <w:szCs w:val="22"/>
        </w:rPr>
        <w:t>March 11, 2020</w:t>
      </w:r>
    </w:p>
    <w:p w:rsidR="0095764F" w:rsidRPr="004C403E" w:rsidP="0095764F" w14:paraId="0F4F52DA" w14:textId="77777777">
      <w:pPr>
        <w:tabs>
          <w:tab w:val="left" w:pos="720"/>
          <w:tab w:val="left" w:pos="5760"/>
          <w:tab w:val="right" w:pos="9270"/>
        </w:tabs>
        <w:suppressAutoHyphens/>
        <w:spacing w:line="227" w:lineRule="auto"/>
        <w:rPr>
          <w:b/>
          <w:spacing w:val="-2"/>
          <w:szCs w:val="22"/>
        </w:rPr>
      </w:pPr>
    </w:p>
    <w:p w:rsidR="0095764F" w:rsidP="0095764F" w14:paraId="712A2AEB" w14:textId="47E45A8A">
      <w:pPr>
        <w:tabs>
          <w:tab w:val="left" w:pos="720"/>
          <w:tab w:val="left" w:pos="5760"/>
          <w:tab w:val="right" w:pos="9270"/>
        </w:tabs>
        <w:suppressAutoHyphens/>
        <w:rPr>
          <w:b/>
          <w:spacing w:val="-2"/>
          <w:szCs w:val="22"/>
        </w:rPr>
      </w:pPr>
      <w:r>
        <w:rPr>
          <w:b/>
          <w:spacing w:val="-2"/>
          <w:szCs w:val="22"/>
        </w:rPr>
        <w:t xml:space="preserve">Northern Valley </w:t>
      </w:r>
      <w:r w:rsidRPr="004C403E" w:rsidR="00665D48">
        <w:rPr>
          <w:b/>
          <w:spacing w:val="-2"/>
          <w:szCs w:val="22"/>
        </w:rPr>
        <w:t xml:space="preserve">Direct Case Due </w:t>
      </w:r>
      <w:r w:rsidRPr="004C403E" w:rsidR="00665D48">
        <w:rPr>
          <w:b/>
          <w:spacing w:val="-2"/>
          <w:szCs w:val="22"/>
        </w:rPr>
        <w:t>by:</w:t>
      </w:r>
      <w:r w:rsidRPr="004C403E" w:rsidR="00665D48">
        <w:rPr>
          <w:b/>
          <w:spacing w:val="-2"/>
          <w:szCs w:val="22"/>
        </w:rPr>
        <w:t xml:space="preserve">  </w:t>
      </w:r>
      <w:r w:rsidR="00B149D6">
        <w:rPr>
          <w:b/>
          <w:spacing w:val="-2"/>
          <w:szCs w:val="22"/>
        </w:rPr>
        <w:t>April 1</w:t>
      </w:r>
      <w:r w:rsidR="00E65A1A">
        <w:rPr>
          <w:b/>
          <w:spacing w:val="-2"/>
          <w:szCs w:val="22"/>
        </w:rPr>
        <w:t>,</w:t>
      </w:r>
      <w:r w:rsidR="00B07AE4">
        <w:rPr>
          <w:b/>
          <w:spacing w:val="-2"/>
          <w:szCs w:val="22"/>
        </w:rPr>
        <w:t xml:space="preserve"> </w:t>
      </w:r>
      <w:r w:rsidRPr="004C403E" w:rsidR="00665D48">
        <w:rPr>
          <w:b/>
          <w:spacing w:val="-2"/>
          <w:szCs w:val="22"/>
        </w:rPr>
        <w:t>20</w:t>
      </w:r>
      <w:r w:rsidR="00567792">
        <w:rPr>
          <w:b/>
          <w:spacing w:val="-2"/>
          <w:szCs w:val="22"/>
        </w:rPr>
        <w:t>20</w:t>
      </w:r>
    </w:p>
    <w:p w:rsidR="0095764F" w:rsidP="0095764F" w14:paraId="79BD5C46" w14:textId="37A44ECB">
      <w:pPr>
        <w:tabs>
          <w:tab w:val="left" w:pos="720"/>
          <w:tab w:val="left" w:pos="5760"/>
          <w:tab w:val="right" w:pos="9270"/>
        </w:tabs>
        <w:suppressAutoHyphens/>
        <w:rPr>
          <w:b/>
          <w:spacing w:val="-2"/>
          <w:szCs w:val="22"/>
        </w:rPr>
      </w:pPr>
      <w:r w:rsidRPr="004C403E">
        <w:rPr>
          <w:b/>
          <w:spacing w:val="-2"/>
          <w:szCs w:val="22"/>
        </w:rPr>
        <w:t xml:space="preserve">Oppositions to Direct Case Due </w:t>
      </w:r>
      <w:r w:rsidRPr="004C403E">
        <w:rPr>
          <w:b/>
          <w:spacing w:val="-2"/>
          <w:szCs w:val="22"/>
        </w:rPr>
        <w:t>by:</w:t>
      </w:r>
      <w:r w:rsidRPr="004C403E">
        <w:rPr>
          <w:b/>
          <w:spacing w:val="-2"/>
          <w:szCs w:val="22"/>
        </w:rPr>
        <w:t xml:space="preserve">  </w:t>
      </w:r>
      <w:r w:rsidR="00B149D6">
        <w:rPr>
          <w:b/>
          <w:spacing w:val="-2"/>
          <w:szCs w:val="22"/>
        </w:rPr>
        <w:t>April 15</w:t>
      </w:r>
      <w:r w:rsidR="00567792">
        <w:rPr>
          <w:b/>
          <w:spacing w:val="-2"/>
          <w:szCs w:val="22"/>
        </w:rPr>
        <w:t xml:space="preserve">, </w:t>
      </w:r>
      <w:r w:rsidRPr="004C403E">
        <w:rPr>
          <w:b/>
          <w:spacing w:val="-2"/>
          <w:szCs w:val="22"/>
        </w:rPr>
        <w:t>20</w:t>
      </w:r>
      <w:r w:rsidR="00567792">
        <w:rPr>
          <w:b/>
          <w:spacing w:val="-2"/>
          <w:szCs w:val="22"/>
        </w:rPr>
        <w:t>20</w:t>
      </w:r>
    </w:p>
    <w:p w:rsidR="0095764F" w:rsidRPr="00AD33F5" w:rsidP="0095764F" w14:paraId="7089E0A3" w14:textId="77777777">
      <w:pPr>
        <w:tabs>
          <w:tab w:val="left" w:pos="720"/>
          <w:tab w:val="left" w:pos="5760"/>
          <w:tab w:val="right" w:pos="9270"/>
        </w:tabs>
        <w:suppressAutoHyphens/>
        <w:rPr>
          <w:spacing w:val="-2"/>
          <w:szCs w:val="22"/>
        </w:rPr>
      </w:pPr>
    </w:p>
    <w:p w:rsidR="0095764F" w:rsidRPr="004C403E" w:rsidP="0095764F" w14:paraId="747BCD1D" w14:textId="77777777">
      <w:pPr>
        <w:pStyle w:val="Heading1"/>
        <w:spacing w:before="120"/>
      </w:pPr>
      <w:r w:rsidRPr="004C403E">
        <w:t>INTRODUCTION</w:t>
      </w:r>
    </w:p>
    <w:p w:rsidR="007C2A5D" w:rsidP="007C2A5D" w14:paraId="4C78D422" w14:textId="5443758C">
      <w:pPr>
        <w:pStyle w:val="ParaNum"/>
        <w:spacing w:before="120"/>
        <w:rPr>
          <w:szCs w:val="22"/>
        </w:rPr>
      </w:pPr>
      <w:r w:rsidRPr="00275823">
        <w:rPr>
          <w:szCs w:val="22"/>
        </w:rPr>
        <w:t xml:space="preserve">In this Order, pursuant to our authority </w:t>
      </w:r>
      <w:r>
        <w:rPr>
          <w:szCs w:val="22"/>
        </w:rPr>
        <w:t>under</w:t>
      </w:r>
      <w:r w:rsidRPr="00275823">
        <w:rPr>
          <w:szCs w:val="22"/>
        </w:rPr>
        <w:t xml:space="preserve"> sections 204 and 205 of the Communications Act of 1934, as amended (Act)</w:t>
      </w:r>
      <w:r w:rsidRPr="002F2122">
        <w:rPr>
          <w:szCs w:val="22"/>
        </w:rPr>
        <w:t>,</w:t>
      </w:r>
      <w:r>
        <w:rPr>
          <w:rStyle w:val="FootnoteReference"/>
          <w:sz w:val="22"/>
        </w:rPr>
        <w:footnoteReference w:id="3"/>
      </w:r>
      <w:r w:rsidRPr="006214C5">
        <w:rPr>
          <w:szCs w:val="22"/>
        </w:rPr>
        <w:t xml:space="preserve"> </w:t>
      </w:r>
      <w:r w:rsidRPr="00275823">
        <w:rPr>
          <w:szCs w:val="22"/>
        </w:rPr>
        <w:t xml:space="preserve">we designate issues for investigation regarding the lawfulness of </w:t>
      </w:r>
      <w:r w:rsidR="004941C3">
        <w:rPr>
          <w:szCs w:val="22"/>
        </w:rPr>
        <w:t xml:space="preserve">tariff revisions filed by </w:t>
      </w:r>
      <w:r w:rsidRPr="00B554E0">
        <w:rPr>
          <w:szCs w:val="22"/>
        </w:rPr>
        <w:t>Northern Valley Communications, LLC (Northern Valley)</w:t>
      </w:r>
      <w:r w:rsidR="004941C3">
        <w:rPr>
          <w:szCs w:val="22"/>
        </w:rPr>
        <w:t>, a self-identified access-stimulating local exchange carrier (LEC).</w:t>
      </w:r>
      <w:r>
        <w:rPr>
          <w:vertAlign w:val="superscript"/>
        </w:rPr>
        <w:footnoteReference w:id="4"/>
      </w:r>
      <w:r w:rsidRPr="00275823">
        <w:rPr>
          <w:szCs w:val="22"/>
        </w:rPr>
        <w:t xml:space="preserve">  </w:t>
      </w:r>
      <w:r w:rsidR="005F3A1C">
        <w:rPr>
          <w:szCs w:val="22"/>
        </w:rPr>
        <w:t>W</w:t>
      </w:r>
      <w:r w:rsidRPr="00275823">
        <w:rPr>
          <w:szCs w:val="22"/>
        </w:rPr>
        <w:t>e designate for investigation</w:t>
      </w:r>
      <w:r w:rsidR="000D55BE">
        <w:rPr>
          <w:szCs w:val="22"/>
        </w:rPr>
        <w:t xml:space="preserve"> whether the revisions</w:t>
      </w:r>
      <w:r>
        <w:rPr>
          <w:szCs w:val="22"/>
        </w:rPr>
        <w:t xml:space="preserve"> </w:t>
      </w:r>
      <w:r w:rsidR="00507427">
        <w:rPr>
          <w:szCs w:val="22"/>
        </w:rPr>
        <w:t>establish</w:t>
      </w:r>
      <w:r>
        <w:rPr>
          <w:szCs w:val="22"/>
        </w:rPr>
        <w:t>ing James Valley</w:t>
      </w:r>
      <w:r w:rsidRPr="00B554E0">
        <w:t xml:space="preserve"> </w:t>
      </w:r>
      <w:r w:rsidRPr="00A62151">
        <w:t>Cooperative Telephone Company (James Valley)</w:t>
      </w:r>
      <w:r>
        <w:rPr>
          <w:szCs w:val="22"/>
        </w:rPr>
        <w:t xml:space="preserve"> as Northern Valley’s Intermediate Access Provider and providing that Northern Valley accepts financial responsibility only for</w:t>
      </w:r>
      <w:r w:rsidRPr="007F464A">
        <w:rPr>
          <w:szCs w:val="22"/>
        </w:rPr>
        <w:t xml:space="preserve"> James Valley’s charges</w:t>
      </w:r>
      <w:r>
        <w:rPr>
          <w:szCs w:val="22"/>
        </w:rPr>
        <w:t xml:space="preserve"> are consistent with the Act, the </w:t>
      </w:r>
      <w:r>
        <w:rPr>
          <w:i/>
          <w:iCs/>
          <w:szCs w:val="22"/>
        </w:rPr>
        <w:t xml:space="preserve">Access Arbitrage </w:t>
      </w:r>
      <w:r w:rsidRPr="00071983">
        <w:rPr>
          <w:i/>
          <w:iCs/>
          <w:szCs w:val="22"/>
        </w:rPr>
        <w:t>Order</w:t>
      </w:r>
      <w:r>
        <w:rPr>
          <w:szCs w:val="22"/>
        </w:rPr>
        <w:t xml:space="preserve">, </w:t>
      </w:r>
      <w:r w:rsidR="00BD702E">
        <w:t>and</w:t>
      </w:r>
      <w:r w:rsidRPr="007D7EF8">
        <w:t xml:space="preserve"> </w:t>
      </w:r>
      <w:r>
        <w:t xml:space="preserve">the </w:t>
      </w:r>
      <w:r w:rsidR="00B94EF3">
        <w:t xml:space="preserve">rules adopted by the </w:t>
      </w:r>
      <w:r w:rsidRPr="007D7EF8">
        <w:t>Commission</w:t>
      </w:r>
      <w:r w:rsidR="00B94EF3">
        <w:t xml:space="preserve"> therein (Access Stimulation Rules)</w:t>
      </w:r>
      <w:r w:rsidRPr="006841AB">
        <w:rPr>
          <w:szCs w:val="22"/>
        </w:rPr>
        <w:t>.</w:t>
      </w:r>
      <w:r>
        <w:rPr>
          <w:szCs w:val="22"/>
          <w:vertAlign w:val="superscript"/>
        </w:rPr>
        <w:footnoteReference w:id="5"/>
      </w:r>
      <w:r w:rsidRPr="006841AB">
        <w:rPr>
          <w:szCs w:val="22"/>
        </w:rPr>
        <w:t xml:space="preserve"> </w:t>
      </w:r>
    </w:p>
    <w:p w:rsidR="0095764F" w:rsidRPr="004C403E" w:rsidP="00071983" w14:paraId="526F0D45" w14:textId="77777777">
      <w:pPr>
        <w:pStyle w:val="Heading1"/>
      </w:pPr>
      <w:r w:rsidRPr="004C403E">
        <w:t>background</w:t>
      </w:r>
    </w:p>
    <w:p w:rsidR="007C2A5D" w:rsidP="00C27B47" w14:paraId="095CDFA5" w14:textId="77777777">
      <w:pPr>
        <w:pStyle w:val="Heading2"/>
      </w:pPr>
      <w:bookmarkStart w:id="2" w:name="_Hlk30501769"/>
      <w:r w:rsidRPr="004C403E">
        <w:t>Procedural History</w:t>
      </w:r>
      <w:r>
        <w:t xml:space="preserve"> and Relevant Precedent </w:t>
      </w:r>
    </w:p>
    <w:p w:rsidR="003777C1" w:rsidP="003777C1" w14:paraId="4AFC6CAC" w14:textId="1B0882FE">
      <w:pPr>
        <w:pStyle w:val="ParaNum"/>
      </w:pPr>
      <w:r>
        <w:t xml:space="preserve">When an interexchange carrier (IXC) transmits a long-distance call to </w:t>
      </w:r>
      <w:r w:rsidR="000D55BE">
        <w:t xml:space="preserve">a </w:t>
      </w:r>
      <w:r>
        <w:t>LEC serving the call’s recipient, the IXC must pay access charges to the LEC for completing the call.</w:t>
      </w:r>
      <w:r>
        <w:rPr>
          <w:rStyle w:val="FootnoteReference"/>
          <w:sz w:val="22"/>
        </w:rPr>
        <w:footnoteReference w:id="6"/>
      </w:r>
      <w:r>
        <w:t xml:space="preserve">  Taking advantage of this access charge regime, some LECs have engaged in an arbitrage scheme known as “access </w:t>
      </w:r>
      <w:r>
        <w:t>stimulation” or “traffic pumping,” whereby they “artificially increase their access charge revenues” by stimulating “terminating call volumes through arrangements with entities that offer high-volume calling services.”</w:t>
      </w:r>
      <w:r>
        <w:rPr>
          <w:rStyle w:val="FootnoteReference"/>
          <w:sz w:val="22"/>
        </w:rPr>
        <w:footnoteReference w:id="7"/>
      </w:r>
      <w:r w:rsidRPr="006214C5">
        <w:rPr>
          <w:szCs w:val="22"/>
        </w:rPr>
        <w:t xml:space="preserve"> </w:t>
      </w:r>
      <w:r>
        <w:t xml:space="preserve"> </w:t>
      </w:r>
      <w:r w:rsidR="001B76FB">
        <w:t xml:space="preserve">High volume calling services </w:t>
      </w:r>
      <w:r>
        <w:t xml:space="preserve">provide </w:t>
      </w:r>
      <w:r w:rsidR="001B76FB">
        <w:t>tele</w:t>
      </w:r>
      <w:r>
        <w:t>conferencing or other services that are free to users of those services but are funded through excessive access charges paid by IXCs</w:t>
      </w:r>
      <w:r w:rsidRPr="00390053">
        <w:t xml:space="preserve"> and their customers.</w:t>
      </w:r>
      <w:r>
        <w:rPr>
          <w:rStyle w:val="FootnoteReference"/>
          <w:sz w:val="22"/>
        </w:rPr>
        <w:footnoteReference w:id="8"/>
      </w:r>
      <w:r>
        <w:t xml:space="preserve">  </w:t>
      </w:r>
      <w:r w:rsidR="001B76FB">
        <w:t xml:space="preserve">In adopting the </w:t>
      </w:r>
      <w:r w:rsidRPr="007C2A5D" w:rsidR="001B76FB">
        <w:rPr>
          <w:i/>
          <w:iCs/>
        </w:rPr>
        <w:t xml:space="preserve">Access Arbitrage Order </w:t>
      </w:r>
      <w:r w:rsidR="001B76FB">
        <w:t>last September, t</w:t>
      </w:r>
      <w:r>
        <w:t xml:space="preserve">he Commission explained </w:t>
      </w:r>
      <w:r w:rsidR="00BD29B6">
        <w:t xml:space="preserve">that </w:t>
      </w:r>
      <w:r>
        <w:t xml:space="preserve">access stimulation </w:t>
      </w:r>
      <w:r w:rsidR="001B76FB">
        <w:t xml:space="preserve">was </w:t>
      </w:r>
      <w:r>
        <w:t>harm</w:t>
      </w:r>
      <w:r w:rsidR="001B76FB">
        <w:t>ing</w:t>
      </w:r>
      <w:r>
        <w:t xml:space="preserve"> IXCs—and, by extension, their customers—by inflating long-distance rates, causing service disruptions, and distorting competition.</w:t>
      </w:r>
      <w:r>
        <w:rPr>
          <w:rStyle w:val="FootnoteReference"/>
          <w:sz w:val="22"/>
        </w:rPr>
        <w:footnoteReference w:id="9"/>
      </w:r>
      <w:r w:rsidRPr="006214C5">
        <w:rPr>
          <w:szCs w:val="22"/>
        </w:rPr>
        <w:t xml:space="preserve"> </w:t>
      </w:r>
      <w:r>
        <w:t xml:space="preserve"> </w:t>
      </w:r>
    </w:p>
    <w:p w:rsidR="0026190D" w:rsidRPr="006214C5" w:rsidP="0026190D" w14:paraId="50E1D102" w14:textId="77777777">
      <w:pPr>
        <w:pStyle w:val="ParaNum"/>
        <w:rPr>
          <w:szCs w:val="22"/>
        </w:rPr>
      </w:pPr>
      <w:r w:rsidRPr="00C6752F">
        <w:t xml:space="preserve">To eliminate the financial incentive of access-stimulating LECs to engage in regulatory arbitrage, the Commission adopted </w:t>
      </w:r>
      <w:r w:rsidR="00FA6DF8">
        <w:t>the Access Stimulation R</w:t>
      </w:r>
      <w:r w:rsidRPr="00C6752F">
        <w:t xml:space="preserve">ules </w:t>
      </w:r>
      <w:r w:rsidR="001B76FB">
        <w:t xml:space="preserve">making </w:t>
      </w:r>
      <w:r w:rsidRPr="00C6752F">
        <w:t>“access-stimulating LECs—rather than IXCs—financially responsible for the tandem switching and transport service access charges associated with the deli</w:t>
      </w:r>
      <w:r w:rsidRPr="006214C5">
        <w:rPr>
          <w:szCs w:val="22"/>
        </w:rPr>
        <w:t>very of traffic from an IXC to the access-stimulating LEC end office or its functional equivalent.”</w:t>
      </w:r>
      <w:r>
        <w:rPr>
          <w:rStyle w:val="FootnoteReference"/>
          <w:sz w:val="22"/>
        </w:rPr>
        <w:footnoteReference w:id="10"/>
      </w:r>
      <w:r w:rsidR="009E3F56">
        <w:t xml:space="preserve"> </w:t>
      </w:r>
      <w:r w:rsidR="008A62C5">
        <w:t xml:space="preserve"> </w:t>
      </w:r>
      <w:r w:rsidRPr="006214C5">
        <w:rPr>
          <w:szCs w:val="22"/>
        </w:rPr>
        <w:t xml:space="preserve">The Access Stimulation Rules require access-stimulating LECs to designate </w:t>
      </w:r>
      <w:r w:rsidRPr="006214C5" w:rsidR="009E33D5">
        <w:rPr>
          <w:szCs w:val="22"/>
        </w:rPr>
        <w:t>“</w:t>
      </w:r>
      <w:r w:rsidRPr="006214C5">
        <w:rPr>
          <w:szCs w:val="22"/>
        </w:rPr>
        <w:t>the Intermediate Access Provider(s) that will provide terminating switched access tandem switching and terminating switched access tandem transport services to the local exchange carrier</w:t>
      </w:r>
      <w:r w:rsidRPr="006214C5" w:rsidR="007D4DA5">
        <w:rPr>
          <w:szCs w:val="22"/>
        </w:rPr>
        <w:t>,</w:t>
      </w:r>
      <w:r w:rsidRPr="006214C5">
        <w:rPr>
          <w:szCs w:val="22"/>
        </w:rPr>
        <w:t xml:space="preserve">” and they require the </w:t>
      </w:r>
      <w:r w:rsidRPr="006214C5" w:rsidR="007D4DA5">
        <w:rPr>
          <w:szCs w:val="22"/>
        </w:rPr>
        <w:t>a</w:t>
      </w:r>
      <w:r w:rsidRPr="006214C5">
        <w:rPr>
          <w:szCs w:val="22"/>
        </w:rPr>
        <w:t>ccess</w:t>
      </w:r>
      <w:r w:rsidRPr="006214C5" w:rsidR="007005D1">
        <w:rPr>
          <w:szCs w:val="22"/>
        </w:rPr>
        <w:t>-</w:t>
      </w:r>
      <w:r w:rsidRPr="006214C5">
        <w:rPr>
          <w:szCs w:val="22"/>
        </w:rPr>
        <w:t>stimulating LEC to</w:t>
      </w:r>
      <w:r w:rsidRPr="006214C5" w:rsidR="00480B1E">
        <w:rPr>
          <w:szCs w:val="22"/>
        </w:rPr>
        <w:t xml:space="preserve"> “assume financial responsibility for any applicable Intermediate Access Provider’s charges for such services.”</w:t>
      </w:r>
      <w:r>
        <w:rPr>
          <w:rStyle w:val="FootnoteReference"/>
          <w:sz w:val="22"/>
        </w:rPr>
        <w:footnoteReference w:id="11"/>
      </w:r>
      <w:r w:rsidRPr="006214C5" w:rsidR="00AE102D">
        <w:rPr>
          <w:szCs w:val="22"/>
        </w:rPr>
        <w:t xml:space="preserve"> </w:t>
      </w:r>
      <w:r w:rsidRPr="006214C5">
        <w:rPr>
          <w:szCs w:val="22"/>
        </w:rPr>
        <w:t xml:space="preserve"> Those rules became effective on January 11, 2020.</w:t>
      </w:r>
      <w:r>
        <w:rPr>
          <w:rStyle w:val="FootnoteReference"/>
          <w:sz w:val="22"/>
        </w:rPr>
        <w:footnoteReference w:id="12"/>
      </w:r>
      <w:r w:rsidRPr="006214C5">
        <w:rPr>
          <w:szCs w:val="22"/>
        </w:rPr>
        <w:t xml:space="preserve">  </w:t>
      </w:r>
    </w:p>
    <w:p w:rsidR="003777C1" w:rsidRPr="006214C5" w:rsidP="007C2A5D" w14:paraId="021C215B" w14:textId="1B2D0681">
      <w:pPr>
        <w:pStyle w:val="ParaNum"/>
        <w:rPr>
          <w:szCs w:val="22"/>
        </w:rPr>
      </w:pPr>
      <w:r w:rsidRPr="006214C5">
        <w:rPr>
          <w:szCs w:val="22"/>
        </w:rPr>
        <w:t>In adopting these rules, t</w:t>
      </w:r>
      <w:r w:rsidRPr="006214C5" w:rsidR="00A82D3E">
        <w:rPr>
          <w:szCs w:val="22"/>
        </w:rPr>
        <w:t xml:space="preserve">he Commission </w:t>
      </w:r>
      <w:r w:rsidRPr="006214C5">
        <w:rPr>
          <w:szCs w:val="22"/>
        </w:rPr>
        <w:t xml:space="preserve">explained that </w:t>
      </w:r>
      <w:r w:rsidRPr="006214C5" w:rsidR="00A82D3E">
        <w:rPr>
          <w:szCs w:val="22"/>
        </w:rPr>
        <w:t xml:space="preserve">“reversing the financial responsibility for both transport and tandem </w:t>
      </w:r>
      <w:r w:rsidRPr="006214C5">
        <w:rPr>
          <w:szCs w:val="22"/>
        </w:rPr>
        <w:t xml:space="preserve">switching charges” from </w:t>
      </w:r>
      <w:r w:rsidRPr="006214C5" w:rsidR="00552818">
        <w:rPr>
          <w:szCs w:val="22"/>
        </w:rPr>
        <w:t xml:space="preserve">IXCs to </w:t>
      </w:r>
      <w:r w:rsidRPr="006214C5">
        <w:rPr>
          <w:szCs w:val="22"/>
        </w:rPr>
        <w:t>access-stimulating LECs</w:t>
      </w:r>
      <w:r w:rsidRPr="006214C5" w:rsidR="00286025">
        <w:rPr>
          <w:szCs w:val="22"/>
        </w:rPr>
        <w:t xml:space="preserve"> </w:t>
      </w:r>
      <w:r w:rsidRPr="006214C5">
        <w:rPr>
          <w:szCs w:val="22"/>
        </w:rPr>
        <w:t>was the most effective approach to eliminat</w:t>
      </w:r>
      <w:r w:rsidRPr="006214C5" w:rsidR="00DD5F01">
        <w:rPr>
          <w:szCs w:val="22"/>
        </w:rPr>
        <w:t>ing</w:t>
      </w:r>
      <w:r w:rsidRPr="006214C5">
        <w:rPr>
          <w:szCs w:val="22"/>
        </w:rPr>
        <w:t xml:space="preserve"> access arbitrage.</w:t>
      </w:r>
      <w:r>
        <w:rPr>
          <w:rStyle w:val="FootnoteReference"/>
          <w:sz w:val="22"/>
        </w:rPr>
        <w:footnoteReference w:id="13"/>
      </w:r>
      <w:r w:rsidRPr="006214C5">
        <w:rPr>
          <w:szCs w:val="22"/>
        </w:rPr>
        <w:t xml:space="preserve">  </w:t>
      </w:r>
      <w:r w:rsidRPr="006214C5" w:rsidR="00524343">
        <w:rPr>
          <w:szCs w:val="22"/>
        </w:rPr>
        <w:t>T</w:t>
      </w:r>
      <w:r w:rsidRPr="006214C5" w:rsidR="00223F53">
        <w:rPr>
          <w:szCs w:val="22"/>
        </w:rPr>
        <w:t>he Commission considered but rejected a proposal that would</w:t>
      </w:r>
      <w:r w:rsidRPr="006214C5" w:rsidR="004F0F9D">
        <w:rPr>
          <w:szCs w:val="22"/>
        </w:rPr>
        <w:t xml:space="preserve"> have</w:t>
      </w:r>
      <w:r w:rsidRPr="006214C5" w:rsidR="00223F53">
        <w:rPr>
          <w:szCs w:val="22"/>
        </w:rPr>
        <w:t xml:space="preserve"> allow</w:t>
      </w:r>
      <w:r w:rsidRPr="006214C5" w:rsidR="004F0F9D">
        <w:rPr>
          <w:szCs w:val="22"/>
        </w:rPr>
        <w:t>ed</w:t>
      </w:r>
      <w:r w:rsidRPr="006214C5" w:rsidR="00223F53">
        <w:rPr>
          <w:szCs w:val="22"/>
        </w:rPr>
        <w:t xml:space="preserve"> an access-stimulating LEC to avoid paying for tandem switching and tandem switched transport </w:t>
      </w:r>
      <w:r w:rsidRPr="006214C5" w:rsidR="004F0F9D">
        <w:rPr>
          <w:szCs w:val="22"/>
        </w:rPr>
        <w:t xml:space="preserve">if the LEC accepted direct connections from </w:t>
      </w:r>
      <w:r w:rsidRPr="006214C5" w:rsidR="00223F53">
        <w:rPr>
          <w:szCs w:val="22"/>
        </w:rPr>
        <w:t>IXC</w:t>
      </w:r>
      <w:r w:rsidRPr="006214C5" w:rsidR="0059670C">
        <w:rPr>
          <w:szCs w:val="22"/>
        </w:rPr>
        <w:t xml:space="preserve">s or from an </w:t>
      </w:r>
      <w:r w:rsidR="00E654A4">
        <w:rPr>
          <w:szCs w:val="22"/>
        </w:rPr>
        <w:t>I</w:t>
      </w:r>
      <w:r w:rsidRPr="006214C5" w:rsidR="0059670C">
        <w:rPr>
          <w:szCs w:val="22"/>
        </w:rPr>
        <w:t xml:space="preserve">ntermediate </w:t>
      </w:r>
      <w:r w:rsidR="00E654A4">
        <w:rPr>
          <w:szCs w:val="22"/>
        </w:rPr>
        <w:t>A</w:t>
      </w:r>
      <w:r w:rsidRPr="006214C5" w:rsidR="0059670C">
        <w:rPr>
          <w:szCs w:val="22"/>
        </w:rPr>
        <w:t xml:space="preserve">ccess </w:t>
      </w:r>
      <w:r w:rsidR="00E654A4">
        <w:rPr>
          <w:szCs w:val="22"/>
        </w:rPr>
        <w:t>P</w:t>
      </w:r>
      <w:r w:rsidRPr="006214C5" w:rsidR="0059670C">
        <w:rPr>
          <w:szCs w:val="22"/>
        </w:rPr>
        <w:t>rovider of the IXC’s choice</w:t>
      </w:r>
      <w:r w:rsidRPr="006214C5" w:rsidR="00223F53">
        <w:rPr>
          <w:szCs w:val="22"/>
        </w:rPr>
        <w:t>.</w:t>
      </w:r>
      <w:r>
        <w:rPr>
          <w:szCs w:val="22"/>
          <w:vertAlign w:val="superscript"/>
        </w:rPr>
        <w:footnoteReference w:id="14"/>
      </w:r>
      <w:r w:rsidRPr="006214C5" w:rsidR="00223F53">
        <w:rPr>
          <w:szCs w:val="22"/>
        </w:rPr>
        <w:t xml:space="preserve">  </w:t>
      </w:r>
      <w:r w:rsidRPr="006214C5" w:rsidR="00524343">
        <w:rPr>
          <w:szCs w:val="22"/>
        </w:rPr>
        <w:t xml:space="preserve">The Commission </w:t>
      </w:r>
      <w:r w:rsidRPr="006214C5" w:rsidR="00DD5F01">
        <w:rPr>
          <w:szCs w:val="22"/>
        </w:rPr>
        <w:t xml:space="preserve">concluded </w:t>
      </w:r>
      <w:r w:rsidRPr="006214C5" w:rsidR="006F07D7">
        <w:rPr>
          <w:szCs w:val="22"/>
        </w:rPr>
        <w:t xml:space="preserve">that </w:t>
      </w:r>
      <w:r w:rsidRPr="006214C5" w:rsidR="004F0F9D">
        <w:rPr>
          <w:szCs w:val="22"/>
        </w:rPr>
        <w:t xml:space="preserve">this </w:t>
      </w:r>
      <w:r w:rsidRPr="006214C5" w:rsidR="00524343">
        <w:rPr>
          <w:szCs w:val="22"/>
        </w:rPr>
        <w:t xml:space="preserve">approach </w:t>
      </w:r>
      <w:r w:rsidRPr="006214C5" w:rsidR="001912AE">
        <w:rPr>
          <w:szCs w:val="22"/>
        </w:rPr>
        <w:t>w</w:t>
      </w:r>
      <w:r w:rsidRPr="006214C5" w:rsidR="005F13E6">
        <w:rPr>
          <w:szCs w:val="22"/>
        </w:rPr>
        <w:t>ould</w:t>
      </w:r>
      <w:r w:rsidRPr="006214C5" w:rsidR="001912AE">
        <w:rPr>
          <w:szCs w:val="22"/>
        </w:rPr>
        <w:t xml:space="preserve"> not </w:t>
      </w:r>
      <w:r w:rsidRPr="006214C5" w:rsidR="005F13E6">
        <w:rPr>
          <w:szCs w:val="22"/>
        </w:rPr>
        <w:t xml:space="preserve">be </w:t>
      </w:r>
      <w:r w:rsidRPr="006214C5" w:rsidR="00DD5F01">
        <w:rPr>
          <w:szCs w:val="22"/>
        </w:rPr>
        <w:t xml:space="preserve">effective because it “could allow access-stimulating LECs to </w:t>
      </w:r>
      <w:r w:rsidRPr="006214C5" w:rsidR="00DD5F01">
        <w:rPr>
          <w:i/>
          <w:iCs/>
          <w:szCs w:val="22"/>
        </w:rPr>
        <w:t>avoid</w:t>
      </w:r>
      <w:r w:rsidRPr="006214C5" w:rsidR="00DD5F01">
        <w:rPr>
          <w:szCs w:val="22"/>
        </w:rPr>
        <w:t xml:space="preserve"> </w:t>
      </w:r>
      <w:r w:rsidRPr="006214C5" w:rsidR="00DD5F01">
        <w:rPr>
          <w:i/>
          <w:iCs/>
          <w:szCs w:val="22"/>
        </w:rPr>
        <w:t>financial responsibility</w:t>
      </w:r>
      <w:r w:rsidRPr="006214C5" w:rsidR="00DD5F01">
        <w:rPr>
          <w:szCs w:val="22"/>
        </w:rPr>
        <w:t xml:space="preserve"> by operating in remote locations where direct connections would be prohibitively expensive or infeasible.”</w:t>
      </w:r>
      <w:r>
        <w:rPr>
          <w:rStyle w:val="FootnoteReference"/>
          <w:sz w:val="22"/>
        </w:rPr>
        <w:footnoteReference w:id="15"/>
      </w:r>
    </w:p>
    <w:p w:rsidR="007C2A5D" w:rsidRPr="006214C5" w:rsidP="006749DD" w14:paraId="0C385B8E" w14:textId="77777777">
      <w:pPr>
        <w:pStyle w:val="ParaNum"/>
        <w:rPr>
          <w:szCs w:val="22"/>
        </w:rPr>
      </w:pPr>
      <w:bookmarkStart w:id="5" w:name="_Hlk33015360"/>
      <w:r w:rsidRPr="006214C5">
        <w:rPr>
          <w:szCs w:val="22"/>
        </w:rPr>
        <w:t>Northern Valley is an access-stimulating competitive LEC in South Dakota.</w:t>
      </w:r>
      <w:r>
        <w:rPr>
          <w:szCs w:val="22"/>
          <w:vertAlign w:val="superscript"/>
        </w:rPr>
        <w:footnoteReference w:id="16"/>
      </w:r>
      <w:r w:rsidRPr="006214C5" w:rsidR="008A62C5">
        <w:rPr>
          <w:szCs w:val="22"/>
        </w:rPr>
        <w:t xml:space="preserve">  Before January 11, 2020</w:t>
      </w:r>
      <w:r w:rsidRPr="006214C5" w:rsidR="006D690E">
        <w:rPr>
          <w:szCs w:val="22"/>
        </w:rPr>
        <w:t xml:space="preserve">, </w:t>
      </w:r>
      <w:r w:rsidRPr="006214C5" w:rsidR="0026190D">
        <w:rPr>
          <w:szCs w:val="22"/>
        </w:rPr>
        <w:t xml:space="preserve">if an IXC had traffic bound for </w:t>
      </w:r>
      <w:r w:rsidRPr="006214C5" w:rsidR="006D690E">
        <w:rPr>
          <w:szCs w:val="22"/>
        </w:rPr>
        <w:t>Northern Valley</w:t>
      </w:r>
      <w:r w:rsidRPr="006214C5" w:rsidR="007D4DA5">
        <w:rPr>
          <w:szCs w:val="22"/>
        </w:rPr>
        <w:t>,</w:t>
      </w:r>
      <w:r w:rsidRPr="006214C5" w:rsidR="006D690E">
        <w:rPr>
          <w:szCs w:val="22"/>
        </w:rPr>
        <w:t xml:space="preserve"> </w:t>
      </w:r>
      <w:r w:rsidRPr="006214C5" w:rsidR="0026190D">
        <w:rPr>
          <w:szCs w:val="22"/>
        </w:rPr>
        <w:t xml:space="preserve">the IXC delivered that traffic to a </w:t>
      </w:r>
      <w:r w:rsidRPr="006214C5" w:rsidR="006D690E">
        <w:rPr>
          <w:szCs w:val="22"/>
        </w:rPr>
        <w:t>tandem switch o</w:t>
      </w:r>
      <w:r w:rsidRPr="006214C5" w:rsidR="0026190D">
        <w:rPr>
          <w:szCs w:val="22"/>
        </w:rPr>
        <w:t xml:space="preserve">perated by </w:t>
      </w:r>
      <w:r w:rsidRPr="006214C5" w:rsidR="006D690E">
        <w:rPr>
          <w:szCs w:val="22"/>
        </w:rPr>
        <w:t>South Dakota Network (SDN)</w:t>
      </w:r>
      <w:r w:rsidRPr="006214C5" w:rsidR="0026190D">
        <w:rPr>
          <w:szCs w:val="22"/>
        </w:rPr>
        <w:t xml:space="preserve"> in Sioux Falls</w:t>
      </w:r>
      <w:r w:rsidRPr="006214C5" w:rsidR="007D4DA5">
        <w:rPr>
          <w:szCs w:val="22"/>
        </w:rPr>
        <w:t>,</w:t>
      </w:r>
      <w:r w:rsidRPr="006214C5" w:rsidR="0026190D">
        <w:rPr>
          <w:szCs w:val="22"/>
        </w:rPr>
        <w:t xml:space="preserve"> South Dakota</w:t>
      </w:r>
      <w:r w:rsidRPr="006214C5" w:rsidR="006D690E">
        <w:rPr>
          <w:szCs w:val="22"/>
        </w:rPr>
        <w:t xml:space="preserve">, </w:t>
      </w:r>
      <w:r w:rsidRPr="006214C5" w:rsidR="002F655D">
        <w:rPr>
          <w:szCs w:val="22"/>
        </w:rPr>
        <w:t>and the traffic was then</w:t>
      </w:r>
      <w:r w:rsidRPr="006214C5" w:rsidR="0026190D">
        <w:rPr>
          <w:szCs w:val="22"/>
        </w:rPr>
        <w:t xml:space="preserve"> delivered to Northern Valley</w:t>
      </w:r>
      <w:bookmarkEnd w:id="5"/>
      <w:r w:rsidRPr="006214C5" w:rsidR="0026190D">
        <w:rPr>
          <w:szCs w:val="22"/>
        </w:rPr>
        <w:t>.</w:t>
      </w:r>
      <w:r>
        <w:rPr>
          <w:szCs w:val="22"/>
          <w:vertAlign w:val="superscript"/>
        </w:rPr>
        <w:footnoteReference w:id="17"/>
      </w:r>
      <w:r w:rsidRPr="006214C5">
        <w:rPr>
          <w:szCs w:val="22"/>
        </w:rPr>
        <w:t xml:space="preserve">  </w:t>
      </w:r>
      <w:r w:rsidRPr="006214C5" w:rsidR="009E3F56">
        <w:rPr>
          <w:szCs w:val="22"/>
        </w:rPr>
        <w:t>On December 27, 2019, Northern Valley filed Transmittal No. 12, proposing revisions to its interstate access service Tariff F.C.C. No. 3</w:t>
      </w:r>
      <w:r w:rsidRPr="006214C5" w:rsidR="000D661F">
        <w:rPr>
          <w:szCs w:val="22"/>
        </w:rPr>
        <w:t xml:space="preserve"> </w:t>
      </w:r>
      <w:r w:rsidRPr="006214C5">
        <w:rPr>
          <w:szCs w:val="22"/>
        </w:rPr>
        <w:t>designat</w:t>
      </w:r>
      <w:r w:rsidRPr="006214C5" w:rsidR="000D661F">
        <w:rPr>
          <w:szCs w:val="22"/>
        </w:rPr>
        <w:t>ing</w:t>
      </w:r>
      <w:r w:rsidRPr="006214C5" w:rsidR="000D55BE">
        <w:rPr>
          <w:szCs w:val="22"/>
        </w:rPr>
        <w:t xml:space="preserve"> its affiliate, James Valley, as its</w:t>
      </w:r>
      <w:r w:rsidRPr="006214C5">
        <w:rPr>
          <w:szCs w:val="22"/>
        </w:rPr>
        <w:t xml:space="preserve"> new </w:t>
      </w:r>
      <w:r w:rsidRPr="006214C5" w:rsidR="009C33B5">
        <w:rPr>
          <w:szCs w:val="22"/>
        </w:rPr>
        <w:t>I</w:t>
      </w:r>
      <w:r w:rsidRPr="006214C5">
        <w:rPr>
          <w:szCs w:val="22"/>
        </w:rPr>
        <w:t xml:space="preserve">ntermediate </w:t>
      </w:r>
      <w:r w:rsidRPr="006214C5" w:rsidR="009C33B5">
        <w:rPr>
          <w:szCs w:val="22"/>
        </w:rPr>
        <w:t>A</w:t>
      </w:r>
      <w:r w:rsidRPr="006214C5">
        <w:rPr>
          <w:szCs w:val="22"/>
        </w:rPr>
        <w:t>ccess</w:t>
      </w:r>
      <w:r w:rsidRPr="006214C5" w:rsidR="009C33B5">
        <w:rPr>
          <w:szCs w:val="22"/>
        </w:rPr>
        <w:t xml:space="preserve"> Provider</w:t>
      </w:r>
      <w:r w:rsidRPr="006214C5">
        <w:rPr>
          <w:szCs w:val="22"/>
        </w:rPr>
        <w:t xml:space="preserve"> </w:t>
      </w:r>
      <w:r w:rsidRPr="006214C5" w:rsidR="009C33B5">
        <w:rPr>
          <w:szCs w:val="22"/>
        </w:rPr>
        <w:t>(</w:t>
      </w:r>
      <w:r w:rsidRPr="006214C5">
        <w:rPr>
          <w:szCs w:val="22"/>
        </w:rPr>
        <w:t>tandem</w:t>
      </w:r>
      <w:r w:rsidRPr="006214C5" w:rsidR="009C33B5">
        <w:rPr>
          <w:szCs w:val="22"/>
        </w:rPr>
        <w:t xml:space="preserve"> provider)</w:t>
      </w:r>
      <w:r w:rsidRPr="006214C5">
        <w:rPr>
          <w:szCs w:val="22"/>
        </w:rPr>
        <w:t xml:space="preserve"> for receiving calls </w:t>
      </w:r>
      <w:r w:rsidRPr="006214C5" w:rsidR="000D55BE">
        <w:rPr>
          <w:szCs w:val="22"/>
        </w:rPr>
        <w:t>from IXCs</w:t>
      </w:r>
      <w:r w:rsidRPr="006214C5" w:rsidR="000D661F">
        <w:rPr>
          <w:szCs w:val="22"/>
        </w:rPr>
        <w:t>, effective January 11, 2020.</w:t>
      </w:r>
      <w:r>
        <w:rPr>
          <w:rStyle w:val="FootnoteReference"/>
          <w:sz w:val="22"/>
        </w:rPr>
        <w:footnoteReference w:id="18"/>
      </w:r>
      <w:r w:rsidRPr="006214C5" w:rsidR="00051380">
        <w:rPr>
          <w:szCs w:val="22"/>
        </w:rPr>
        <w:t xml:space="preserve">  Northern Valley intends “to acquire and pay for” the tandem switching and transport services provided by James Valley.</w:t>
      </w:r>
      <w:r>
        <w:rPr>
          <w:szCs w:val="22"/>
          <w:vertAlign w:val="superscript"/>
        </w:rPr>
        <w:footnoteReference w:id="19"/>
      </w:r>
      <w:r w:rsidRPr="006214C5" w:rsidR="00051380">
        <w:rPr>
          <w:szCs w:val="22"/>
        </w:rPr>
        <w:t xml:space="preserve">  T</w:t>
      </w:r>
      <w:r w:rsidRPr="006214C5" w:rsidR="000D55BE">
        <w:rPr>
          <w:szCs w:val="22"/>
        </w:rPr>
        <w:t>he</w:t>
      </w:r>
      <w:r w:rsidRPr="006214C5" w:rsidR="00051380">
        <w:rPr>
          <w:szCs w:val="22"/>
        </w:rPr>
        <w:t xml:space="preserve"> tariff revisions also </w:t>
      </w:r>
      <w:r w:rsidRPr="006214C5">
        <w:rPr>
          <w:szCs w:val="22"/>
        </w:rPr>
        <w:t xml:space="preserve">limit </w:t>
      </w:r>
      <w:r w:rsidRPr="006214C5" w:rsidR="000D55BE">
        <w:rPr>
          <w:szCs w:val="22"/>
        </w:rPr>
        <w:t xml:space="preserve">Northern Valley’s </w:t>
      </w:r>
      <w:r w:rsidRPr="006214C5">
        <w:rPr>
          <w:szCs w:val="22"/>
        </w:rPr>
        <w:t xml:space="preserve">financial responsibility </w:t>
      </w:r>
      <w:r w:rsidRPr="006214C5" w:rsidR="005F3A1C">
        <w:rPr>
          <w:szCs w:val="22"/>
        </w:rPr>
        <w:t xml:space="preserve">to cover </w:t>
      </w:r>
      <w:r w:rsidRPr="006214C5" w:rsidR="009C33B5">
        <w:rPr>
          <w:szCs w:val="22"/>
        </w:rPr>
        <w:t>only the charges between</w:t>
      </w:r>
      <w:r w:rsidRPr="006214C5">
        <w:rPr>
          <w:szCs w:val="22"/>
        </w:rPr>
        <w:t xml:space="preserve"> James Valley’s </w:t>
      </w:r>
      <w:r w:rsidRPr="006214C5" w:rsidR="009C33B5">
        <w:rPr>
          <w:szCs w:val="22"/>
        </w:rPr>
        <w:t>access tandem switch in Groton, South Dakota, and Northern Valley’s terminating end office.</w:t>
      </w:r>
      <w:r>
        <w:rPr>
          <w:rStyle w:val="FootnoteReference"/>
          <w:sz w:val="22"/>
        </w:rPr>
        <w:footnoteReference w:id="20"/>
      </w:r>
      <w:r w:rsidRPr="006214C5" w:rsidR="000C182F">
        <w:rPr>
          <w:szCs w:val="22"/>
        </w:rPr>
        <w:t xml:space="preserve">  </w:t>
      </w:r>
    </w:p>
    <w:p w:rsidR="009E3F56" w:rsidRPr="006214C5" w:rsidP="00790855" w14:paraId="691D129B" w14:textId="77777777">
      <w:pPr>
        <w:pStyle w:val="ParaNum"/>
        <w:rPr>
          <w:szCs w:val="22"/>
        </w:rPr>
      </w:pPr>
      <w:r w:rsidRPr="006214C5">
        <w:rPr>
          <w:szCs w:val="22"/>
        </w:rPr>
        <w:t xml:space="preserve">Verizon Communications (Verizon) and Sprint Communications Company L.P. (Sprint) (collectively, Petitioners) each filed </w:t>
      </w:r>
      <w:r w:rsidRPr="006214C5" w:rsidR="00051380">
        <w:rPr>
          <w:szCs w:val="22"/>
        </w:rPr>
        <w:t xml:space="preserve">a </w:t>
      </w:r>
      <w:r w:rsidRPr="006214C5">
        <w:rPr>
          <w:szCs w:val="22"/>
        </w:rPr>
        <w:t xml:space="preserve">petition </w:t>
      </w:r>
      <w:r w:rsidRPr="006214C5" w:rsidR="00051380">
        <w:rPr>
          <w:szCs w:val="22"/>
        </w:rPr>
        <w:t xml:space="preserve">(collectively, Petitions) </w:t>
      </w:r>
      <w:r w:rsidRPr="006214C5">
        <w:rPr>
          <w:szCs w:val="22"/>
        </w:rPr>
        <w:t>asking the Commission to reject or to suspend and investigate Northern Valley’s proposed tariff revisions.</w:t>
      </w:r>
      <w:r>
        <w:rPr>
          <w:szCs w:val="22"/>
          <w:vertAlign w:val="superscript"/>
        </w:rPr>
        <w:footnoteReference w:id="21"/>
      </w:r>
      <w:r w:rsidRPr="006214C5">
        <w:rPr>
          <w:szCs w:val="22"/>
        </w:rPr>
        <w:t xml:space="preserve">  Northern Valley filed a reply to the </w:t>
      </w:r>
      <w:r w:rsidRPr="006214C5" w:rsidR="00051380">
        <w:rPr>
          <w:szCs w:val="22"/>
        </w:rPr>
        <w:t>P</w:t>
      </w:r>
      <w:r w:rsidRPr="006214C5">
        <w:rPr>
          <w:szCs w:val="22"/>
        </w:rPr>
        <w:t xml:space="preserve">etitions requesting that the </w:t>
      </w:r>
      <w:r w:rsidRPr="006214C5" w:rsidR="00051380">
        <w:rPr>
          <w:szCs w:val="22"/>
        </w:rPr>
        <w:t>P</w:t>
      </w:r>
      <w:r w:rsidRPr="006214C5">
        <w:rPr>
          <w:szCs w:val="22"/>
        </w:rPr>
        <w:t>etitions be denied.</w:t>
      </w:r>
      <w:r>
        <w:rPr>
          <w:szCs w:val="22"/>
          <w:vertAlign w:val="superscript"/>
        </w:rPr>
        <w:footnoteReference w:id="22"/>
      </w:r>
      <w:r w:rsidRPr="006214C5">
        <w:rPr>
          <w:szCs w:val="22"/>
        </w:rPr>
        <w:t xml:space="preserve">   </w:t>
      </w:r>
    </w:p>
    <w:p w:rsidR="009E3F56" w:rsidRPr="006214C5" w:rsidP="00790855" w14:paraId="1B5FA1BD" w14:textId="77777777">
      <w:pPr>
        <w:pStyle w:val="ParaNum"/>
        <w:rPr>
          <w:szCs w:val="22"/>
        </w:rPr>
      </w:pPr>
      <w:r w:rsidRPr="006214C5">
        <w:rPr>
          <w:szCs w:val="22"/>
        </w:rPr>
        <w:t>W</w:t>
      </w:r>
      <w:r w:rsidRPr="006214C5">
        <w:rPr>
          <w:szCs w:val="22"/>
        </w:rPr>
        <w:t>e concluded that substantial questions of lawfulness exist</w:t>
      </w:r>
      <w:r w:rsidRPr="006214C5" w:rsidR="005F3A1C">
        <w:rPr>
          <w:szCs w:val="22"/>
        </w:rPr>
        <w:t>ed</w:t>
      </w:r>
      <w:r w:rsidRPr="006214C5">
        <w:rPr>
          <w:szCs w:val="22"/>
        </w:rPr>
        <w:t xml:space="preserve"> regarding Northern Valley’s proposed tariff revisions.  Pursuant to section 204 of the Act, we suspended the proposed tariff revisions and set for investigat</w:t>
      </w:r>
      <w:r w:rsidRPr="006214C5" w:rsidR="006E4397">
        <w:rPr>
          <w:szCs w:val="22"/>
        </w:rPr>
        <w:t>ion</w:t>
      </w:r>
      <w:r w:rsidRPr="006214C5">
        <w:rPr>
          <w:szCs w:val="22"/>
        </w:rPr>
        <w:t xml:space="preserve"> </w:t>
      </w:r>
      <w:r w:rsidRPr="006214C5" w:rsidR="006E4397">
        <w:rPr>
          <w:szCs w:val="22"/>
        </w:rPr>
        <w:t xml:space="preserve">the question of </w:t>
      </w:r>
      <w:r w:rsidRPr="006214C5">
        <w:rPr>
          <w:szCs w:val="22"/>
        </w:rPr>
        <w:t xml:space="preserve">whether Northern Valley’s proposed tariff revisions comply with the Act, the </w:t>
      </w:r>
      <w:r w:rsidRPr="006214C5">
        <w:rPr>
          <w:i/>
          <w:iCs/>
          <w:szCs w:val="22"/>
        </w:rPr>
        <w:t>Access Arbitrage Order</w:t>
      </w:r>
      <w:r w:rsidRPr="006214C5">
        <w:rPr>
          <w:szCs w:val="22"/>
        </w:rPr>
        <w:t xml:space="preserve">, and the Commission’s </w:t>
      </w:r>
      <w:r w:rsidRPr="006214C5" w:rsidR="00FA6DF8">
        <w:rPr>
          <w:szCs w:val="22"/>
        </w:rPr>
        <w:t>Access Stimulation R</w:t>
      </w:r>
      <w:r w:rsidRPr="006214C5">
        <w:rPr>
          <w:szCs w:val="22"/>
        </w:rPr>
        <w:t>ules.</w:t>
      </w:r>
      <w:r>
        <w:rPr>
          <w:rStyle w:val="FootnoteReference"/>
          <w:sz w:val="22"/>
        </w:rPr>
        <w:footnoteReference w:id="23"/>
      </w:r>
      <w:r w:rsidRPr="006214C5">
        <w:rPr>
          <w:szCs w:val="22"/>
        </w:rPr>
        <w:t xml:space="preserve">  </w:t>
      </w:r>
      <w:r w:rsidRPr="006214C5" w:rsidR="006E4397">
        <w:rPr>
          <w:szCs w:val="22"/>
        </w:rPr>
        <w:t>In initiating this investigation, we advanced the effective date of Northern Valley’s proposed tariff revisions to January 10, 2020, suspended the proposed revisions for one day, and imposed an accounting order on Northern Valley.</w:t>
      </w:r>
      <w:r>
        <w:rPr>
          <w:rStyle w:val="FootnoteReference"/>
          <w:sz w:val="22"/>
        </w:rPr>
        <w:footnoteReference w:id="24"/>
      </w:r>
      <w:r w:rsidRPr="006214C5" w:rsidR="006E4397">
        <w:rPr>
          <w:szCs w:val="22"/>
        </w:rPr>
        <w:t xml:space="preserve">  </w:t>
      </w:r>
      <w:r w:rsidRPr="006214C5">
        <w:rPr>
          <w:szCs w:val="22"/>
        </w:rPr>
        <w:t xml:space="preserve">Northern Valley submitted a supplemental tariff filing pursuant to the </w:t>
      </w:r>
      <w:r w:rsidRPr="006214C5">
        <w:rPr>
          <w:i/>
          <w:iCs/>
          <w:szCs w:val="22"/>
        </w:rPr>
        <w:t xml:space="preserve">Suspension Order </w:t>
      </w:r>
      <w:r w:rsidRPr="006214C5">
        <w:rPr>
          <w:szCs w:val="22"/>
        </w:rPr>
        <w:t>reflecting the suspension.</w:t>
      </w:r>
      <w:r>
        <w:rPr>
          <w:rStyle w:val="FootnoteReference"/>
          <w:sz w:val="22"/>
        </w:rPr>
        <w:footnoteReference w:id="25"/>
      </w:r>
    </w:p>
    <w:p w:rsidR="007C2A5D" w:rsidRPr="006214C5" w:rsidP="00C27B47" w14:paraId="3ECC8742" w14:textId="77777777">
      <w:pPr>
        <w:pStyle w:val="Heading2"/>
        <w:rPr>
          <w:szCs w:val="22"/>
        </w:rPr>
      </w:pPr>
      <w:r w:rsidRPr="006214C5">
        <w:rPr>
          <w:szCs w:val="22"/>
        </w:rPr>
        <w:t xml:space="preserve">Commission Authority and Duty to Investigate Tariffs </w:t>
      </w:r>
    </w:p>
    <w:p w:rsidR="009E3F56" w:rsidRPr="006214C5" w:rsidP="00790855" w14:paraId="476DC046" w14:textId="77777777">
      <w:pPr>
        <w:pStyle w:val="ParaNum"/>
        <w:rPr>
          <w:szCs w:val="22"/>
        </w:rPr>
      </w:pPr>
      <w:r w:rsidRPr="006214C5">
        <w:rPr>
          <w:szCs w:val="22"/>
        </w:rPr>
        <w:t>Section 204 of the Act provides that, if a tariff filing has been suspended, the burden of proof is on the tariffing carrier to show that the filing is just and reasonable.</w:t>
      </w:r>
      <w:r>
        <w:rPr>
          <w:szCs w:val="22"/>
          <w:vertAlign w:val="superscript"/>
        </w:rPr>
        <w:footnoteReference w:id="26"/>
      </w:r>
      <w:r w:rsidRPr="006214C5">
        <w:rPr>
          <w:szCs w:val="22"/>
        </w:rPr>
        <w:t xml:space="preserve">  Northern Valley must provide the information requested in this Order pursuant to section 204(a)(1) of the Act so the</w:t>
      </w:r>
      <w:r>
        <w:t xml:space="preserve"> </w:t>
      </w:r>
      <w:r w:rsidRPr="006214C5">
        <w:rPr>
          <w:szCs w:val="22"/>
        </w:rPr>
        <w:t>Commission can determine whether Northern Valley’s tariff revisions are just and reasonable.</w:t>
      </w:r>
      <w:r>
        <w:rPr>
          <w:szCs w:val="22"/>
          <w:vertAlign w:val="superscript"/>
        </w:rPr>
        <w:footnoteReference w:id="27"/>
      </w:r>
      <w:r w:rsidRPr="006214C5">
        <w:rPr>
          <w:szCs w:val="22"/>
        </w:rPr>
        <w:t xml:space="preserve">  At the conclusion of an investigation under section 204, the Commission may, pursuant to section 205, “determine and prescribe what will be the just and reasonable charge or the maximum or minimum charge or charges to be thereafter observed, and what classification, regulation, or practice is or will be just, fair, and reasonable, to be thereafter followed.”</w:t>
      </w:r>
      <w:r>
        <w:rPr>
          <w:szCs w:val="22"/>
          <w:vertAlign w:val="superscript"/>
        </w:rPr>
        <w:footnoteReference w:id="28"/>
      </w:r>
    </w:p>
    <w:p w:rsidR="00727DDF" w:rsidRPr="007828F0" w:rsidP="006E5CE8" w14:paraId="58761A57" w14:textId="77777777">
      <w:pPr>
        <w:pStyle w:val="Heading1"/>
        <w:rPr>
          <w:rFonts w:ascii="Times New Roman" w:hAnsi="Times New Roman"/>
        </w:rPr>
      </w:pPr>
      <w:r w:rsidRPr="007828F0">
        <w:rPr>
          <w:rFonts w:ascii="Times New Roman" w:hAnsi="Times New Roman"/>
        </w:rPr>
        <w:t>Issues designated</w:t>
      </w:r>
      <w:r w:rsidRPr="007828F0" w:rsidR="0040774C">
        <w:rPr>
          <w:rFonts w:ascii="Times New Roman" w:hAnsi="Times New Roman"/>
        </w:rPr>
        <w:t xml:space="preserve"> for Investigation </w:t>
      </w:r>
    </w:p>
    <w:p w:rsidR="00670380" w:rsidRPr="006214C5" w:rsidP="00DC425E" w14:paraId="45DD5E70" w14:textId="77777777">
      <w:pPr>
        <w:pStyle w:val="ParaNum"/>
        <w:rPr>
          <w:szCs w:val="22"/>
        </w:rPr>
      </w:pPr>
      <w:r w:rsidRPr="006214C5">
        <w:rPr>
          <w:szCs w:val="22"/>
        </w:rPr>
        <w:t>To allow the Commis</w:t>
      </w:r>
      <w:r w:rsidRPr="006214C5" w:rsidR="003160E9">
        <w:rPr>
          <w:szCs w:val="22"/>
        </w:rPr>
        <w:t>s</w:t>
      </w:r>
      <w:r w:rsidRPr="006214C5">
        <w:rPr>
          <w:szCs w:val="22"/>
        </w:rPr>
        <w:t>ion to determine the propriety of the</w:t>
      </w:r>
      <w:r w:rsidRPr="006214C5" w:rsidR="00F15E3F">
        <w:rPr>
          <w:szCs w:val="22"/>
        </w:rPr>
        <w:t>se</w:t>
      </w:r>
      <w:r w:rsidRPr="006214C5">
        <w:rPr>
          <w:szCs w:val="22"/>
        </w:rPr>
        <w:t xml:space="preserve"> tariff revisions, </w:t>
      </w:r>
      <w:r w:rsidRPr="006214C5" w:rsidR="00F15E3F">
        <w:rPr>
          <w:szCs w:val="22"/>
        </w:rPr>
        <w:t>we must first understand how calls are and will be ro</w:t>
      </w:r>
      <w:r w:rsidRPr="006214C5" w:rsidR="00C72EA1">
        <w:rPr>
          <w:szCs w:val="22"/>
        </w:rPr>
        <w:t>u</w:t>
      </w:r>
      <w:r w:rsidRPr="006214C5" w:rsidR="00F15E3F">
        <w:rPr>
          <w:szCs w:val="22"/>
        </w:rPr>
        <w:t xml:space="preserve">ted to Northern Valley for completion.  We must also </w:t>
      </w:r>
      <w:r w:rsidRPr="006214C5" w:rsidR="000F38D1">
        <w:rPr>
          <w:szCs w:val="22"/>
        </w:rPr>
        <w:t>establish</w:t>
      </w:r>
      <w:r w:rsidRPr="006214C5" w:rsidR="00F15E3F">
        <w:rPr>
          <w:szCs w:val="22"/>
        </w:rPr>
        <w:t xml:space="preserve"> how Northern Valley’s tariff revisions will affect the routing of those call</w:t>
      </w:r>
      <w:r w:rsidRPr="006214C5" w:rsidR="00507427">
        <w:rPr>
          <w:szCs w:val="22"/>
        </w:rPr>
        <w:t>s</w:t>
      </w:r>
      <w:r w:rsidRPr="006214C5" w:rsidR="00C72EA1">
        <w:rPr>
          <w:szCs w:val="22"/>
        </w:rPr>
        <w:t xml:space="preserve"> and the financial </w:t>
      </w:r>
      <w:r w:rsidRPr="006214C5" w:rsidR="00F70A4A">
        <w:rPr>
          <w:szCs w:val="22"/>
        </w:rPr>
        <w:t>responsibility</w:t>
      </w:r>
      <w:r w:rsidRPr="006214C5" w:rsidR="00C72EA1">
        <w:rPr>
          <w:szCs w:val="22"/>
        </w:rPr>
        <w:t xml:space="preserve"> for any applicable tandem switching and transport charges</w:t>
      </w:r>
      <w:r w:rsidRPr="006214C5" w:rsidR="00F15E3F">
        <w:rPr>
          <w:szCs w:val="22"/>
        </w:rPr>
        <w:t>.  I</w:t>
      </w:r>
      <w:r w:rsidRPr="006214C5">
        <w:rPr>
          <w:szCs w:val="22"/>
        </w:rPr>
        <w:t xml:space="preserve">n its Direct Case, Northern Valley must confirm or deny, correct and </w:t>
      </w:r>
      <w:r w:rsidRPr="006214C5" w:rsidR="00544099">
        <w:rPr>
          <w:szCs w:val="22"/>
        </w:rPr>
        <w:t xml:space="preserve">fully </w:t>
      </w:r>
      <w:r w:rsidRPr="006214C5">
        <w:rPr>
          <w:szCs w:val="22"/>
        </w:rPr>
        <w:t>explain each of the statements and answer each of the questions below.</w:t>
      </w:r>
      <w:r w:rsidRPr="006214C5" w:rsidR="00103440">
        <w:rPr>
          <w:szCs w:val="22"/>
        </w:rPr>
        <w:t xml:space="preserve">  We further direct Northern Valley to identify the individual(s) in the company most knowledgeable about each of the issues designated below. </w:t>
      </w:r>
    </w:p>
    <w:p w:rsidR="00E4475A" w:rsidRPr="006214C5" w:rsidP="00C27B47" w14:paraId="587CB891" w14:textId="77777777">
      <w:pPr>
        <w:pStyle w:val="Heading2"/>
        <w:rPr>
          <w:szCs w:val="22"/>
        </w:rPr>
      </w:pPr>
      <w:r w:rsidRPr="006214C5">
        <w:rPr>
          <w:szCs w:val="22"/>
        </w:rPr>
        <w:t>Fact</w:t>
      </w:r>
      <w:r w:rsidRPr="006214C5" w:rsidR="003215DA">
        <w:rPr>
          <w:szCs w:val="22"/>
        </w:rPr>
        <w:t xml:space="preserve">ual </w:t>
      </w:r>
      <w:r w:rsidRPr="006214C5" w:rsidR="005F3A1C">
        <w:rPr>
          <w:szCs w:val="22"/>
        </w:rPr>
        <w:t xml:space="preserve">Questions Related to the </w:t>
      </w:r>
      <w:r w:rsidRPr="006214C5" w:rsidR="003215DA">
        <w:rPr>
          <w:szCs w:val="22"/>
        </w:rPr>
        <w:t>Tariff Revisions</w:t>
      </w:r>
      <w:r w:rsidRPr="006214C5" w:rsidR="00C82367">
        <w:rPr>
          <w:szCs w:val="22"/>
        </w:rPr>
        <w:t xml:space="preserve"> </w:t>
      </w:r>
      <w:r w:rsidRPr="006214C5">
        <w:rPr>
          <w:szCs w:val="22"/>
        </w:rPr>
        <w:t xml:space="preserve"> </w:t>
      </w:r>
    </w:p>
    <w:p w:rsidR="00C56D79" w:rsidRPr="007828F0" w:rsidP="00AF593F" w14:paraId="43C17043" w14:textId="77777777">
      <w:pPr>
        <w:pStyle w:val="ParaNum"/>
      </w:pPr>
      <w:r w:rsidRPr="006214C5">
        <w:rPr>
          <w:szCs w:val="22"/>
        </w:rPr>
        <w:t>Northern Valley’s</w:t>
      </w:r>
      <w:r w:rsidRPr="006214C5" w:rsidR="003777C1">
        <w:rPr>
          <w:szCs w:val="22"/>
        </w:rPr>
        <w:t xml:space="preserve"> tariff changes </w:t>
      </w:r>
      <w:r w:rsidRPr="006214C5" w:rsidR="00187B34">
        <w:rPr>
          <w:szCs w:val="22"/>
        </w:rPr>
        <w:t>“designate</w:t>
      </w:r>
      <w:r w:rsidRPr="006214C5" w:rsidR="00A3764F">
        <w:rPr>
          <w:szCs w:val="22"/>
        </w:rPr>
        <w:t>d</w:t>
      </w:r>
      <w:r w:rsidRPr="006214C5" w:rsidR="00187B34">
        <w:rPr>
          <w:szCs w:val="22"/>
        </w:rPr>
        <w:t xml:space="preserve"> the James Valley Cooperative Telephone Company as its Intermediate Access Provider for terminating Feature Group D Interexchange traffic pursuant to 47 C.F.R. § 51.915(b)(2)” and announce</w:t>
      </w:r>
      <w:r w:rsidRPr="006214C5" w:rsidR="00A3764F">
        <w:rPr>
          <w:szCs w:val="22"/>
        </w:rPr>
        <w:t>d</w:t>
      </w:r>
      <w:r w:rsidRPr="006214C5" w:rsidR="00187B34">
        <w:rPr>
          <w:szCs w:val="22"/>
        </w:rPr>
        <w:t xml:space="preserve"> that </w:t>
      </w:r>
      <w:r w:rsidRPr="006214C5" w:rsidR="00C72EA1">
        <w:rPr>
          <w:szCs w:val="22"/>
        </w:rPr>
        <w:t xml:space="preserve">Northern Valley </w:t>
      </w:r>
      <w:r w:rsidRPr="006214C5" w:rsidR="00187B34">
        <w:rPr>
          <w:szCs w:val="22"/>
        </w:rPr>
        <w:t>“shall assume financial responsibility only for the designated Intermediate Access Provider’s charges for terminating Feature Group D Interexchange traffic between the James Valley access tandem switch and Northern Valley’s terminating end office.”</w:t>
      </w:r>
      <w:r>
        <w:rPr>
          <w:rStyle w:val="FootnoteReference"/>
          <w:sz w:val="22"/>
        </w:rPr>
        <w:footnoteReference w:id="29"/>
      </w:r>
      <w:r w:rsidRPr="006214C5" w:rsidR="003777C1">
        <w:rPr>
          <w:szCs w:val="22"/>
        </w:rPr>
        <w:t xml:space="preserve"> </w:t>
      </w:r>
      <w:r w:rsidRPr="006214C5" w:rsidR="00187B34">
        <w:rPr>
          <w:szCs w:val="22"/>
        </w:rPr>
        <w:t xml:space="preserve"> </w:t>
      </w:r>
      <w:r w:rsidRPr="006214C5" w:rsidR="00727DDF">
        <w:rPr>
          <w:szCs w:val="22"/>
        </w:rPr>
        <w:t>Northern Valley has historically used SDN</w:t>
      </w:r>
      <w:r w:rsidRPr="006214C5" w:rsidR="00E035E6">
        <w:rPr>
          <w:szCs w:val="22"/>
        </w:rPr>
        <w:t xml:space="preserve">, </w:t>
      </w:r>
      <w:r w:rsidRPr="006214C5" w:rsidR="00727DDF">
        <w:rPr>
          <w:szCs w:val="22"/>
        </w:rPr>
        <w:t>a</w:t>
      </w:r>
      <w:r w:rsidRPr="006214C5" w:rsidR="00E035E6">
        <w:rPr>
          <w:szCs w:val="22"/>
        </w:rPr>
        <w:t xml:space="preserve"> tandem</w:t>
      </w:r>
      <w:r w:rsidRPr="006214C5" w:rsidR="00727DDF">
        <w:rPr>
          <w:szCs w:val="22"/>
        </w:rPr>
        <w:t xml:space="preserve"> provider, as its Intermediate Access Provider and thus its point of connection with IXCs for calls terminating to Northern Valley’s switches in Redfield and Aberdeen, South Dakota.</w:t>
      </w:r>
      <w:r>
        <w:rPr>
          <w:szCs w:val="22"/>
          <w:vertAlign w:val="superscript"/>
        </w:rPr>
        <w:footnoteReference w:id="30"/>
      </w:r>
      <w:r w:rsidRPr="006214C5" w:rsidR="00727DDF">
        <w:rPr>
          <w:szCs w:val="22"/>
        </w:rPr>
        <w:t xml:space="preserve">  </w:t>
      </w:r>
    </w:p>
    <w:p w:rsidR="00670380" w:rsidRPr="006214C5" w:rsidP="00BD702E" w14:paraId="6EFC8F28" w14:textId="77777777">
      <w:pPr>
        <w:pStyle w:val="ParaNum"/>
        <w:rPr>
          <w:szCs w:val="22"/>
        </w:rPr>
      </w:pPr>
      <w:r w:rsidRPr="006214C5">
        <w:rPr>
          <w:szCs w:val="22"/>
        </w:rPr>
        <w:t>P</w:t>
      </w:r>
      <w:r w:rsidRPr="006214C5" w:rsidR="00C96E36">
        <w:rPr>
          <w:szCs w:val="22"/>
        </w:rPr>
        <w:t>rior to Northern Valley</w:t>
      </w:r>
      <w:r w:rsidRPr="006214C5" w:rsidR="00953C56">
        <w:rPr>
          <w:szCs w:val="22"/>
        </w:rPr>
        <w:t>’</w:t>
      </w:r>
      <w:r w:rsidRPr="006214C5" w:rsidR="00C96E36">
        <w:rPr>
          <w:szCs w:val="22"/>
        </w:rPr>
        <w:t xml:space="preserve">s tariff </w:t>
      </w:r>
      <w:r w:rsidRPr="006214C5" w:rsidR="007C7257">
        <w:rPr>
          <w:szCs w:val="22"/>
        </w:rPr>
        <w:t xml:space="preserve">and call-routing </w:t>
      </w:r>
      <w:r w:rsidRPr="006214C5" w:rsidR="00C96E36">
        <w:rPr>
          <w:szCs w:val="22"/>
        </w:rPr>
        <w:t>change</w:t>
      </w:r>
      <w:r w:rsidRPr="006214C5" w:rsidR="007C7257">
        <w:rPr>
          <w:szCs w:val="22"/>
        </w:rPr>
        <w:t>s</w:t>
      </w:r>
      <w:r w:rsidRPr="006214C5" w:rsidR="00C96E36">
        <w:rPr>
          <w:szCs w:val="22"/>
        </w:rPr>
        <w:t xml:space="preserve">, </w:t>
      </w:r>
      <w:r w:rsidRPr="006214C5" w:rsidR="00F15E3F">
        <w:rPr>
          <w:szCs w:val="22"/>
        </w:rPr>
        <w:t xml:space="preserve">Verizon asserts that </w:t>
      </w:r>
      <w:r w:rsidRPr="006214C5" w:rsidR="00C96E36">
        <w:rPr>
          <w:szCs w:val="22"/>
        </w:rPr>
        <w:t>a</w:t>
      </w:r>
      <w:r w:rsidRPr="006214C5" w:rsidR="0089268A">
        <w:rPr>
          <w:szCs w:val="22"/>
        </w:rPr>
        <w:t>ccess</w:t>
      </w:r>
      <w:r w:rsidRPr="006214C5" w:rsidR="00C96E36">
        <w:rPr>
          <w:szCs w:val="22"/>
        </w:rPr>
        <w:t>-</w:t>
      </w:r>
      <w:r w:rsidRPr="006214C5" w:rsidR="0089268A">
        <w:rPr>
          <w:szCs w:val="22"/>
        </w:rPr>
        <w:t xml:space="preserve">stimulation calls bound for Northern Valley’s </w:t>
      </w:r>
      <w:r w:rsidRPr="006214C5" w:rsidR="007A7506">
        <w:rPr>
          <w:szCs w:val="22"/>
        </w:rPr>
        <w:t xml:space="preserve">end office </w:t>
      </w:r>
      <w:r w:rsidRPr="006214C5" w:rsidR="0089268A">
        <w:rPr>
          <w:szCs w:val="22"/>
        </w:rPr>
        <w:t>follow</w:t>
      </w:r>
      <w:r w:rsidRPr="006214C5" w:rsidR="00C96E36">
        <w:rPr>
          <w:szCs w:val="22"/>
        </w:rPr>
        <w:t>ed</w:t>
      </w:r>
      <w:r w:rsidRPr="006214C5" w:rsidR="0089268A">
        <w:rPr>
          <w:szCs w:val="22"/>
        </w:rPr>
        <w:t xml:space="preserve"> this path:  IXCs deliver</w:t>
      </w:r>
      <w:r w:rsidRPr="006214C5" w:rsidR="00C96E36">
        <w:rPr>
          <w:szCs w:val="22"/>
        </w:rPr>
        <w:t>ed</w:t>
      </w:r>
      <w:r w:rsidRPr="006214C5" w:rsidR="0089268A">
        <w:rPr>
          <w:szCs w:val="22"/>
        </w:rPr>
        <w:t xml:space="preserve"> the calls to the SDN tandem switch in Sioux Falls, South Dakota, from </w:t>
      </w:r>
      <w:r w:rsidRPr="006214C5" w:rsidR="00F15E3F">
        <w:rPr>
          <w:szCs w:val="22"/>
        </w:rPr>
        <w:t xml:space="preserve">there </w:t>
      </w:r>
      <w:r w:rsidRPr="006214C5" w:rsidR="00C96E36">
        <w:rPr>
          <w:szCs w:val="22"/>
        </w:rPr>
        <w:t xml:space="preserve">the traffic was </w:t>
      </w:r>
      <w:r w:rsidRPr="006214C5" w:rsidR="0089268A">
        <w:rPr>
          <w:szCs w:val="22"/>
        </w:rPr>
        <w:t>transported to a Northern Valley host office in Groton, South Dakota, and then to Northern Valley’s remote switch in Redfield, South Dakota.</w:t>
      </w:r>
      <w:r>
        <w:rPr>
          <w:szCs w:val="22"/>
          <w:vertAlign w:val="superscript"/>
        </w:rPr>
        <w:footnoteReference w:id="31"/>
      </w:r>
      <w:r w:rsidRPr="006214C5" w:rsidR="0089268A">
        <w:rPr>
          <w:szCs w:val="22"/>
        </w:rPr>
        <w:t xml:space="preserve"> </w:t>
      </w:r>
      <w:r w:rsidRPr="006214C5" w:rsidR="0077611D">
        <w:rPr>
          <w:szCs w:val="22"/>
        </w:rPr>
        <w:t xml:space="preserve"> </w:t>
      </w:r>
      <w:r w:rsidRPr="006214C5" w:rsidR="00A3764F">
        <w:rPr>
          <w:szCs w:val="22"/>
        </w:rPr>
        <w:t>Petitioners assert that Northern Valley’s tariff revisions require IXCs to bear the costs of delivering calls to James Valley’s tandem switch, which is 128 miles from the SDN tandem where IXCs delivered traffic bound for Northern Valley before Northern Valley designated James Valley as its Intermediate Access Provider.</w:t>
      </w:r>
      <w:r>
        <w:rPr>
          <w:rStyle w:val="FootnoteReference"/>
          <w:sz w:val="22"/>
          <w:szCs w:val="22"/>
        </w:rPr>
        <w:footnoteReference w:id="32"/>
      </w:r>
      <w:r w:rsidRPr="006214C5" w:rsidR="00A3764F">
        <w:rPr>
          <w:szCs w:val="22"/>
        </w:rPr>
        <w:t xml:space="preserve">  </w:t>
      </w:r>
      <w:r w:rsidRPr="006214C5" w:rsidR="00A34BBC">
        <w:rPr>
          <w:szCs w:val="22"/>
        </w:rPr>
        <w:t xml:space="preserve">Northern Valley should confirm that </w:t>
      </w:r>
      <w:r w:rsidRPr="006214C5" w:rsidR="000D40D7">
        <w:rPr>
          <w:szCs w:val="22"/>
        </w:rPr>
        <w:t>these</w:t>
      </w:r>
      <w:r w:rsidRPr="006214C5" w:rsidR="00A34BBC">
        <w:rPr>
          <w:szCs w:val="22"/>
        </w:rPr>
        <w:t xml:space="preserve"> </w:t>
      </w:r>
      <w:r w:rsidRPr="006214C5" w:rsidR="000D40D7">
        <w:rPr>
          <w:szCs w:val="22"/>
        </w:rPr>
        <w:t>are accurate representations of how traffic flowed prior to the tariff revisions and after the tariff revision</w:t>
      </w:r>
      <w:r w:rsidRPr="006214C5" w:rsidR="00F01598">
        <w:rPr>
          <w:szCs w:val="22"/>
        </w:rPr>
        <w:t>s</w:t>
      </w:r>
      <w:r w:rsidRPr="006214C5" w:rsidR="000D40D7">
        <w:rPr>
          <w:szCs w:val="22"/>
        </w:rPr>
        <w:t xml:space="preserve"> </w:t>
      </w:r>
      <w:r w:rsidRPr="006214C5" w:rsidR="00C72EA1">
        <w:rPr>
          <w:szCs w:val="22"/>
        </w:rPr>
        <w:t xml:space="preserve">or </w:t>
      </w:r>
      <w:r w:rsidRPr="006214C5" w:rsidR="000D42F6">
        <w:rPr>
          <w:szCs w:val="22"/>
        </w:rPr>
        <w:t xml:space="preserve">identify and </w:t>
      </w:r>
      <w:r w:rsidRPr="006214C5" w:rsidR="00C72EA1">
        <w:rPr>
          <w:szCs w:val="22"/>
        </w:rPr>
        <w:t xml:space="preserve">explain </w:t>
      </w:r>
      <w:r w:rsidRPr="006214C5" w:rsidR="000D42F6">
        <w:rPr>
          <w:szCs w:val="22"/>
        </w:rPr>
        <w:t xml:space="preserve">any </w:t>
      </w:r>
      <w:r w:rsidRPr="006214C5" w:rsidR="00F461FF">
        <w:rPr>
          <w:szCs w:val="22"/>
        </w:rPr>
        <w:t>inaccuracies</w:t>
      </w:r>
      <w:r w:rsidRPr="006214C5" w:rsidR="000D40D7">
        <w:rPr>
          <w:szCs w:val="22"/>
        </w:rPr>
        <w:t xml:space="preserve">.  </w:t>
      </w:r>
      <w:r w:rsidRPr="006214C5" w:rsidR="001134E4">
        <w:rPr>
          <w:szCs w:val="22"/>
        </w:rPr>
        <w:t xml:space="preserve">Northern Valley should explain what services it provided to IXCs and charged them for prior to Northern Valley’s tariff revisions.  </w:t>
      </w:r>
      <w:r w:rsidRPr="006214C5" w:rsidR="000D40D7">
        <w:rPr>
          <w:szCs w:val="22"/>
        </w:rPr>
        <w:t>Northern Valley must also</w:t>
      </w:r>
      <w:r w:rsidRPr="006214C5" w:rsidR="00C72EA1">
        <w:rPr>
          <w:szCs w:val="22"/>
        </w:rPr>
        <w:t xml:space="preserve"> </w:t>
      </w:r>
      <w:r w:rsidRPr="006214C5" w:rsidR="00A34BBC">
        <w:rPr>
          <w:szCs w:val="22"/>
        </w:rPr>
        <w:t>provid</w:t>
      </w:r>
      <w:r w:rsidRPr="006214C5" w:rsidR="000D40D7">
        <w:rPr>
          <w:szCs w:val="22"/>
        </w:rPr>
        <w:t>e</w:t>
      </w:r>
      <w:r w:rsidRPr="006214C5" w:rsidR="00A34BBC">
        <w:rPr>
          <w:szCs w:val="22"/>
        </w:rPr>
        <w:t xml:space="preserve"> </w:t>
      </w:r>
      <w:r w:rsidRPr="006214C5" w:rsidR="000D40D7">
        <w:rPr>
          <w:szCs w:val="22"/>
        </w:rPr>
        <w:t xml:space="preserve">relevant </w:t>
      </w:r>
      <w:r w:rsidRPr="006214C5" w:rsidR="00A34BBC">
        <w:rPr>
          <w:szCs w:val="22"/>
        </w:rPr>
        <w:t xml:space="preserve">routing diagrams for calls it </w:t>
      </w:r>
      <w:r w:rsidRPr="006214C5" w:rsidR="000D42F6">
        <w:rPr>
          <w:szCs w:val="22"/>
        </w:rPr>
        <w:t>completed pr</w:t>
      </w:r>
      <w:r w:rsidRPr="006214C5" w:rsidR="00C50F0C">
        <w:rPr>
          <w:szCs w:val="22"/>
        </w:rPr>
        <w:t>ior</w:t>
      </w:r>
      <w:r w:rsidRPr="006214C5" w:rsidR="000D42F6">
        <w:rPr>
          <w:szCs w:val="22"/>
        </w:rPr>
        <w:t xml:space="preserve"> to January 11, 2020 and</w:t>
      </w:r>
      <w:r w:rsidRPr="006214C5" w:rsidR="00544099">
        <w:rPr>
          <w:szCs w:val="22"/>
        </w:rPr>
        <w:t xml:space="preserve"> for</w:t>
      </w:r>
      <w:r w:rsidRPr="006214C5" w:rsidR="000D42F6">
        <w:rPr>
          <w:szCs w:val="22"/>
        </w:rPr>
        <w:t xml:space="preserve"> those that it currently </w:t>
      </w:r>
      <w:r w:rsidRPr="006214C5" w:rsidR="00A34BBC">
        <w:rPr>
          <w:szCs w:val="22"/>
        </w:rPr>
        <w:t>completes</w:t>
      </w:r>
      <w:r w:rsidRPr="006214C5" w:rsidR="000D42F6">
        <w:rPr>
          <w:szCs w:val="22"/>
        </w:rPr>
        <w:t>.</w:t>
      </w:r>
      <w:r w:rsidRPr="006214C5" w:rsidR="00A34BBC">
        <w:rPr>
          <w:szCs w:val="22"/>
        </w:rPr>
        <w:t xml:space="preserve">  </w:t>
      </w:r>
      <w:r w:rsidRPr="006214C5" w:rsidR="00A3764F">
        <w:rPr>
          <w:szCs w:val="22"/>
        </w:rPr>
        <w:t xml:space="preserve">Are there </w:t>
      </w:r>
      <w:r w:rsidRPr="006214C5" w:rsidR="000D42F6">
        <w:rPr>
          <w:szCs w:val="22"/>
        </w:rPr>
        <w:t>any</w:t>
      </w:r>
      <w:r w:rsidR="000D42F6">
        <w:rPr>
          <w:szCs w:val="22"/>
        </w:rPr>
        <w:t xml:space="preserve"> </w:t>
      </w:r>
      <w:r w:rsidRPr="006214C5" w:rsidR="00A3764F">
        <w:rPr>
          <w:szCs w:val="22"/>
        </w:rPr>
        <w:t>other</w:t>
      </w:r>
      <w:r w:rsidRPr="006214C5" w:rsidR="00B37462">
        <w:rPr>
          <w:szCs w:val="22"/>
        </w:rPr>
        <w:t>,</w:t>
      </w:r>
      <w:r w:rsidRPr="006214C5" w:rsidR="00A3764F">
        <w:rPr>
          <w:szCs w:val="22"/>
        </w:rPr>
        <w:t xml:space="preserve"> </w:t>
      </w:r>
      <w:r w:rsidRPr="006214C5" w:rsidR="00B37462">
        <w:rPr>
          <w:szCs w:val="22"/>
        </w:rPr>
        <w:t>regulated</w:t>
      </w:r>
      <w:r w:rsidRPr="006214C5" w:rsidR="00B129AA">
        <w:rPr>
          <w:szCs w:val="22"/>
        </w:rPr>
        <w:t xml:space="preserve"> or non-regulated</w:t>
      </w:r>
      <w:r w:rsidRPr="006214C5" w:rsidR="00B37462">
        <w:rPr>
          <w:szCs w:val="22"/>
        </w:rPr>
        <w:t xml:space="preserve">, </w:t>
      </w:r>
      <w:r w:rsidRPr="006214C5" w:rsidR="000D42F6">
        <w:rPr>
          <w:szCs w:val="22"/>
        </w:rPr>
        <w:t xml:space="preserve">routes an IXC can use to </w:t>
      </w:r>
      <w:r w:rsidRPr="006214C5" w:rsidR="00A3764F">
        <w:rPr>
          <w:szCs w:val="22"/>
        </w:rPr>
        <w:t xml:space="preserve">get </w:t>
      </w:r>
      <w:r w:rsidRPr="006214C5" w:rsidR="000D42F6">
        <w:rPr>
          <w:szCs w:val="22"/>
        </w:rPr>
        <w:t xml:space="preserve">long distance traffic </w:t>
      </w:r>
      <w:r w:rsidRPr="006214C5" w:rsidR="00A3764F">
        <w:rPr>
          <w:szCs w:val="22"/>
        </w:rPr>
        <w:t xml:space="preserve">to Northern Valley?  </w:t>
      </w:r>
      <w:r w:rsidRPr="006214C5" w:rsidR="00A3764F">
        <w:rPr>
          <w:szCs w:val="22"/>
        </w:rPr>
        <w:t xml:space="preserve">If so, </w:t>
      </w:r>
      <w:r w:rsidRPr="006214C5" w:rsidR="000D42F6">
        <w:rPr>
          <w:szCs w:val="22"/>
        </w:rPr>
        <w:t>Northern Valley must describe those routes and explain how each of the entities on those routes are compensated for carrying traffic to Northern Valley</w:t>
      </w:r>
      <w:r w:rsidRPr="006214C5" w:rsidR="006D325B">
        <w:rPr>
          <w:szCs w:val="22"/>
        </w:rPr>
        <w:t xml:space="preserve">.  </w:t>
      </w:r>
      <w:r w:rsidRPr="006214C5" w:rsidR="00A34BBC">
        <w:rPr>
          <w:szCs w:val="22"/>
        </w:rPr>
        <w:t>If IXCs use routes other than through the James Valley tandem, would Northern Valley accept such traffic and terminate those calls?</w:t>
      </w:r>
      <w:r w:rsidRPr="006214C5" w:rsidR="00B93A92">
        <w:rPr>
          <w:szCs w:val="22"/>
        </w:rPr>
        <w:t xml:space="preserve">  How does Northern Valley expect carriers to get traffic to the James Valley tandem?  Through SDN?  Through other regulated, or unregulated, paths?</w:t>
      </w:r>
    </w:p>
    <w:p w:rsidR="00AC20A1" w:rsidRPr="007828F0" w:rsidP="008A17AD" w14:paraId="6A0CE30C" w14:textId="77777777">
      <w:pPr>
        <w:pStyle w:val="ParaNum"/>
      </w:pPr>
      <w:r w:rsidRPr="006214C5">
        <w:rPr>
          <w:szCs w:val="22"/>
        </w:rPr>
        <w:t>Northern Valley must also submit information explaining what kind of tandem switch James Valley has</w:t>
      </w:r>
      <w:r w:rsidRPr="006214C5" w:rsidR="00B2106A">
        <w:rPr>
          <w:szCs w:val="22"/>
        </w:rPr>
        <w:t xml:space="preserve"> deployed</w:t>
      </w:r>
      <w:r w:rsidRPr="006214C5">
        <w:rPr>
          <w:szCs w:val="22"/>
        </w:rPr>
        <w:t xml:space="preserve">, </w:t>
      </w:r>
      <w:r w:rsidRPr="006214C5" w:rsidR="00A34BBC">
        <w:rPr>
          <w:szCs w:val="22"/>
        </w:rPr>
        <w:t xml:space="preserve">its capacity, </w:t>
      </w:r>
      <w:r w:rsidRPr="006214C5" w:rsidR="006D325B">
        <w:rPr>
          <w:szCs w:val="22"/>
        </w:rPr>
        <w:t xml:space="preserve">and </w:t>
      </w:r>
      <w:r w:rsidRPr="006214C5">
        <w:rPr>
          <w:szCs w:val="22"/>
        </w:rPr>
        <w:t xml:space="preserve">how and why </w:t>
      </w:r>
      <w:r w:rsidRPr="006214C5" w:rsidR="00F31328">
        <w:rPr>
          <w:szCs w:val="22"/>
        </w:rPr>
        <w:t xml:space="preserve">Northern Valley selected James Valley as its Intermediate Access Provider.  Northern Valley must also submit information </w:t>
      </w:r>
      <w:r w:rsidRPr="006214C5" w:rsidR="007D0246">
        <w:rPr>
          <w:szCs w:val="22"/>
        </w:rPr>
        <w:t xml:space="preserve">identifying any carriers </w:t>
      </w:r>
      <w:r w:rsidRPr="006214C5" w:rsidR="006C3B10">
        <w:rPr>
          <w:szCs w:val="22"/>
        </w:rPr>
        <w:t xml:space="preserve">that </w:t>
      </w:r>
      <w:r w:rsidRPr="006214C5" w:rsidR="007D0246">
        <w:rPr>
          <w:szCs w:val="22"/>
        </w:rPr>
        <w:t>were directly connected to</w:t>
      </w:r>
      <w:r w:rsidRPr="006214C5" w:rsidR="00F461FF">
        <w:rPr>
          <w:szCs w:val="22"/>
        </w:rPr>
        <w:t xml:space="preserve"> </w:t>
      </w:r>
      <w:r w:rsidRPr="006214C5" w:rsidR="00DB08B0">
        <w:rPr>
          <w:szCs w:val="22"/>
        </w:rPr>
        <w:t xml:space="preserve">James Valley before the tariff revisions became effective and </w:t>
      </w:r>
      <w:r w:rsidRPr="006214C5" w:rsidR="007D0246">
        <w:rPr>
          <w:szCs w:val="22"/>
        </w:rPr>
        <w:t>any carriers that are or have been directly connected to James Valley since January 11, 2020.</w:t>
      </w:r>
      <w:r w:rsidRPr="006214C5" w:rsidR="00F31328">
        <w:rPr>
          <w:szCs w:val="22"/>
        </w:rPr>
        <w:t xml:space="preserve">  </w:t>
      </w:r>
    </w:p>
    <w:p w:rsidR="00FC52BF" w:rsidRPr="007828F0" w:rsidP="008A17AD" w14:paraId="0B6F2465" w14:textId="638AE7C9">
      <w:pPr>
        <w:pStyle w:val="ParaNum"/>
      </w:pPr>
      <w:r w:rsidRPr="006214C5">
        <w:rPr>
          <w:szCs w:val="22"/>
        </w:rPr>
        <w:t>A</w:t>
      </w:r>
      <w:r w:rsidRPr="006214C5">
        <w:rPr>
          <w:szCs w:val="22"/>
        </w:rPr>
        <w:t>ccess stimulation creates artificially high levels of demand in rural areas, such as those served by Northern Valley.</w:t>
      </w:r>
      <w:r>
        <w:rPr>
          <w:szCs w:val="22"/>
          <w:vertAlign w:val="superscript"/>
        </w:rPr>
        <w:footnoteReference w:id="33"/>
      </w:r>
      <w:r w:rsidRPr="006214C5">
        <w:rPr>
          <w:szCs w:val="22"/>
        </w:rPr>
        <w:t xml:space="preserve">  We are concerned that James Valley’s network facilities may be insufficient to handle these excessive traffic volumes.</w:t>
      </w:r>
      <w:r>
        <w:rPr>
          <w:szCs w:val="22"/>
          <w:vertAlign w:val="superscript"/>
        </w:rPr>
        <w:footnoteReference w:id="34"/>
      </w:r>
      <w:r w:rsidRPr="006214C5">
        <w:rPr>
          <w:szCs w:val="22"/>
        </w:rPr>
        <w:t xml:space="preserve">  Accordingly, we seek information from Northern Valley detailing how it </w:t>
      </w:r>
      <w:r w:rsidRPr="006214C5" w:rsidR="00C0095B">
        <w:rPr>
          <w:szCs w:val="22"/>
        </w:rPr>
        <w:t xml:space="preserve">ensures </w:t>
      </w:r>
      <w:r w:rsidRPr="006214C5">
        <w:rPr>
          <w:szCs w:val="22"/>
        </w:rPr>
        <w:t xml:space="preserve">that service problems, including dropped and blocked calls, are not occurring—and will not occur—as a result of the call routing changes reflected in its tariff revisions.  Northern Valley must provide detailed data and information on any calls </w:t>
      </w:r>
      <w:r w:rsidRPr="006214C5" w:rsidR="006B7A7D">
        <w:rPr>
          <w:szCs w:val="22"/>
        </w:rPr>
        <w:t xml:space="preserve">dropped or blocked </w:t>
      </w:r>
      <w:r w:rsidRPr="006214C5">
        <w:rPr>
          <w:szCs w:val="22"/>
        </w:rPr>
        <w:t xml:space="preserve">by James Valley and on any </w:t>
      </w:r>
      <w:r w:rsidRPr="006214C5">
        <w:rPr>
          <w:szCs w:val="22"/>
        </w:rPr>
        <w:t>complaints</w:t>
      </w:r>
      <w:r w:rsidRPr="006214C5">
        <w:rPr>
          <w:szCs w:val="22"/>
        </w:rPr>
        <w:t xml:space="preserve"> it has received related to the tariff revisions under investigation</w:t>
      </w:r>
      <w:r w:rsidRPr="006214C5" w:rsidR="0047154D">
        <w:rPr>
          <w:szCs w:val="22"/>
        </w:rPr>
        <w:t xml:space="preserve">.  This </w:t>
      </w:r>
      <w:r w:rsidRPr="006214C5" w:rsidR="006B7A7D">
        <w:rPr>
          <w:szCs w:val="22"/>
        </w:rPr>
        <w:t xml:space="preserve">information </w:t>
      </w:r>
      <w:r w:rsidRPr="006214C5" w:rsidR="0047154D">
        <w:rPr>
          <w:szCs w:val="22"/>
        </w:rPr>
        <w:t>sh</w:t>
      </w:r>
      <w:r w:rsidRPr="006214C5" w:rsidR="00C0095B">
        <w:rPr>
          <w:szCs w:val="22"/>
        </w:rPr>
        <w:t>all</w:t>
      </w:r>
      <w:r w:rsidRPr="006214C5">
        <w:rPr>
          <w:szCs w:val="22"/>
        </w:rPr>
        <w:t xml:space="preserve"> includ</w:t>
      </w:r>
      <w:r w:rsidRPr="006214C5" w:rsidR="0047154D">
        <w:rPr>
          <w:szCs w:val="22"/>
        </w:rPr>
        <w:t>e</w:t>
      </w:r>
      <w:r w:rsidRPr="006214C5" w:rsidR="006B7A7D">
        <w:rPr>
          <w:szCs w:val="22"/>
        </w:rPr>
        <w:t>, at a minimum</w:t>
      </w:r>
      <w:r w:rsidR="00BC5722">
        <w:rPr>
          <w:szCs w:val="22"/>
        </w:rPr>
        <w:t>:</w:t>
      </w:r>
      <w:r w:rsidRPr="006214C5">
        <w:rPr>
          <w:szCs w:val="22"/>
        </w:rPr>
        <w:t xml:space="preserve"> </w:t>
      </w:r>
      <w:r w:rsidRPr="006214C5" w:rsidR="006B7A7D">
        <w:rPr>
          <w:szCs w:val="22"/>
        </w:rPr>
        <w:t xml:space="preserve">(1) </w:t>
      </w:r>
      <w:r w:rsidRPr="006214C5">
        <w:rPr>
          <w:szCs w:val="22"/>
        </w:rPr>
        <w:t xml:space="preserve">the date </w:t>
      </w:r>
      <w:r w:rsidRPr="006214C5" w:rsidR="006B7A7D">
        <w:rPr>
          <w:szCs w:val="22"/>
        </w:rPr>
        <w:t>of any complaint</w:t>
      </w:r>
      <w:r w:rsidR="00BC5722">
        <w:rPr>
          <w:szCs w:val="22"/>
        </w:rPr>
        <w:t>;</w:t>
      </w:r>
      <w:r w:rsidRPr="006214C5" w:rsidR="006B7A7D">
        <w:rPr>
          <w:szCs w:val="22"/>
        </w:rPr>
        <w:t xml:space="preserve"> (2) </w:t>
      </w:r>
      <w:r w:rsidRPr="006214C5">
        <w:rPr>
          <w:szCs w:val="22"/>
        </w:rPr>
        <w:t>a</w:t>
      </w:r>
      <w:r w:rsidRPr="006214C5" w:rsidR="00B351B5">
        <w:rPr>
          <w:szCs w:val="22"/>
        </w:rPr>
        <w:t xml:space="preserve"> summary of </w:t>
      </w:r>
      <w:r w:rsidRPr="006214C5" w:rsidR="006B7A7D">
        <w:rPr>
          <w:szCs w:val="22"/>
        </w:rPr>
        <w:t xml:space="preserve">the </w:t>
      </w:r>
      <w:r w:rsidRPr="006214C5">
        <w:rPr>
          <w:szCs w:val="22"/>
        </w:rPr>
        <w:t>complaint</w:t>
      </w:r>
      <w:r w:rsidR="00BC5722">
        <w:rPr>
          <w:szCs w:val="22"/>
        </w:rPr>
        <w:t>;</w:t>
      </w:r>
      <w:r w:rsidRPr="006214C5" w:rsidR="006B7A7D">
        <w:rPr>
          <w:szCs w:val="22"/>
        </w:rPr>
        <w:t xml:space="preserve"> and (3)</w:t>
      </w:r>
      <w:r w:rsidRPr="006214C5">
        <w:rPr>
          <w:szCs w:val="22"/>
        </w:rPr>
        <w:t xml:space="preserve"> Northern Valley’s response to </w:t>
      </w:r>
      <w:r w:rsidRPr="006214C5" w:rsidR="006B7A7D">
        <w:rPr>
          <w:szCs w:val="22"/>
        </w:rPr>
        <w:t xml:space="preserve">the </w:t>
      </w:r>
      <w:r w:rsidRPr="006214C5">
        <w:rPr>
          <w:szCs w:val="22"/>
        </w:rPr>
        <w:t xml:space="preserve">complaint.    </w:t>
      </w:r>
    </w:p>
    <w:p w:rsidR="00727DDF" w:rsidRPr="007828F0" w:rsidP="00C808CF" w14:paraId="41D3F2C9" w14:textId="77777777">
      <w:pPr>
        <w:pStyle w:val="ParaNum"/>
      </w:pPr>
      <w:r w:rsidRPr="006214C5">
        <w:rPr>
          <w:szCs w:val="22"/>
        </w:rPr>
        <w:t xml:space="preserve">Northern Valley must also submit information </w:t>
      </w:r>
      <w:r w:rsidRPr="006214C5" w:rsidR="007D0246">
        <w:rPr>
          <w:szCs w:val="22"/>
        </w:rPr>
        <w:t xml:space="preserve">quantifying the </w:t>
      </w:r>
      <w:r w:rsidRPr="006214C5">
        <w:rPr>
          <w:szCs w:val="22"/>
        </w:rPr>
        <w:t xml:space="preserve">volume of traffic it received for each of the </w:t>
      </w:r>
      <w:r w:rsidRPr="006214C5" w:rsidR="00793915">
        <w:rPr>
          <w:szCs w:val="22"/>
        </w:rPr>
        <w:t>six</w:t>
      </w:r>
      <w:r w:rsidRPr="006214C5">
        <w:rPr>
          <w:szCs w:val="22"/>
        </w:rPr>
        <w:t xml:space="preserve"> months prior to January 2020 and its traffic forecasts for each month from January 2020</w:t>
      </w:r>
      <w:r w:rsidRPr="006214C5" w:rsidR="006C3B10">
        <w:rPr>
          <w:szCs w:val="22"/>
        </w:rPr>
        <w:t xml:space="preserve"> to </w:t>
      </w:r>
      <w:r w:rsidRPr="006214C5">
        <w:rPr>
          <w:szCs w:val="22"/>
        </w:rPr>
        <w:t>June 2020.</w:t>
      </w:r>
      <w:r w:rsidRPr="006214C5" w:rsidR="000D40D7">
        <w:rPr>
          <w:szCs w:val="22"/>
        </w:rPr>
        <w:t xml:space="preserve">  </w:t>
      </w:r>
      <w:r w:rsidRPr="006214C5" w:rsidR="000035AD">
        <w:rPr>
          <w:szCs w:val="22"/>
        </w:rPr>
        <w:t xml:space="preserve">It </w:t>
      </w:r>
      <w:r w:rsidRPr="006214C5" w:rsidR="000D40D7">
        <w:rPr>
          <w:szCs w:val="22"/>
        </w:rPr>
        <w:t xml:space="preserve">must </w:t>
      </w:r>
      <w:r w:rsidRPr="006214C5" w:rsidR="009B13D1">
        <w:rPr>
          <w:szCs w:val="22"/>
        </w:rPr>
        <w:t xml:space="preserve">submit any </w:t>
      </w:r>
      <w:r w:rsidRPr="006214C5" w:rsidR="00C56D79">
        <w:rPr>
          <w:szCs w:val="22"/>
        </w:rPr>
        <w:t>analys</w:t>
      </w:r>
      <w:r w:rsidRPr="006214C5" w:rsidR="009B13D1">
        <w:rPr>
          <w:szCs w:val="22"/>
        </w:rPr>
        <w:t>e</w:t>
      </w:r>
      <w:r w:rsidRPr="006214C5" w:rsidR="00C56D79">
        <w:rPr>
          <w:szCs w:val="22"/>
        </w:rPr>
        <w:t>s</w:t>
      </w:r>
      <w:r w:rsidRPr="006214C5" w:rsidR="000D40D7">
        <w:rPr>
          <w:szCs w:val="22"/>
        </w:rPr>
        <w:t xml:space="preserve"> it</w:t>
      </w:r>
      <w:r w:rsidRPr="006214C5" w:rsidR="00C56D79">
        <w:rPr>
          <w:szCs w:val="22"/>
        </w:rPr>
        <w:t xml:space="preserve"> performed to ensure that </w:t>
      </w:r>
      <w:r w:rsidRPr="006214C5" w:rsidR="00DB08B0">
        <w:rPr>
          <w:szCs w:val="22"/>
        </w:rPr>
        <w:t>the James Valley tandem</w:t>
      </w:r>
      <w:r w:rsidRPr="006214C5" w:rsidR="00C56D79">
        <w:rPr>
          <w:szCs w:val="22"/>
        </w:rPr>
        <w:t xml:space="preserve"> could adequately serve the anticipated call volumes.  </w:t>
      </w:r>
      <w:r w:rsidRPr="006214C5" w:rsidR="00547114">
        <w:rPr>
          <w:szCs w:val="22"/>
        </w:rPr>
        <w:t xml:space="preserve">Northern Valley must </w:t>
      </w:r>
      <w:r w:rsidRPr="006214C5" w:rsidR="00AE54C8">
        <w:rPr>
          <w:szCs w:val="22"/>
        </w:rPr>
        <w:t>further</w:t>
      </w:r>
      <w:r w:rsidRPr="006214C5" w:rsidR="00547114">
        <w:rPr>
          <w:szCs w:val="22"/>
        </w:rPr>
        <w:t xml:space="preserve"> provide the economic justification for its decision to move its tandem switch connection to James Valley, including any cost or traffic studies, as well as any network engineering analyses, on which Northern Valley based its decision.  </w:t>
      </w:r>
      <w:r w:rsidRPr="006214C5" w:rsidR="00B37462">
        <w:rPr>
          <w:szCs w:val="22"/>
        </w:rPr>
        <w:t xml:space="preserve">Northern Valley must provide </w:t>
      </w:r>
      <w:r w:rsidRPr="006214C5" w:rsidR="00A34BBC">
        <w:rPr>
          <w:szCs w:val="22"/>
        </w:rPr>
        <w:t xml:space="preserve">engineering and financial </w:t>
      </w:r>
      <w:r w:rsidRPr="006214C5" w:rsidR="00B37462">
        <w:rPr>
          <w:szCs w:val="22"/>
        </w:rPr>
        <w:t>information</w:t>
      </w:r>
      <w:r w:rsidRPr="006214C5" w:rsidR="00A34BBC">
        <w:rPr>
          <w:szCs w:val="22"/>
        </w:rPr>
        <w:t xml:space="preserve"> describing its connections with James Valley</w:t>
      </w:r>
      <w:r w:rsidRPr="006214C5" w:rsidR="00B37462">
        <w:rPr>
          <w:szCs w:val="22"/>
        </w:rPr>
        <w:t>, including the pricing</w:t>
      </w:r>
      <w:r w:rsidRPr="006214C5" w:rsidR="00A34BBC">
        <w:rPr>
          <w:szCs w:val="22"/>
        </w:rPr>
        <w:t>,</w:t>
      </w:r>
      <w:r w:rsidRPr="006214C5" w:rsidR="00B37462">
        <w:rPr>
          <w:szCs w:val="22"/>
        </w:rPr>
        <w:t xml:space="preserve"> terms</w:t>
      </w:r>
      <w:r w:rsidRPr="006214C5" w:rsidR="00A34BBC">
        <w:rPr>
          <w:szCs w:val="22"/>
        </w:rPr>
        <w:t>,</w:t>
      </w:r>
      <w:r w:rsidRPr="006214C5" w:rsidR="00B37462">
        <w:rPr>
          <w:szCs w:val="22"/>
        </w:rPr>
        <w:t xml:space="preserve"> and conditions </w:t>
      </w:r>
      <w:r w:rsidRPr="006214C5" w:rsidR="00A34BBC">
        <w:rPr>
          <w:szCs w:val="22"/>
        </w:rPr>
        <w:t xml:space="preserve">of service </w:t>
      </w:r>
      <w:r w:rsidRPr="006214C5" w:rsidR="00B37462">
        <w:rPr>
          <w:szCs w:val="22"/>
        </w:rPr>
        <w:t xml:space="preserve">in </w:t>
      </w:r>
      <w:r w:rsidRPr="006214C5" w:rsidR="00A34BBC">
        <w:rPr>
          <w:szCs w:val="22"/>
        </w:rPr>
        <w:t xml:space="preserve">its </w:t>
      </w:r>
      <w:r w:rsidRPr="006214C5" w:rsidR="00B37462">
        <w:rPr>
          <w:szCs w:val="22"/>
        </w:rPr>
        <w:t>agreements with James Valley.</w:t>
      </w:r>
      <w:r w:rsidRPr="006214C5" w:rsidR="009B13D1">
        <w:rPr>
          <w:szCs w:val="22"/>
        </w:rPr>
        <w:t xml:space="preserve"> </w:t>
      </w:r>
      <w:r w:rsidRPr="006214C5" w:rsidR="00B37462">
        <w:rPr>
          <w:szCs w:val="22"/>
        </w:rPr>
        <w:t xml:space="preserve"> </w:t>
      </w:r>
      <w:r w:rsidRPr="006214C5" w:rsidR="009B13D1">
        <w:rPr>
          <w:szCs w:val="22"/>
        </w:rPr>
        <w:t>Sprint asserts that, because Northern Valley and James Valley are affiliated, “there are effectively no tandem switching or tandem transport charges, so no expense to the access stimulating LEC.”</w:t>
      </w:r>
      <w:r>
        <w:rPr>
          <w:rStyle w:val="FootnoteReference"/>
          <w:sz w:val="22"/>
        </w:rPr>
        <w:footnoteReference w:id="35"/>
      </w:r>
      <w:r w:rsidRPr="006214C5" w:rsidR="009B13D1">
        <w:rPr>
          <w:szCs w:val="22"/>
        </w:rPr>
        <w:t xml:space="preserve">  Is this correct</w:t>
      </w:r>
      <w:r w:rsidRPr="006214C5" w:rsidR="00544099">
        <w:rPr>
          <w:szCs w:val="22"/>
        </w:rPr>
        <w:t xml:space="preserve"> and, if not, why not</w:t>
      </w:r>
      <w:r w:rsidRPr="006214C5" w:rsidR="009B13D1">
        <w:rPr>
          <w:szCs w:val="22"/>
        </w:rPr>
        <w:t xml:space="preserve">?  </w:t>
      </w:r>
      <w:r w:rsidRPr="006214C5" w:rsidR="00B37462">
        <w:rPr>
          <w:szCs w:val="22"/>
        </w:rPr>
        <w:t xml:space="preserve"> </w:t>
      </w:r>
      <w:r w:rsidRPr="006214C5" w:rsidR="0089268A">
        <w:rPr>
          <w:szCs w:val="22"/>
        </w:rPr>
        <w:t xml:space="preserve">    </w:t>
      </w:r>
    </w:p>
    <w:p w:rsidR="00E92EB4" w:rsidRPr="006214C5" w:rsidP="007C7257" w14:paraId="7B15D66B" w14:textId="30960C83">
      <w:pPr>
        <w:pStyle w:val="ParaNum"/>
        <w:rPr>
          <w:szCs w:val="22"/>
        </w:rPr>
      </w:pPr>
      <w:r w:rsidRPr="006214C5">
        <w:rPr>
          <w:szCs w:val="22"/>
        </w:rPr>
        <w:t>On December 13, 2019, s</w:t>
      </w:r>
      <w:r w:rsidRPr="006214C5" w:rsidR="001B41C9">
        <w:rPr>
          <w:szCs w:val="22"/>
        </w:rPr>
        <w:t xml:space="preserve">hortly before filing its tariff revisions, Northern Valley entered a change in the Business Integrated Routing and Rating Database System to indicate in the Local Exchange Routing Guide </w:t>
      </w:r>
      <w:r w:rsidRPr="006214C5" w:rsidR="00B13133">
        <w:rPr>
          <w:szCs w:val="22"/>
        </w:rPr>
        <w:t xml:space="preserve">(LERG) </w:t>
      </w:r>
      <w:r w:rsidRPr="006214C5" w:rsidR="001B41C9">
        <w:rPr>
          <w:szCs w:val="22"/>
        </w:rPr>
        <w:t xml:space="preserve">that it would </w:t>
      </w:r>
      <w:r w:rsidRPr="006214C5" w:rsidR="006B12BF">
        <w:rPr>
          <w:szCs w:val="22"/>
        </w:rPr>
        <w:t>no longer connect to the SDN tandem switch for delivery of its traffic and would instead use the James Valley tandem.</w:t>
      </w:r>
      <w:r>
        <w:rPr>
          <w:rStyle w:val="FootnoteReference"/>
          <w:sz w:val="22"/>
        </w:rPr>
        <w:footnoteReference w:id="36"/>
      </w:r>
      <w:r w:rsidRPr="006214C5" w:rsidR="006B12BF">
        <w:rPr>
          <w:szCs w:val="22"/>
        </w:rPr>
        <w:t xml:space="preserve">  </w:t>
      </w:r>
      <w:r w:rsidRPr="006214C5">
        <w:rPr>
          <w:szCs w:val="22"/>
        </w:rPr>
        <w:t xml:space="preserve">On December 20, 2019, </w:t>
      </w:r>
      <w:r w:rsidRPr="006214C5" w:rsidR="001B41C9">
        <w:rPr>
          <w:szCs w:val="22"/>
        </w:rPr>
        <w:t>Northern Valley provided written notice to IXCs that it “anticipates disconnecting the SDN terminating tandem circuits</w:t>
      </w:r>
      <w:r w:rsidRPr="006214C5">
        <w:rPr>
          <w:szCs w:val="22"/>
        </w:rPr>
        <w:t>”</w:t>
      </w:r>
      <w:r w:rsidRPr="006214C5" w:rsidR="001B41C9">
        <w:rPr>
          <w:szCs w:val="22"/>
        </w:rPr>
        <w:t xml:space="preserve"> after </w:t>
      </w:r>
      <w:r w:rsidRPr="006214C5">
        <w:rPr>
          <w:szCs w:val="22"/>
        </w:rPr>
        <w:t xml:space="preserve">its new connection </w:t>
      </w:r>
      <w:r w:rsidRPr="006214C5" w:rsidR="001B41C9">
        <w:rPr>
          <w:szCs w:val="22"/>
        </w:rPr>
        <w:t xml:space="preserve">arrangement has taken effect and </w:t>
      </w:r>
      <w:r w:rsidRPr="006214C5">
        <w:rPr>
          <w:szCs w:val="22"/>
        </w:rPr>
        <w:t>“</w:t>
      </w:r>
      <w:r w:rsidRPr="006214C5" w:rsidR="001B41C9">
        <w:rPr>
          <w:szCs w:val="22"/>
        </w:rPr>
        <w:t xml:space="preserve">carriers have had a reasonable opportunity to </w:t>
      </w:r>
      <w:r w:rsidRPr="006214C5" w:rsidR="001B41C9">
        <w:rPr>
          <w:szCs w:val="22"/>
        </w:rPr>
        <w:t>transition their traffic” to prevent the disruption of services.</w:t>
      </w:r>
      <w:r>
        <w:rPr>
          <w:rStyle w:val="FootnoteReference"/>
          <w:sz w:val="22"/>
        </w:rPr>
        <w:footnoteReference w:id="37"/>
      </w:r>
      <w:r w:rsidRPr="006214C5" w:rsidR="001B41C9">
        <w:rPr>
          <w:szCs w:val="22"/>
        </w:rPr>
        <w:t xml:space="preserve">  </w:t>
      </w:r>
      <w:r w:rsidRPr="006214C5" w:rsidR="006E5CE8">
        <w:rPr>
          <w:szCs w:val="22"/>
        </w:rPr>
        <w:t xml:space="preserve">Northern Valley explained that “[t]his network change will affect the way Northern Valley receives traffic from [IXCs] so it is imperative </w:t>
      </w:r>
      <w:r w:rsidRPr="006214C5" w:rsidR="009D359B">
        <w:rPr>
          <w:szCs w:val="22"/>
        </w:rPr>
        <w:t>that [IXCs] contact Northern Valley’s Network Operations . . . immediately if [IXCs] . . . would like to establish direct trunks to the new tandem.”</w:t>
      </w:r>
      <w:r>
        <w:rPr>
          <w:rStyle w:val="FootnoteReference"/>
          <w:sz w:val="22"/>
        </w:rPr>
        <w:footnoteReference w:id="38"/>
      </w:r>
      <w:r w:rsidRPr="006214C5" w:rsidR="009D359B">
        <w:rPr>
          <w:szCs w:val="22"/>
        </w:rPr>
        <w:t xml:space="preserve">  </w:t>
      </w:r>
      <w:r w:rsidRPr="006214C5" w:rsidR="00B228E6">
        <w:rPr>
          <w:szCs w:val="22"/>
        </w:rPr>
        <w:t xml:space="preserve">What is the volume of traffic that has had to be rerouted to effectuate Northern Valley’s tariff revisions?  </w:t>
      </w:r>
      <w:r w:rsidRPr="006214C5" w:rsidR="00A34BBC">
        <w:rPr>
          <w:szCs w:val="22"/>
        </w:rPr>
        <w:t>How does a 22</w:t>
      </w:r>
      <w:r w:rsidRPr="006214C5" w:rsidR="000D40D7">
        <w:rPr>
          <w:szCs w:val="22"/>
        </w:rPr>
        <w:t>-</w:t>
      </w:r>
      <w:r w:rsidRPr="006214C5" w:rsidR="00A34BBC">
        <w:rPr>
          <w:szCs w:val="22"/>
        </w:rPr>
        <w:t xml:space="preserve">day notice period (December 20, 2019 to January 11, 2020) </w:t>
      </w:r>
      <w:r w:rsidRPr="006214C5" w:rsidR="000F38D1">
        <w:rPr>
          <w:szCs w:val="22"/>
        </w:rPr>
        <w:t>f</w:t>
      </w:r>
      <w:r w:rsidRPr="006214C5" w:rsidR="00DB08B0">
        <w:rPr>
          <w:szCs w:val="22"/>
        </w:rPr>
        <w:t>o</w:t>
      </w:r>
      <w:r w:rsidRPr="006214C5" w:rsidR="000F38D1">
        <w:rPr>
          <w:szCs w:val="22"/>
        </w:rPr>
        <w:t>r</w:t>
      </w:r>
      <w:r w:rsidRPr="006214C5" w:rsidR="00DB08B0">
        <w:rPr>
          <w:szCs w:val="22"/>
        </w:rPr>
        <w:t xml:space="preserve"> IXC</w:t>
      </w:r>
      <w:r w:rsidRPr="006214C5" w:rsidR="00BD739C">
        <w:rPr>
          <w:szCs w:val="22"/>
        </w:rPr>
        <w:t>s</w:t>
      </w:r>
      <w:r w:rsidRPr="006214C5" w:rsidR="00DB08B0">
        <w:rPr>
          <w:szCs w:val="22"/>
        </w:rPr>
        <w:t xml:space="preserve"> to complete necessary network upgrades compare to standard industry practice for transitioning the routing of this volume of calls?   </w:t>
      </w:r>
    </w:p>
    <w:p w:rsidR="007A7935" w:rsidRPr="006214C5" w:rsidP="007C7257" w14:paraId="0FCFB911" w14:textId="076AC6F3">
      <w:pPr>
        <w:pStyle w:val="ParaNum"/>
        <w:rPr>
          <w:szCs w:val="22"/>
        </w:rPr>
      </w:pPr>
      <w:r w:rsidRPr="006214C5">
        <w:rPr>
          <w:szCs w:val="22"/>
        </w:rPr>
        <w:t xml:space="preserve">Northern Valley must explain under what legal authority it acted to unilaterally change its point of interconnection, all of the factors that entered into its decision to change its </w:t>
      </w:r>
      <w:r w:rsidRPr="006214C5" w:rsidR="00957523">
        <w:rPr>
          <w:szCs w:val="22"/>
        </w:rPr>
        <w:t xml:space="preserve">designated </w:t>
      </w:r>
      <w:r w:rsidRPr="006214C5">
        <w:rPr>
          <w:szCs w:val="22"/>
        </w:rPr>
        <w:t>tandem</w:t>
      </w:r>
      <w:r w:rsidRPr="006214C5" w:rsidR="00957523">
        <w:rPr>
          <w:szCs w:val="22"/>
        </w:rPr>
        <w:t xml:space="preserve"> provider from SDN to James Valley</w:t>
      </w:r>
      <w:r w:rsidRPr="006214C5">
        <w:rPr>
          <w:szCs w:val="22"/>
        </w:rPr>
        <w:t xml:space="preserve">, and how </w:t>
      </w:r>
      <w:r w:rsidRPr="006214C5" w:rsidR="00296770">
        <w:rPr>
          <w:szCs w:val="22"/>
        </w:rPr>
        <w:t>Northern Valley’s actions</w:t>
      </w:r>
      <w:r w:rsidRPr="006214C5">
        <w:rPr>
          <w:szCs w:val="22"/>
        </w:rPr>
        <w:t xml:space="preserve"> compare to </w:t>
      </w:r>
      <w:r w:rsidRPr="006214C5" w:rsidR="00296770">
        <w:rPr>
          <w:szCs w:val="22"/>
        </w:rPr>
        <w:t xml:space="preserve">the </w:t>
      </w:r>
      <w:r w:rsidRPr="006214C5">
        <w:rPr>
          <w:szCs w:val="22"/>
        </w:rPr>
        <w:t xml:space="preserve">general industry norms and standards </w:t>
      </w:r>
      <w:r w:rsidRPr="006214C5" w:rsidR="00957523">
        <w:rPr>
          <w:szCs w:val="22"/>
        </w:rPr>
        <w:t>for changing tandem providers or points of interconnection.</w:t>
      </w:r>
      <w:r w:rsidRPr="006214C5">
        <w:rPr>
          <w:szCs w:val="22"/>
        </w:rPr>
        <w:t xml:space="preserve">  Northern Valley must also explain how notice of such a change is implemented in the industry and why Northern Valley believes it may unilaterally establish its </w:t>
      </w:r>
      <w:r w:rsidRPr="006214C5" w:rsidR="00331D65">
        <w:rPr>
          <w:szCs w:val="22"/>
        </w:rPr>
        <w:t>inter</w:t>
      </w:r>
      <w:r w:rsidRPr="006214C5" w:rsidR="000B1CBE">
        <w:rPr>
          <w:szCs w:val="22"/>
        </w:rPr>
        <w:t>c</w:t>
      </w:r>
      <w:r w:rsidRPr="006214C5">
        <w:rPr>
          <w:szCs w:val="22"/>
        </w:rPr>
        <w:t xml:space="preserve">onnection point via tariff or changes to the LERG instead of negotiating new agreements with </w:t>
      </w:r>
      <w:r w:rsidRPr="006214C5" w:rsidR="00957523">
        <w:rPr>
          <w:szCs w:val="22"/>
        </w:rPr>
        <w:t xml:space="preserve">affected </w:t>
      </w:r>
      <w:r w:rsidRPr="006214C5">
        <w:rPr>
          <w:szCs w:val="22"/>
        </w:rPr>
        <w:t>carriers</w:t>
      </w:r>
      <w:r w:rsidRPr="006214C5" w:rsidR="002C1675">
        <w:rPr>
          <w:szCs w:val="22"/>
        </w:rPr>
        <w:t>.</w:t>
      </w:r>
      <w:r w:rsidRPr="006214C5">
        <w:rPr>
          <w:szCs w:val="22"/>
        </w:rPr>
        <w:t xml:space="preserve">  </w:t>
      </w:r>
      <w:r w:rsidRPr="006214C5" w:rsidR="00DB08B0">
        <w:rPr>
          <w:szCs w:val="22"/>
        </w:rPr>
        <w:t xml:space="preserve"> </w:t>
      </w:r>
    </w:p>
    <w:p w:rsidR="00AC20A1" w:rsidRPr="006214C5" w:rsidP="00AC20A1" w14:paraId="2EFB6DC2" w14:textId="2A5F0CCC">
      <w:pPr>
        <w:pStyle w:val="ParaNum"/>
        <w:rPr>
          <w:szCs w:val="22"/>
        </w:rPr>
      </w:pPr>
      <w:r w:rsidRPr="006214C5">
        <w:rPr>
          <w:szCs w:val="22"/>
        </w:rPr>
        <w:t xml:space="preserve">In its Direct Case, </w:t>
      </w:r>
      <w:r w:rsidRPr="006214C5" w:rsidR="00EC757C">
        <w:rPr>
          <w:szCs w:val="22"/>
        </w:rPr>
        <w:t xml:space="preserve">Northern Valley </w:t>
      </w:r>
      <w:r w:rsidRPr="006214C5">
        <w:rPr>
          <w:szCs w:val="22"/>
        </w:rPr>
        <w:t xml:space="preserve">must </w:t>
      </w:r>
      <w:r w:rsidRPr="006214C5" w:rsidR="00296770">
        <w:rPr>
          <w:szCs w:val="22"/>
        </w:rPr>
        <w:t>explain</w:t>
      </w:r>
      <w:r w:rsidRPr="006214C5">
        <w:rPr>
          <w:szCs w:val="22"/>
        </w:rPr>
        <w:t xml:space="preserve"> whether it is </w:t>
      </w:r>
      <w:r w:rsidRPr="006214C5" w:rsidR="00EC757C">
        <w:rPr>
          <w:szCs w:val="22"/>
        </w:rPr>
        <w:t>still accepting IXC traffic routed through SDN, either directly or indirectly</w:t>
      </w:r>
      <w:r w:rsidRPr="006214C5" w:rsidR="00296770">
        <w:rPr>
          <w:szCs w:val="22"/>
        </w:rPr>
        <w:t>.</w:t>
      </w:r>
      <w:r w:rsidRPr="006214C5" w:rsidR="00EC757C">
        <w:rPr>
          <w:szCs w:val="22"/>
        </w:rPr>
        <w:t xml:space="preserve">  Does Northern Valley maintain a direct connection between its switch and SDN?  </w:t>
      </w:r>
      <w:r w:rsidRPr="006214C5" w:rsidR="003A7207">
        <w:rPr>
          <w:szCs w:val="22"/>
        </w:rPr>
        <w:t>Alternatively, d</w:t>
      </w:r>
      <w:r w:rsidRPr="006214C5" w:rsidR="00EC757C">
        <w:rPr>
          <w:szCs w:val="22"/>
        </w:rPr>
        <w:t xml:space="preserve">oes James Valley maintain a direct connection between its switch and SDN?  Can an IXC route traffic </w:t>
      </w:r>
      <w:r w:rsidRPr="006214C5" w:rsidR="003867E1">
        <w:rPr>
          <w:szCs w:val="22"/>
        </w:rPr>
        <w:t>through</w:t>
      </w:r>
      <w:r w:rsidRPr="006214C5" w:rsidR="00EC757C">
        <w:rPr>
          <w:szCs w:val="22"/>
        </w:rPr>
        <w:t xml:space="preserve"> SDN to either James Valley or Northern Valley (directly or indirectly)?  </w:t>
      </w:r>
      <w:r w:rsidRPr="006214C5" w:rsidR="003A7207">
        <w:rPr>
          <w:szCs w:val="22"/>
        </w:rPr>
        <w:t xml:space="preserve">If so, does Northern Valley pay for any of the traffic routed through SDN?  </w:t>
      </w:r>
      <w:r w:rsidRPr="006214C5" w:rsidR="007A7935">
        <w:rPr>
          <w:szCs w:val="22"/>
        </w:rPr>
        <w:t xml:space="preserve">If Northern Valley </w:t>
      </w:r>
      <w:r w:rsidRPr="006214C5" w:rsidR="003A7207">
        <w:rPr>
          <w:szCs w:val="22"/>
        </w:rPr>
        <w:t xml:space="preserve">does </w:t>
      </w:r>
      <w:r w:rsidRPr="006214C5" w:rsidR="007A7935">
        <w:rPr>
          <w:szCs w:val="22"/>
        </w:rPr>
        <w:t xml:space="preserve">pay for </w:t>
      </w:r>
      <w:r w:rsidRPr="006214C5" w:rsidR="003A7207">
        <w:rPr>
          <w:szCs w:val="22"/>
        </w:rPr>
        <w:t xml:space="preserve">such </w:t>
      </w:r>
      <w:r w:rsidRPr="006214C5" w:rsidR="007A7935">
        <w:rPr>
          <w:szCs w:val="22"/>
        </w:rPr>
        <w:t>traffic</w:t>
      </w:r>
      <w:r w:rsidRPr="006214C5" w:rsidR="003A7207">
        <w:rPr>
          <w:szCs w:val="22"/>
        </w:rPr>
        <w:t>, it</w:t>
      </w:r>
      <w:r w:rsidRPr="006214C5" w:rsidR="007A7935">
        <w:rPr>
          <w:szCs w:val="22"/>
        </w:rPr>
        <w:t xml:space="preserve"> must identify the rates it is paying SDN and the </w:t>
      </w:r>
      <w:r w:rsidRPr="006214C5" w:rsidR="003A7207">
        <w:rPr>
          <w:szCs w:val="22"/>
        </w:rPr>
        <w:t xml:space="preserve">SDN </w:t>
      </w:r>
      <w:r w:rsidRPr="006214C5" w:rsidR="007A7935">
        <w:rPr>
          <w:szCs w:val="22"/>
        </w:rPr>
        <w:t>tariff provisions</w:t>
      </w:r>
      <w:r w:rsidRPr="006214C5" w:rsidR="003A7207">
        <w:rPr>
          <w:szCs w:val="22"/>
        </w:rPr>
        <w:t xml:space="preserve"> governing those rates</w:t>
      </w:r>
      <w:r w:rsidRPr="006214C5" w:rsidR="007A7935">
        <w:rPr>
          <w:szCs w:val="22"/>
        </w:rPr>
        <w:t>.  And if Northern Valley does still accept IXC traffic routed through SDN’s tandem, Northern Valley must explain and justify how such routing is consistent with its new tariff provisions</w:t>
      </w:r>
      <w:r w:rsidRPr="006214C5" w:rsidR="001134E4">
        <w:rPr>
          <w:szCs w:val="22"/>
        </w:rPr>
        <w:t xml:space="preserve">. </w:t>
      </w:r>
      <w:r w:rsidRPr="006214C5" w:rsidR="00E203B9">
        <w:rPr>
          <w:szCs w:val="22"/>
        </w:rPr>
        <w:t xml:space="preserve"> </w:t>
      </w:r>
    </w:p>
    <w:p w:rsidR="001B41C9" w:rsidRPr="006214C5" w:rsidP="006E75ED" w14:paraId="7EAE883C" w14:textId="45439A25">
      <w:pPr>
        <w:pStyle w:val="ParaNum"/>
        <w:rPr>
          <w:szCs w:val="22"/>
        </w:rPr>
      </w:pPr>
      <w:r w:rsidRPr="006214C5">
        <w:rPr>
          <w:szCs w:val="22"/>
        </w:rPr>
        <w:t xml:space="preserve">Northern Valley </w:t>
      </w:r>
      <w:r w:rsidR="004E4B8F">
        <w:rPr>
          <w:szCs w:val="22"/>
        </w:rPr>
        <w:t xml:space="preserve">must </w:t>
      </w:r>
      <w:r w:rsidRPr="006214C5">
        <w:rPr>
          <w:szCs w:val="22"/>
        </w:rPr>
        <w:t xml:space="preserve">submit </w:t>
      </w:r>
      <w:r w:rsidRPr="006214C5" w:rsidR="00D54915">
        <w:rPr>
          <w:szCs w:val="22"/>
        </w:rPr>
        <w:t>any</w:t>
      </w:r>
      <w:r w:rsidRPr="006214C5">
        <w:rPr>
          <w:szCs w:val="22"/>
        </w:rPr>
        <w:t xml:space="preserve"> interconnection agreement</w:t>
      </w:r>
      <w:r w:rsidR="004E4B8F">
        <w:rPr>
          <w:szCs w:val="22"/>
        </w:rPr>
        <w:t xml:space="preserve"> it has</w:t>
      </w:r>
      <w:r w:rsidRPr="006214C5">
        <w:rPr>
          <w:szCs w:val="22"/>
        </w:rPr>
        <w:t xml:space="preserve"> with James Valley as well as any other interconnection agreements Northern Valley</w:t>
      </w:r>
      <w:r w:rsidRPr="006214C5" w:rsidR="00296770">
        <w:rPr>
          <w:szCs w:val="22"/>
        </w:rPr>
        <w:t xml:space="preserve"> is a party to</w:t>
      </w:r>
      <w:r w:rsidRPr="006214C5">
        <w:rPr>
          <w:szCs w:val="22"/>
        </w:rPr>
        <w:t xml:space="preserve"> (for direct or indirect interconnection).</w:t>
      </w:r>
      <w:r w:rsidRPr="006214C5" w:rsidR="003867E1">
        <w:rPr>
          <w:szCs w:val="22"/>
        </w:rPr>
        <w:t xml:space="preserve"> </w:t>
      </w:r>
      <w:r w:rsidRPr="006214C5">
        <w:rPr>
          <w:szCs w:val="22"/>
        </w:rPr>
        <w:t xml:space="preserve"> </w:t>
      </w:r>
      <w:r w:rsidRPr="006214C5" w:rsidR="00E203B9">
        <w:rPr>
          <w:szCs w:val="22"/>
        </w:rPr>
        <w:t xml:space="preserve">Northern Valley must also provide information regarding any </w:t>
      </w:r>
      <w:r w:rsidRPr="006214C5" w:rsidR="000B1CBE">
        <w:rPr>
          <w:szCs w:val="22"/>
        </w:rPr>
        <w:t xml:space="preserve">other </w:t>
      </w:r>
      <w:r w:rsidRPr="006214C5" w:rsidR="00E203B9">
        <w:rPr>
          <w:szCs w:val="22"/>
        </w:rPr>
        <w:t xml:space="preserve">commercial agreements </w:t>
      </w:r>
      <w:r w:rsidRPr="006214C5" w:rsidR="00D54915">
        <w:rPr>
          <w:szCs w:val="22"/>
        </w:rPr>
        <w:t xml:space="preserve">with James Valley or any other entity which </w:t>
      </w:r>
      <w:r w:rsidRPr="006214C5" w:rsidR="00E203B9">
        <w:rPr>
          <w:szCs w:val="22"/>
        </w:rPr>
        <w:t xml:space="preserve">it relies on to receive traffic bound for either Northern Valley or for James Valley’s tandem switch.  In addition, Northern Valley must provide all information related to any revenue-sharing agreements it is a party to, </w:t>
      </w:r>
      <w:r w:rsidRPr="006214C5" w:rsidR="005F13E6">
        <w:rPr>
          <w:szCs w:val="22"/>
        </w:rPr>
        <w:t xml:space="preserve">including similar financial arrangements, </w:t>
      </w:r>
      <w:r w:rsidRPr="006214C5" w:rsidR="00E203B9">
        <w:rPr>
          <w:szCs w:val="22"/>
        </w:rPr>
        <w:t>whether with an affiliated or non-affiliated entity.</w:t>
      </w:r>
      <w:r>
        <w:rPr>
          <w:rStyle w:val="FootnoteReference"/>
          <w:sz w:val="22"/>
        </w:rPr>
        <w:footnoteReference w:id="39"/>
      </w:r>
      <w:r w:rsidRPr="006214C5" w:rsidR="00E203B9">
        <w:rPr>
          <w:szCs w:val="22"/>
        </w:rPr>
        <w:t xml:space="preserve">  </w:t>
      </w:r>
    </w:p>
    <w:p w:rsidR="000872E1" w:rsidRPr="006214C5" w:rsidP="00C27B47" w14:paraId="08AD610F" w14:textId="77777777">
      <w:pPr>
        <w:pStyle w:val="Heading2"/>
        <w:rPr>
          <w:szCs w:val="22"/>
        </w:rPr>
      </w:pPr>
      <w:r>
        <w:t xml:space="preserve">Compliance with the </w:t>
      </w:r>
      <w:r w:rsidR="00BD702E">
        <w:t xml:space="preserve">Communications </w:t>
      </w:r>
      <w:r>
        <w:t>Act,</w:t>
      </w:r>
      <w:r w:rsidR="00DB08B0">
        <w:t xml:space="preserve"> the</w:t>
      </w:r>
      <w:r>
        <w:t xml:space="preserve"> </w:t>
      </w:r>
      <w:r>
        <w:rPr>
          <w:i/>
          <w:iCs/>
        </w:rPr>
        <w:t>Access Arbitrage Order</w:t>
      </w:r>
      <w:r>
        <w:t xml:space="preserve">, and </w:t>
      </w:r>
      <w:r w:rsidR="00DB08B0">
        <w:t xml:space="preserve">the </w:t>
      </w:r>
      <w:r w:rsidR="00DA6601">
        <w:t xml:space="preserve">Access Stimulation </w:t>
      </w:r>
      <w:r>
        <w:t>Rules</w:t>
      </w:r>
    </w:p>
    <w:p w:rsidR="00DA1092" w:rsidRPr="006214C5" w:rsidP="005B53BF" w14:paraId="7E712847" w14:textId="77777777">
      <w:pPr>
        <w:pStyle w:val="ParaNum"/>
        <w:widowControl/>
        <w:rPr>
          <w:szCs w:val="22"/>
        </w:rPr>
      </w:pPr>
      <w:r w:rsidRPr="006214C5">
        <w:rPr>
          <w:szCs w:val="22"/>
        </w:rPr>
        <w:t>W</w:t>
      </w:r>
      <w:r w:rsidRPr="006214C5" w:rsidR="00CE76DC">
        <w:rPr>
          <w:szCs w:val="22"/>
        </w:rPr>
        <w:t xml:space="preserve">e designate for investigation under sections 204 and 205 of the Act whether Northern Valley’s tariff revisions </w:t>
      </w:r>
      <w:r w:rsidRPr="006214C5">
        <w:rPr>
          <w:szCs w:val="22"/>
        </w:rPr>
        <w:t>designating James Valley as its tandem provider</w:t>
      </w:r>
      <w:r w:rsidRPr="006214C5" w:rsidR="009C55B9">
        <w:rPr>
          <w:szCs w:val="22"/>
        </w:rPr>
        <w:t xml:space="preserve"> and</w:t>
      </w:r>
      <w:r w:rsidRPr="006214C5">
        <w:rPr>
          <w:szCs w:val="22"/>
        </w:rPr>
        <w:t xml:space="preserve"> necessitating Northern Valley’s</w:t>
      </w:r>
      <w:r w:rsidRPr="006214C5" w:rsidR="00B129AA">
        <w:rPr>
          <w:szCs w:val="22"/>
        </w:rPr>
        <w:t xml:space="preserve"> connection to a new tandem that is </w:t>
      </w:r>
      <w:r w:rsidRPr="006214C5" w:rsidR="00FC675A">
        <w:rPr>
          <w:szCs w:val="22"/>
        </w:rPr>
        <w:t xml:space="preserve">apparently </w:t>
      </w:r>
      <w:r w:rsidRPr="006214C5" w:rsidR="00B129AA">
        <w:rPr>
          <w:szCs w:val="22"/>
        </w:rPr>
        <w:t xml:space="preserve">not directly connected to IXCs, </w:t>
      </w:r>
      <w:r w:rsidRPr="006214C5" w:rsidR="00D36330">
        <w:rPr>
          <w:szCs w:val="22"/>
        </w:rPr>
        <w:t xml:space="preserve">are </w:t>
      </w:r>
      <w:r w:rsidRPr="006214C5" w:rsidR="00E035E6">
        <w:rPr>
          <w:szCs w:val="22"/>
        </w:rPr>
        <w:t xml:space="preserve">lawful under </w:t>
      </w:r>
      <w:r w:rsidRPr="006214C5" w:rsidR="00CE76DC">
        <w:rPr>
          <w:szCs w:val="22"/>
        </w:rPr>
        <w:t>section</w:t>
      </w:r>
      <w:r w:rsidRPr="006214C5" w:rsidR="00E035E6">
        <w:rPr>
          <w:szCs w:val="22"/>
        </w:rPr>
        <w:t>s</w:t>
      </w:r>
      <w:r w:rsidRPr="006214C5" w:rsidR="00CE76DC">
        <w:rPr>
          <w:szCs w:val="22"/>
        </w:rPr>
        <w:t xml:space="preserve"> 201 </w:t>
      </w:r>
      <w:r w:rsidRPr="006214C5" w:rsidR="00D36330">
        <w:rPr>
          <w:szCs w:val="22"/>
        </w:rPr>
        <w:t xml:space="preserve">or </w:t>
      </w:r>
      <w:r w:rsidRPr="006214C5" w:rsidR="00CE76DC">
        <w:rPr>
          <w:szCs w:val="22"/>
        </w:rPr>
        <w:t>202 of the Act.</w:t>
      </w:r>
      <w:r>
        <w:rPr>
          <w:rStyle w:val="FootnoteReference"/>
          <w:sz w:val="22"/>
        </w:rPr>
        <w:footnoteReference w:id="40"/>
      </w:r>
      <w:r w:rsidRPr="006214C5" w:rsidR="00CE76DC">
        <w:rPr>
          <w:szCs w:val="22"/>
        </w:rPr>
        <w:t xml:space="preserve">  We also designate for investigation whether Northern Valley’s tariff revis</w:t>
      </w:r>
      <w:r w:rsidRPr="006214C5" w:rsidR="003160E9">
        <w:rPr>
          <w:szCs w:val="22"/>
        </w:rPr>
        <w:t>i</w:t>
      </w:r>
      <w:r w:rsidRPr="006214C5" w:rsidR="00CE76DC">
        <w:rPr>
          <w:szCs w:val="22"/>
        </w:rPr>
        <w:t xml:space="preserve">ons comply with the </w:t>
      </w:r>
      <w:r w:rsidRPr="006214C5" w:rsidR="00CE76DC">
        <w:rPr>
          <w:i/>
          <w:iCs/>
          <w:szCs w:val="22"/>
        </w:rPr>
        <w:t xml:space="preserve">Access Arbitrage </w:t>
      </w:r>
      <w:bookmarkStart w:id="8" w:name="_Hlk32393468"/>
      <w:r w:rsidRPr="006214C5" w:rsidR="00CE76DC">
        <w:rPr>
          <w:i/>
          <w:iCs/>
          <w:szCs w:val="22"/>
        </w:rPr>
        <w:t>Order</w:t>
      </w:r>
      <w:bookmarkEnd w:id="8"/>
      <w:r w:rsidRPr="006214C5" w:rsidR="00CE76DC">
        <w:rPr>
          <w:szCs w:val="22"/>
        </w:rPr>
        <w:t xml:space="preserve"> and </w:t>
      </w:r>
      <w:r w:rsidRPr="006214C5" w:rsidR="006D325B">
        <w:rPr>
          <w:szCs w:val="22"/>
        </w:rPr>
        <w:t xml:space="preserve">the </w:t>
      </w:r>
      <w:r w:rsidRPr="006214C5" w:rsidR="00463717">
        <w:rPr>
          <w:szCs w:val="22"/>
        </w:rPr>
        <w:t>Access Stimulation Rules</w:t>
      </w:r>
      <w:r w:rsidRPr="006214C5" w:rsidR="00CE76DC">
        <w:rPr>
          <w:szCs w:val="22"/>
        </w:rPr>
        <w:t>.</w:t>
      </w:r>
      <w:r>
        <w:rPr>
          <w:rStyle w:val="FootnoteReference"/>
          <w:sz w:val="22"/>
        </w:rPr>
        <w:footnoteReference w:id="41"/>
      </w:r>
      <w:r w:rsidRPr="006214C5" w:rsidR="00CE76DC">
        <w:rPr>
          <w:szCs w:val="22"/>
        </w:rPr>
        <w:t xml:space="preserve"> </w:t>
      </w:r>
    </w:p>
    <w:p w:rsidR="00DA1092" w:rsidRPr="006214C5" w:rsidP="007A52E0" w14:paraId="562335F6" w14:textId="77777777">
      <w:pPr>
        <w:pStyle w:val="ParaNum"/>
        <w:rPr>
          <w:szCs w:val="22"/>
        </w:rPr>
      </w:pPr>
      <w:r w:rsidRPr="006214C5">
        <w:rPr>
          <w:szCs w:val="22"/>
        </w:rPr>
        <w:t xml:space="preserve">The Commission </w:t>
      </w:r>
      <w:r w:rsidRPr="006214C5" w:rsidR="000F7D41">
        <w:rPr>
          <w:szCs w:val="22"/>
        </w:rPr>
        <w:t xml:space="preserve">found </w:t>
      </w:r>
      <w:r w:rsidRPr="006214C5">
        <w:rPr>
          <w:szCs w:val="22"/>
        </w:rPr>
        <w:t>that requiring IXCs to pay the tandem switching and tandem switched transport access charges for terminating access-stimulation traffic is an unjust and unreasonable practice under section 201(b) of the Act.</w:t>
      </w:r>
      <w:r>
        <w:rPr>
          <w:rStyle w:val="FootnoteReference"/>
          <w:sz w:val="22"/>
        </w:rPr>
        <w:footnoteReference w:id="42"/>
      </w:r>
      <w:r w:rsidRPr="006214C5" w:rsidR="000F7D41">
        <w:rPr>
          <w:szCs w:val="22"/>
        </w:rPr>
        <w:t xml:space="preserve">  As a result, the Commission required any access-stimulating LEC “to bear financial responsibility for </w:t>
      </w:r>
      <w:r w:rsidRPr="006214C5" w:rsidR="000F7D41">
        <w:rPr>
          <w:i/>
          <w:iCs/>
          <w:szCs w:val="22"/>
        </w:rPr>
        <w:t>all</w:t>
      </w:r>
      <w:r w:rsidRPr="006214C5" w:rsidR="000F7D41">
        <w:rPr>
          <w:szCs w:val="22"/>
        </w:rPr>
        <w:t xml:space="preserve"> interstate and intrastate tandem switching and transport charges for terminating traffic to its own end office(s) or functional equivalent whether terminated directly or indirectly.”</w:t>
      </w:r>
      <w:r>
        <w:rPr>
          <w:rStyle w:val="FootnoteReference"/>
          <w:sz w:val="22"/>
        </w:rPr>
        <w:footnoteReference w:id="43"/>
      </w:r>
      <w:r w:rsidRPr="006214C5" w:rsidR="000F7D41">
        <w:rPr>
          <w:szCs w:val="22"/>
        </w:rPr>
        <w:t xml:space="preserve"> </w:t>
      </w:r>
      <w:r w:rsidRPr="006214C5">
        <w:rPr>
          <w:szCs w:val="22"/>
        </w:rPr>
        <w:t xml:space="preserve"> </w:t>
      </w:r>
      <w:r w:rsidRPr="006214C5" w:rsidR="000F7D41">
        <w:rPr>
          <w:szCs w:val="22"/>
        </w:rPr>
        <w:t>It appears that</w:t>
      </w:r>
      <w:r w:rsidRPr="006214C5" w:rsidR="00FE2D75">
        <w:rPr>
          <w:szCs w:val="22"/>
        </w:rPr>
        <w:t>,</w:t>
      </w:r>
      <w:r w:rsidRPr="006214C5" w:rsidR="000F7D41">
        <w:rPr>
          <w:szCs w:val="22"/>
        </w:rPr>
        <w:t xml:space="preserve"> under the tariff revisions,</w:t>
      </w:r>
      <w:r w:rsidRPr="006214C5" w:rsidR="00DE39DB">
        <w:rPr>
          <w:szCs w:val="22"/>
        </w:rPr>
        <w:t xml:space="preserve"> Northern Valley expects </w:t>
      </w:r>
      <w:r w:rsidRPr="006214C5" w:rsidR="000F7D41">
        <w:rPr>
          <w:szCs w:val="22"/>
        </w:rPr>
        <w:t xml:space="preserve">IXCs </w:t>
      </w:r>
      <w:r w:rsidRPr="006214C5" w:rsidR="00FE2D75">
        <w:rPr>
          <w:szCs w:val="22"/>
        </w:rPr>
        <w:t xml:space="preserve">to bear the costs of </w:t>
      </w:r>
      <w:r w:rsidRPr="006214C5" w:rsidR="000F7D41">
        <w:rPr>
          <w:szCs w:val="22"/>
        </w:rPr>
        <w:t xml:space="preserve">delivering to James Valley traffic bound for Northern Valley.  </w:t>
      </w:r>
      <w:r w:rsidRPr="006214C5" w:rsidR="00CC1E46">
        <w:rPr>
          <w:szCs w:val="22"/>
        </w:rPr>
        <w:t>In its Direct Case, Northern Valley must justify why its decision to name a single tandem</w:t>
      </w:r>
      <w:r w:rsidRPr="006214C5" w:rsidR="008A62C5">
        <w:rPr>
          <w:szCs w:val="22"/>
        </w:rPr>
        <w:t xml:space="preserve">, affiliated with Northern Valley, </w:t>
      </w:r>
      <w:r w:rsidRPr="006214C5" w:rsidR="00DE39DB">
        <w:rPr>
          <w:szCs w:val="22"/>
        </w:rPr>
        <w:t xml:space="preserve">apparently not directly connected to the IXCs, </w:t>
      </w:r>
      <w:r w:rsidRPr="006214C5" w:rsidR="008A62C5">
        <w:rPr>
          <w:szCs w:val="22"/>
        </w:rPr>
        <w:t>and</w:t>
      </w:r>
      <w:r w:rsidRPr="006214C5" w:rsidR="00CC1E46">
        <w:rPr>
          <w:szCs w:val="22"/>
        </w:rPr>
        <w:t xml:space="preserve"> located a significant distance from its previous tandem connection point is not an unjust or unre</w:t>
      </w:r>
      <w:r w:rsidRPr="006214C5" w:rsidR="003160E9">
        <w:rPr>
          <w:szCs w:val="22"/>
        </w:rPr>
        <w:t>a</w:t>
      </w:r>
      <w:r w:rsidRPr="006214C5" w:rsidR="00CC1E46">
        <w:rPr>
          <w:szCs w:val="22"/>
        </w:rPr>
        <w:t>sonable practice</w:t>
      </w:r>
      <w:r w:rsidRPr="006214C5" w:rsidR="00972F42">
        <w:rPr>
          <w:szCs w:val="22"/>
        </w:rPr>
        <w:t>.</w:t>
      </w:r>
    </w:p>
    <w:p w:rsidR="00695A59" w:rsidRPr="006214C5" w:rsidP="00714E1E" w14:paraId="1FD9F61C" w14:textId="77777777">
      <w:pPr>
        <w:pStyle w:val="ParaNum"/>
        <w:rPr>
          <w:szCs w:val="22"/>
        </w:rPr>
      </w:pPr>
      <w:r w:rsidRPr="006214C5">
        <w:rPr>
          <w:szCs w:val="22"/>
        </w:rPr>
        <w:t xml:space="preserve">The Commission’s </w:t>
      </w:r>
      <w:r w:rsidRPr="006214C5" w:rsidR="00FA6DF8">
        <w:rPr>
          <w:szCs w:val="22"/>
        </w:rPr>
        <w:t>A</w:t>
      </w:r>
      <w:r w:rsidRPr="006214C5">
        <w:rPr>
          <w:szCs w:val="22"/>
        </w:rPr>
        <w:t>ccess</w:t>
      </w:r>
      <w:r w:rsidRPr="006214C5" w:rsidR="00FA6DF8">
        <w:rPr>
          <w:szCs w:val="22"/>
        </w:rPr>
        <w:t xml:space="preserve"> Stimulation R</w:t>
      </w:r>
      <w:r w:rsidRPr="006214C5">
        <w:rPr>
          <w:szCs w:val="22"/>
        </w:rPr>
        <w:t>ules, implementing the just and reasonable framework of section 201(b), “advance policies in sections 251, 254, and 256 of the Act,” including promoting efficient marketplace behavior and avoiding implicit subsidies.</w:t>
      </w:r>
      <w:r>
        <w:rPr>
          <w:szCs w:val="22"/>
          <w:vertAlign w:val="superscript"/>
        </w:rPr>
        <w:footnoteReference w:id="44"/>
      </w:r>
      <w:r w:rsidRPr="006214C5">
        <w:rPr>
          <w:szCs w:val="22"/>
        </w:rPr>
        <w:t xml:space="preserve">  Section 256, for example, “promote[s] nondiscriminatory accessibility by the broadest number of users and vendors of communications products and services . . . through . . . coordinated public telecommunications network planning and design.”</w:t>
      </w:r>
      <w:r>
        <w:rPr>
          <w:szCs w:val="22"/>
          <w:vertAlign w:val="superscript"/>
        </w:rPr>
        <w:footnoteReference w:id="45"/>
      </w:r>
      <w:r w:rsidRPr="006214C5">
        <w:rPr>
          <w:szCs w:val="22"/>
        </w:rPr>
        <w:t xml:space="preserve">  In its Direct Case, Northern Valley must explain how its designation of, and connection to, the James Valley tandem switch and possible disconnection from the SDN tandem switch, including its coordination with other providers responsible for delivering calls to Northern Valley to prevent service disruptions, comply with these requirements.</w:t>
      </w:r>
      <w:r w:rsidRPr="006214C5" w:rsidR="00797B2C">
        <w:rPr>
          <w:szCs w:val="22"/>
        </w:rPr>
        <w:t xml:space="preserve">  </w:t>
      </w:r>
    </w:p>
    <w:p w:rsidR="00F70A4A" w:rsidRPr="006214C5" w:rsidP="009172D9" w14:paraId="07C35E8D" w14:textId="2F610F49">
      <w:pPr>
        <w:pStyle w:val="ParaNum"/>
        <w:widowControl/>
        <w:rPr>
          <w:szCs w:val="22"/>
        </w:rPr>
      </w:pPr>
      <w:r w:rsidRPr="006214C5">
        <w:rPr>
          <w:szCs w:val="22"/>
        </w:rPr>
        <w:t xml:space="preserve">In its Direct Case, Northern Valley must </w:t>
      </w:r>
      <w:r w:rsidRPr="006214C5" w:rsidR="007A2276">
        <w:rPr>
          <w:szCs w:val="22"/>
        </w:rPr>
        <w:t xml:space="preserve">also </w:t>
      </w:r>
      <w:r w:rsidRPr="006214C5">
        <w:rPr>
          <w:szCs w:val="22"/>
        </w:rPr>
        <w:t xml:space="preserve">explain how limiting its financial responsibility to only James Valley’s charges is consistent with the </w:t>
      </w:r>
      <w:r w:rsidRPr="006214C5" w:rsidR="007A2276">
        <w:rPr>
          <w:szCs w:val="22"/>
        </w:rPr>
        <w:t>Commission’s decision “reversing the financial responsibility for paying tandem switching and transport, from IXCs to access-stimulating LECs.”</w:t>
      </w:r>
      <w:r>
        <w:rPr>
          <w:szCs w:val="22"/>
          <w:vertAlign w:val="superscript"/>
        </w:rPr>
        <w:footnoteReference w:id="46"/>
      </w:r>
      <w:r w:rsidRPr="006214C5">
        <w:rPr>
          <w:szCs w:val="22"/>
        </w:rPr>
        <w:t xml:space="preserve">  </w:t>
      </w:r>
      <w:r w:rsidRPr="006214C5" w:rsidR="006D6887">
        <w:rPr>
          <w:szCs w:val="22"/>
        </w:rPr>
        <w:t xml:space="preserve">Northern Valley must explain how its tariff revisions are consistent with the Commission’s </w:t>
      </w:r>
      <w:r w:rsidRPr="006214C5" w:rsidR="000F7D41">
        <w:rPr>
          <w:szCs w:val="22"/>
        </w:rPr>
        <w:t xml:space="preserve">express </w:t>
      </w:r>
      <w:r w:rsidRPr="006214C5" w:rsidR="006D6887">
        <w:rPr>
          <w:szCs w:val="22"/>
        </w:rPr>
        <w:t xml:space="preserve">intent in the </w:t>
      </w:r>
      <w:r w:rsidRPr="006214C5" w:rsidR="00953C56">
        <w:rPr>
          <w:i/>
          <w:iCs/>
          <w:szCs w:val="22"/>
        </w:rPr>
        <w:t xml:space="preserve">Access Arbitrage </w:t>
      </w:r>
      <w:r w:rsidRPr="006214C5" w:rsidR="006D6887">
        <w:rPr>
          <w:i/>
          <w:iCs/>
          <w:szCs w:val="22"/>
        </w:rPr>
        <w:t>Order</w:t>
      </w:r>
      <w:r w:rsidRPr="006214C5" w:rsidR="006D6887">
        <w:rPr>
          <w:szCs w:val="22"/>
        </w:rPr>
        <w:t xml:space="preserve"> </w:t>
      </w:r>
      <w:bookmarkStart w:id="9" w:name="_Hlk32408072"/>
      <w:r w:rsidRPr="006214C5" w:rsidR="006D6887">
        <w:rPr>
          <w:szCs w:val="22"/>
        </w:rPr>
        <w:t>“to encourage terminating LECs to make efficient choices” by making access-stimulating LECs accountable for the cost implications of their routing decisions.</w:t>
      </w:r>
      <w:r>
        <w:rPr>
          <w:szCs w:val="22"/>
          <w:vertAlign w:val="superscript"/>
        </w:rPr>
        <w:footnoteReference w:id="47"/>
      </w:r>
      <w:r w:rsidRPr="006214C5" w:rsidR="006D6887">
        <w:rPr>
          <w:szCs w:val="22"/>
        </w:rPr>
        <w:t xml:space="preserve"> </w:t>
      </w:r>
      <w:bookmarkEnd w:id="9"/>
      <w:r w:rsidRPr="006214C5" w:rsidR="00262E26">
        <w:rPr>
          <w:szCs w:val="22"/>
        </w:rPr>
        <w:t xml:space="preserve"> </w:t>
      </w:r>
      <w:r w:rsidRPr="006214C5" w:rsidR="00051229">
        <w:rPr>
          <w:szCs w:val="22"/>
        </w:rPr>
        <w:t xml:space="preserve">If IXCs can route traffic to Northern Valley through Intermediate Access Providers other than James Valley, then Northern Valley must explain and justify which carrier(s) would be financially responsible for the tandem transport and switching charges incurred in connection with such traffic.  For example, if Northern Valley interprets its tariff revisions as requiring IXCs to pay any SDN tandem switching and </w:t>
      </w:r>
      <w:r w:rsidRPr="006214C5" w:rsidR="00051229">
        <w:rPr>
          <w:szCs w:val="22"/>
        </w:rPr>
        <w:t xml:space="preserve">transport charges if IXCs use the SDN tandem to route calls to Northern Valley, Northern Valley must describe how that requirement is consistent with the </w:t>
      </w:r>
      <w:r w:rsidRPr="006214C5" w:rsidR="00051229">
        <w:rPr>
          <w:i/>
          <w:iCs/>
          <w:szCs w:val="22"/>
        </w:rPr>
        <w:t>Access Arbitrage Order</w:t>
      </w:r>
      <w:r w:rsidRPr="006214C5" w:rsidR="00072F22">
        <w:rPr>
          <w:szCs w:val="22"/>
        </w:rPr>
        <w:t>.</w:t>
      </w:r>
      <w:r w:rsidRPr="006214C5" w:rsidR="00051229">
        <w:rPr>
          <w:i/>
          <w:iCs/>
          <w:szCs w:val="22"/>
        </w:rPr>
        <w:t xml:space="preserve"> </w:t>
      </w:r>
    </w:p>
    <w:p w:rsidR="00002E82" w:rsidRPr="006214C5" w:rsidP="00002E82" w14:paraId="6D0EFA8C" w14:textId="645338E2">
      <w:pPr>
        <w:pStyle w:val="ParaNum"/>
        <w:rPr>
          <w:szCs w:val="22"/>
        </w:rPr>
      </w:pPr>
      <w:r w:rsidRPr="006214C5">
        <w:rPr>
          <w:szCs w:val="22"/>
        </w:rPr>
        <w:t>We also designate for investigation whether Northern Valley</w:t>
      </w:r>
      <w:r w:rsidRPr="006214C5" w:rsidR="00547114">
        <w:rPr>
          <w:szCs w:val="22"/>
        </w:rPr>
        <w:t>’</w:t>
      </w:r>
      <w:r w:rsidRPr="006214C5">
        <w:rPr>
          <w:szCs w:val="22"/>
        </w:rPr>
        <w:t xml:space="preserve">s tariff revisions </w:t>
      </w:r>
      <w:r w:rsidRPr="006214C5" w:rsidR="007418A6">
        <w:rPr>
          <w:szCs w:val="22"/>
        </w:rPr>
        <w:t xml:space="preserve">are consistent with </w:t>
      </w:r>
      <w:r w:rsidRPr="006214C5" w:rsidR="00D05A3B">
        <w:rPr>
          <w:szCs w:val="22"/>
        </w:rPr>
        <w:t>the Commission’s</w:t>
      </w:r>
      <w:r w:rsidRPr="006214C5" w:rsidR="007418A6">
        <w:rPr>
          <w:szCs w:val="22"/>
        </w:rPr>
        <w:t xml:space="preserve"> </w:t>
      </w:r>
      <w:r w:rsidRPr="006214C5" w:rsidR="00451835">
        <w:rPr>
          <w:szCs w:val="22"/>
        </w:rPr>
        <w:t xml:space="preserve">Access Stimulation </w:t>
      </w:r>
      <w:r w:rsidRPr="006214C5" w:rsidR="00FA6DF8">
        <w:rPr>
          <w:szCs w:val="22"/>
        </w:rPr>
        <w:t>R</w:t>
      </w:r>
      <w:r w:rsidRPr="006214C5" w:rsidR="007418A6">
        <w:rPr>
          <w:szCs w:val="22"/>
        </w:rPr>
        <w:t xml:space="preserve">ules.  </w:t>
      </w:r>
      <w:r w:rsidRPr="006214C5">
        <w:rPr>
          <w:szCs w:val="22"/>
        </w:rPr>
        <w:t>Although Northern Valley claims that it</w:t>
      </w:r>
      <w:r w:rsidRPr="006214C5">
        <w:rPr>
          <w:szCs w:val="22"/>
        </w:rPr>
        <w:t xml:space="preserve"> revised its tariff </w:t>
      </w:r>
      <w:r w:rsidRPr="006214C5">
        <w:rPr>
          <w:szCs w:val="22"/>
        </w:rPr>
        <w:t>“to support 47 C.F.R. § 51.914 with regards to Access Stimulation</w:t>
      </w:r>
      <w:r w:rsidR="002F55A5">
        <w:rPr>
          <w:szCs w:val="22"/>
        </w:rPr>
        <w:t>,</w:t>
      </w:r>
      <w:r w:rsidRPr="006214C5">
        <w:rPr>
          <w:szCs w:val="22"/>
        </w:rPr>
        <w:t>”</w:t>
      </w:r>
      <w:r>
        <w:rPr>
          <w:szCs w:val="22"/>
          <w:vertAlign w:val="superscript"/>
        </w:rPr>
        <w:footnoteReference w:id="48"/>
      </w:r>
      <w:r w:rsidRPr="006214C5" w:rsidR="00AC40F6">
        <w:rPr>
          <w:szCs w:val="22"/>
        </w:rPr>
        <w:t xml:space="preserve"> </w:t>
      </w:r>
      <w:r w:rsidRPr="006214C5" w:rsidR="00525CC1">
        <w:rPr>
          <w:szCs w:val="22"/>
        </w:rPr>
        <w:t xml:space="preserve">Northern Valley must explain how its tariff revisions limiting </w:t>
      </w:r>
      <w:r w:rsidRPr="006214C5" w:rsidR="00BD739C">
        <w:rPr>
          <w:szCs w:val="22"/>
        </w:rPr>
        <w:t xml:space="preserve">its </w:t>
      </w:r>
      <w:r w:rsidRPr="006214C5" w:rsidR="00525CC1">
        <w:rPr>
          <w:szCs w:val="22"/>
        </w:rPr>
        <w:t xml:space="preserve">financial responsibility to only the James Valley Intermediate Access Provider </w:t>
      </w:r>
      <w:r w:rsidRPr="006214C5" w:rsidR="00ED0223">
        <w:rPr>
          <w:szCs w:val="22"/>
        </w:rPr>
        <w:t xml:space="preserve">to the exclusion of financial responsibility </w:t>
      </w:r>
      <w:r w:rsidRPr="006214C5" w:rsidR="00173677">
        <w:rPr>
          <w:szCs w:val="22"/>
        </w:rPr>
        <w:t>for</w:t>
      </w:r>
      <w:r w:rsidRPr="006214C5" w:rsidR="00ED0223">
        <w:rPr>
          <w:szCs w:val="22"/>
        </w:rPr>
        <w:t xml:space="preserve"> other Intermediate Access Providers </w:t>
      </w:r>
      <w:r w:rsidRPr="006214C5" w:rsidR="00525CC1">
        <w:rPr>
          <w:szCs w:val="22"/>
        </w:rPr>
        <w:t xml:space="preserve">is consistent with that </w:t>
      </w:r>
      <w:r w:rsidRPr="006214C5" w:rsidR="00AC40F6">
        <w:rPr>
          <w:szCs w:val="22"/>
        </w:rPr>
        <w:t xml:space="preserve">provision. </w:t>
      </w:r>
      <w:r w:rsidRPr="006214C5" w:rsidR="00525CC1">
        <w:rPr>
          <w:szCs w:val="22"/>
        </w:rPr>
        <w:t xml:space="preserve"> </w:t>
      </w:r>
      <w:r w:rsidRPr="006214C5">
        <w:rPr>
          <w:szCs w:val="22"/>
        </w:rPr>
        <w:t xml:space="preserve">   </w:t>
      </w:r>
    </w:p>
    <w:p w:rsidR="00BE7FA2" w:rsidRPr="006214C5" w:rsidP="00002E82" w14:paraId="72AEB6F4" w14:textId="67BA2298">
      <w:pPr>
        <w:pStyle w:val="ParaNum"/>
        <w:rPr>
          <w:szCs w:val="22"/>
        </w:rPr>
      </w:pPr>
      <w:r w:rsidRPr="006214C5">
        <w:rPr>
          <w:szCs w:val="22"/>
        </w:rPr>
        <w:t xml:space="preserve">The Commission’s rules require an access-stimulating LEC to remove tandem switching and transport charges from its tariff and to </w:t>
      </w:r>
      <w:r w:rsidRPr="006214C5" w:rsidR="00225608">
        <w:rPr>
          <w:szCs w:val="22"/>
        </w:rPr>
        <w:t>“</w:t>
      </w:r>
      <w:r w:rsidRPr="006214C5">
        <w:rPr>
          <w:szCs w:val="22"/>
        </w:rPr>
        <w:t>notify in writing the Commission, all Intermediate Access Providers that it subtends, and Interexchange Carriers with which it does busi</w:t>
      </w:r>
      <w:r w:rsidRPr="006214C5" w:rsidR="00225608">
        <w:rPr>
          <w:szCs w:val="22"/>
        </w:rPr>
        <w:t>ness”</w:t>
      </w:r>
      <w:r w:rsidRPr="006214C5">
        <w:rPr>
          <w:szCs w:val="22"/>
        </w:rPr>
        <w:t xml:space="preserve"> that the access-stimulating LEC will be responsible for paying those charges.</w:t>
      </w:r>
      <w:r>
        <w:rPr>
          <w:rStyle w:val="FootnoteReference"/>
          <w:sz w:val="22"/>
          <w:szCs w:val="22"/>
        </w:rPr>
        <w:footnoteReference w:id="49"/>
      </w:r>
      <w:r w:rsidRPr="006214C5">
        <w:rPr>
          <w:szCs w:val="22"/>
        </w:rPr>
        <w:t xml:space="preserve">  The record indicates that Northern Valley notified IXCs of the tandem change.</w:t>
      </w:r>
      <w:r>
        <w:rPr>
          <w:rStyle w:val="FootnoteReference"/>
          <w:sz w:val="22"/>
          <w:szCs w:val="22"/>
        </w:rPr>
        <w:footnoteReference w:id="50"/>
      </w:r>
      <w:r w:rsidRPr="006214C5">
        <w:rPr>
          <w:szCs w:val="22"/>
        </w:rPr>
        <w:t xml:space="preserve">  </w:t>
      </w:r>
      <w:r w:rsidRPr="006214C5" w:rsidR="000639ED">
        <w:rPr>
          <w:szCs w:val="22"/>
        </w:rPr>
        <w:t>Was any other notice provided</w:t>
      </w:r>
      <w:r w:rsidRPr="006214C5" w:rsidR="00296770">
        <w:rPr>
          <w:szCs w:val="22"/>
        </w:rPr>
        <w:t xml:space="preserve"> to any </w:t>
      </w:r>
      <w:r w:rsidRPr="006214C5" w:rsidR="00D54915">
        <w:rPr>
          <w:szCs w:val="22"/>
        </w:rPr>
        <w:t xml:space="preserve">other </w:t>
      </w:r>
      <w:r w:rsidRPr="006214C5" w:rsidR="00296770">
        <w:rPr>
          <w:szCs w:val="22"/>
        </w:rPr>
        <w:t>individuals or entities</w:t>
      </w:r>
      <w:r w:rsidRPr="006214C5" w:rsidR="000639ED">
        <w:rPr>
          <w:szCs w:val="22"/>
        </w:rPr>
        <w:t xml:space="preserve">?  </w:t>
      </w:r>
      <w:r w:rsidRPr="006214C5" w:rsidR="00D54915">
        <w:rPr>
          <w:szCs w:val="22"/>
        </w:rPr>
        <w:t>For example, d</w:t>
      </w:r>
      <w:r w:rsidRPr="006214C5">
        <w:rPr>
          <w:szCs w:val="22"/>
        </w:rPr>
        <w:t>id Northern Valley send a similar notice to affected Intermediate Access Providers (SDN</w:t>
      </w:r>
      <w:r w:rsidRPr="006214C5" w:rsidR="00A96200">
        <w:rPr>
          <w:szCs w:val="22"/>
        </w:rPr>
        <w:t xml:space="preserve">, </w:t>
      </w:r>
      <w:r w:rsidRPr="006214C5">
        <w:rPr>
          <w:szCs w:val="22"/>
        </w:rPr>
        <w:t>James Valley</w:t>
      </w:r>
      <w:r w:rsidRPr="006214C5" w:rsidR="00A96200">
        <w:rPr>
          <w:szCs w:val="22"/>
        </w:rPr>
        <w:t>, or others</w:t>
      </w:r>
      <w:r w:rsidRPr="006214C5">
        <w:rPr>
          <w:szCs w:val="22"/>
        </w:rPr>
        <w:t>)?</w:t>
      </w:r>
      <w:r w:rsidRPr="006214C5" w:rsidR="008E07CB">
        <w:rPr>
          <w:szCs w:val="22"/>
        </w:rPr>
        <w:t xml:space="preserve">  If Northern Valley provided notice to affected IXCs why didn’t it also provide similar notice to the Commission?</w:t>
      </w:r>
      <w:r>
        <w:rPr>
          <w:rStyle w:val="FootnoteReference"/>
          <w:sz w:val="22"/>
          <w:szCs w:val="22"/>
        </w:rPr>
        <w:footnoteReference w:id="51"/>
      </w:r>
      <w:r w:rsidRPr="006214C5" w:rsidR="008E07CB">
        <w:rPr>
          <w:szCs w:val="22"/>
        </w:rPr>
        <w:t xml:space="preserve"> </w:t>
      </w:r>
      <w:r w:rsidRPr="006214C5">
        <w:rPr>
          <w:szCs w:val="22"/>
        </w:rPr>
        <w:t xml:space="preserve"> Northern Valley </w:t>
      </w:r>
      <w:r w:rsidRPr="006214C5" w:rsidR="008E07CB">
        <w:rPr>
          <w:szCs w:val="22"/>
        </w:rPr>
        <w:t xml:space="preserve">must explain why it </w:t>
      </w:r>
      <w:r w:rsidRPr="006214C5">
        <w:rPr>
          <w:szCs w:val="22"/>
        </w:rPr>
        <w:t>include</w:t>
      </w:r>
      <w:r w:rsidRPr="006214C5" w:rsidR="008E07CB">
        <w:rPr>
          <w:szCs w:val="22"/>
        </w:rPr>
        <w:t>d</w:t>
      </w:r>
      <w:r w:rsidRPr="006214C5">
        <w:rPr>
          <w:szCs w:val="22"/>
        </w:rPr>
        <w:t xml:space="preserve"> language in its tariff that </w:t>
      </w:r>
      <w:r w:rsidRPr="006214C5" w:rsidR="00D2667E">
        <w:rPr>
          <w:szCs w:val="22"/>
        </w:rPr>
        <w:t xml:space="preserve">served </w:t>
      </w:r>
      <w:r w:rsidRPr="006214C5">
        <w:rPr>
          <w:szCs w:val="22"/>
        </w:rPr>
        <w:t xml:space="preserve">the same purpose </w:t>
      </w:r>
      <w:r w:rsidRPr="006214C5" w:rsidR="00296770">
        <w:rPr>
          <w:szCs w:val="22"/>
        </w:rPr>
        <w:t>as</w:t>
      </w:r>
      <w:r w:rsidRPr="006214C5">
        <w:rPr>
          <w:szCs w:val="22"/>
        </w:rPr>
        <w:t xml:space="preserve"> its earlier </w:t>
      </w:r>
      <w:r w:rsidRPr="006214C5" w:rsidR="00225608">
        <w:rPr>
          <w:szCs w:val="22"/>
        </w:rPr>
        <w:t xml:space="preserve">notice </w:t>
      </w:r>
      <w:r w:rsidRPr="006214C5">
        <w:rPr>
          <w:szCs w:val="22"/>
        </w:rPr>
        <w:t>letter to IXCs – namely, providing notice of the designation of an Intermediate Access Provider and assumption of financial responsibility</w:t>
      </w:r>
      <w:r w:rsidR="00B149D6">
        <w:rPr>
          <w:szCs w:val="22"/>
        </w:rPr>
        <w:t>.</w:t>
      </w:r>
      <w:r w:rsidRPr="006214C5">
        <w:rPr>
          <w:szCs w:val="22"/>
        </w:rPr>
        <w:t xml:space="preserve">  What is Northern Valley’s reasoning for also including this</w:t>
      </w:r>
      <w:r w:rsidRPr="006214C5" w:rsidR="00296770">
        <w:rPr>
          <w:szCs w:val="22"/>
        </w:rPr>
        <w:t xml:space="preserve"> information</w:t>
      </w:r>
      <w:r w:rsidRPr="006214C5">
        <w:rPr>
          <w:szCs w:val="22"/>
        </w:rPr>
        <w:t xml:space="preserve"> in its tariff?  </w:t>
      </w:r>
      <w:r w:rsidR="004E4B8F">
        <w:rPr>
          <w:szCs w:val="22"/>
        </w:rPr>
        <w:t xml:space="preserve">What is </w:t>
      </w:r>
      <w:r w:rsidRPr="006214C5">
        <w:rPr>
          <w:szCs w:val="22"/>
        </w:rPr>
        <w:t>Northern Valley</w:t>
      </w:r>
      <w:r w:rsidR="004E4B8F">
        <w:rPr>
          <w:szCs w:val="22"/>
        </w:rPr>
        <w:t xml:space="preserve">’s legal basis for </w:t>
      </w:r>
      <w:r w:rsidRPr="006214C5" w:rsidR="00D54915">
        <w:rPr>
          <w:szCs w:val="22"/>
        </w:rPr>
        <w:t>us</w:t>
      </w:r>
      <w:r w:rsidR="004E4B8F">
        <w:rPr>
          <w:szCs w:val="22"/>
        </w:rPr>
        <w:t>ing</w:t>
      </w:r>
      <w:r w:rsidRPr="006214C5">
        <w:rPr>
          <w:szCs w:val="22"/>
        </w:rPr>
        <w:t xml:space="preserve"> its tariff </w:t>
      </w:r>
      <w:r w:rsidRPr="006214C5" w:rsidR="00D54915">
        <w:rPr>
          <w:szCs w:val="22"/>
        </w:rPr>
        <w:t xml:space="preserve">as the vehicle </w:t>
      </w:r>
      <w:r w:rsidRPr="006214C5">
        <w:rPr>
          <w:szCs w:val="22"/>
        </w:rPr>
        <w:t xml:space="preserve">to provide the required notification?  </w:t>
      </w:r>
      <w:r w:rsidR="004E4B8F">
        <w:rPr>
          <w:szCs w:val="22"/>
        </w:rPr>
        <w:t>What does Northern Valley believe is the legal significance of identifying James Valley as its tandem provider?</w:t>
      </w:r>
    </w:p>
    <w:p w:rsidR="004A1AB3" w:rsidRPr="006214C5" w:rsidP="004A1AB3" w14:paraId="33ADB6A3" w14:textId="77777777">
      <w:pPr>
        <w:pStyle w:val="Heading1"/>
        <w:spacing w:before="120"/>
        <w:rPr>
          <w:szCs w:val="22"/>
        </w:rPr>
      </w:pPr>
      <w:r w:rsidRPr="004C403E">
        <w:t>procedural matters</w:t>
      </w:r>
    </w:p>
    <w:p w:rsidR="004A1AB3" w:rsidRPr="006214C5" w:rsidP="00790855" w14:paraId="2A4458C4" w14:textId="77777777">
      <w:pPr>
        <w:pStyle w:val="ParaNum"/>
        <w:rPr>
          <w:szCs w:val="22"/>
        </w:rPr>
      </w:pPr>
      <w:r w:rsidRPr="006214C5">
        <w:rPr>
          <w:i/>
          <w:szCs w:val="22"/>
        </w:rPr>
        <w:t>Filing Schedules</w:t>
      </w:r>
      <w:r w:rsidRPr="006214C5">
        <w:rPr>
          <w:szCs w:val="22"/>
        </w:rPr>
        <w:t xml:space="preserve">. </w:t>
      </w:r>
      <w:r w:rsidRPr="006214C5">
        <w:rPr>
          <w:i/>
          <w:szCs w:val="22"/>
        </w:rPr>
        <w:t xml:space="preserve"> </w:t>
      </w:r>
      <w:r w:rsidRPr="006214C5">
        <w:rPr>
          <w:szCs w:val="22"/>
        </w:rPr>
        <w:t>This investigation is designated WC Docket No. 20-11.  Northern Valley Communications, LLC (Northern Valley) is designated as a party to this investigation of the listed tariff filing.</w:t>
      </w:r>
    </w:p>
    <w:p w:rsidR="004A1AB3" w:rsidRPr="006214C5" w:rsidP="00FD76DF" w14:paraId="1B0E30F8" w14:textId="2C208078">
      <w:pPr>
        <w:pStyle w:val="ParaNum"/>
        <w:rPr>
          <w:szCs w:val="22"/>
        </w:rPr>
      </w:pPr>
      <w:r w:rsidRPr="006214C5">
        <w:rPr>
          <w:szCs w:val="22"/>
        </w:rPr>
        <w:t xml:space="preserve">Northern Valley shall file its Direct Case no later than </w:t>
      </w:r>
      <w:r w:rsidR="004E4B8F">
        <w:rPr>
          <w:b/>
          <w:szCs w:val="22"/>
        </w:rPr>
        <w:t>April 1</w:t>
      </w:r>
      <w:r w:rsidRPr="006214C5">
        <w:rPr>
          <w:b/>
          <w:szCs w:val="22"/>
        </w:rPr>
        <w:t>, 2020</w:t>
      </w:r>
      <w:r w:rsidRPr="006214C5">
        <w:rPr>
          <w:szCs w:val="22"/>
        </w:rPr>
        <w:t xml:space="preserve">.  The Direct Case must present Northern Valley’s position with respect to the issues described in this Order.  Pleadings responding to the Direct Case may be filed no later than </w:t>
      </w:r>
      <w:r w:rsidR="004E4B8F">
        <w:rPr>
          <w:b/>
          <w:szCs w:val="22"/>
        </w:rPr>
        <w:t>April 15</w:t>
      </w:r>
      <w:r w:rsidRPr="006214C5">
        <w:rPr>
          <w:b/>
          <w:szCs w:val="22"/>
        </w:rPr>
        <w:t>, 2020</w:t>
      </w:r>
      <w:r w:rsidRPr="006214C5">
        <w:rPr>
          <w:szCs w:val="22"/>
        </w:rPr>
        <w:t>, and must be captioned “Oppositions to Direct Case” or “Comments on Direct Case.”  Additional pleadings will not be permitted or considered,</w:t>
      </w:r>
      <w:r>
        <w:rPr>
          <w:rStyle w:val="FootnoteReference"/>
          <w:sz w:val="22"/>
        </w:rPr>
        <w:footnoteReference w:id="52"/>
      </w:r>
      <w:r w:rsidRPr="006214C5">
        <w:rPr>
          <w:szCs w:val="22"/>
        </w:rPr>
        <w:t xml:space="preserve"> but </w:t>
      </w:r>
      <w:r w:rsidRPr="006214C5">
        <w:rPr>
          <w:i/>
          <w:szCs w:val="22"/>
        </w:rPr>
        <w:t>ex parte</w:t>
      </w:r>
      <w:r w:rsidRPr="006214C5">
        <w:rPr>
          <w:szCs w:val="22"/>
        </w:rPr>
        <w:t xml:space="preserve"> presentations will be accepted until </w:t>
      </w:r>
      <w:r w:rsidR="00134860">
        <w:rPr>
          <w:b/>
          <w:szCs w:val="22"/>
        </w:rPr>
        <w:t>May 28</w:t>
      </w:r>
      <w:r w:rsidRPr="006214C5">
        <w:rPr>
          <w:b/>
          <w:szCs w:val="22"/>
        </w:rPr>
        <w:t>, 2020</w:t>
      </w:r>
      <w:r w:rsidRPr="006214C5">
        <w:rPr>
          <w:szCs w:val="22"/>
        </w:rPr>
        <w:t>.</w:t>
      </w:r>
      <w:r>
        <w:rPr>
          <w:rStyle w:val="FootnoteReference"/>
          <w:sz w:val="22"/>
        </w:rPr>
        <w:footnoteReference w:id="53"/>
      </w:r>
      <w:r w:rsidRPr="006214C5">
        <w:rPr>
          <w:szCs w:val="22"/>
        </w:rPr>
        <w:t xml:space="preserve">   </w:t>
      </w:r>
    </w:p>
    <w:p w:rsidR="004A1AB3" w:rsidRPr="006214C5" w:rsidP="004A1AB3" w14:paraId="0A7964CD" w14:textId="77777777">
      <w:pPr>
        <w:widowControl/>
        <w:numPr>
          <w:ilvl w:val="0"/>
          <w:numId w:val="4"/>
        </w:numPr>
        <w:spacing w:before="120" w:after="120"/>
        <w:rPr>
          <w:szCs w:val="22"/>
        </w:rPr>
      </w:pPr>
      <w:r w:rsidRPr="006214C5">
        <w:rPr>
          <w:szCs w:val="22"/>
        </w:rPr>
        <w:t xml:space="preserve">Electronic Filers:  Direct cases and other pleadings may be filed electronically using the Internet by accessing the ECFS: </w:t>
      </w:r>
      <w:hyperlink r:id="rId5" w:history="1">
        <w:r w:rsidRPr="006214C5" w:rsidR="008E641E">
          <w:rPr>
            <w:rStyle w:val="Hyperlink"/>
            <w:szCs w:val="22"/>
          </w:rPr>
          <w:t>http://fjallfoss.fcc.gov/ecfs2/</w:t>
        </w:r>
      </w:hyperlink>
      <w:r w:rsidRPr="006214C5">
        <w:rPr>
          <w:szCs w:val="22"/>
        </w:rPr>
        <w:t>.</w:t>
      </w:r>
    </w:p>
    <w:p w:rsidR="004A1AB3" w:rsidRPr="006214C5" w:rsidP="004A1AB3" w14:paraId="6E1CC39E" w14:textId="77777777">
      <w:pPr>
        <w:widowControl/>
        <w:numPr>
          <w:ilvl w:val="0"/>
          <w:numId w:val="3"/>
        </w:numPr>
        <w:spacing w:before="120" w:after="120"/>
        <w:rPr>
          <w:szCs w:val="22"/>
        </w:rPr>
      </w:pPr>
      <w:r w:rsidRPr="006214C5">
        <w:rPr>
          <w:szCs w:val="22"/>
        </w:rPr>
        <w:t>Paper Filers:  Parties who choose to file by paper must file an original and one copy of each filing.  Paper filings can be sent by hand or messenger delivery, by commercial overnight courier, or by first-class or overnight U.S. Postal Service mail.</w:t>
      </w:r>
    </w:p>
    <w:p w:rsidR="004A1AB3" w:rsidRPr="006214C5" w:rsidP="004A1AB3" w14:paraId="6089789C" w14:textId="77777777">
      <w:pPr>
        <w:widowControl/>
        <w:numPr>
          <w:ilvl w:val="1"/>
          <w:numId w:val="5"/>
        </w:numPr>
        <w:spacing w:before="120" w:after="120"/>
        <w:rPr>
          <w:color w:val="000000"/>
          <w:szCs w:val="22"/>
        </w:rPr>
      </w:pPr>
      <w:r w:rsidRPr="006214C5">
        <w:rPr>
          <w:color w:val="000000"/>
          <w:szCs w:val="22"/>
        </w:rPr>
        <w:t xml:space="preserve">All hand-delivered or messenger-delivered paper filings for the Commission’s Secretary must be delivered to FCC Headquarters at 445 12th St., SW, Room TW-A325, Washington, DC 20554.  The filing hours are 8:00 a.m. to 7:00 p.m.  All hand deliveries </w:t>
      </w:r>
      <w:r w:rsidRPr="006214C5">
        <w:rPr>
          <w:color w:val="000000"/>
          <w:szCs w:val="22"/>
        </w:rPr>
        <w:t>must be held together with rubber bands or fasteners.  All envelopes and boxes must be disposed of before entering the building.</w:t>
      </w:r>
    </w:p>
    <w:p w:rsidR="004A1AB3" w:rsidRPr="006214C5" w:rsidP="004A1AB3" w14:paraId="14E4EE63" w14:textId="77777777">
      <w:pPr>
        <w:widowControl/>
        <w:numPr>
          <w:ilvl w:val="1"/>
          <w:numId w:val="6"/>
        </w:numPr>
        <w:spacing w:before="120" w:after="120"/>
        <w:rPr>
          <w:color w:val="000000"/>
          <w:szCs w:val="22"/>
        </w:rPr>
      </w:pPr>
      <w:r w:rsidRPr="006214C5">
        <w:rPr>
          <w:color w:val="000000"/>
          <w:szCs w:val="22"/>
        </w:rPr>
        <w:t>Commercial overnight mail (other than U.S. Postal Service Express Mail and Priority Mail) must be sent to 9050 Junction Drive, Annapolis Junction, MD 20701.</w:t>
      </w:r>
    </w:p>
    <w:p w:rsidR="004A1AB3" w:rsidRPr="006214C5" w:rsidP="004A1AB3" w14:paraId="2D9A0D27" w14:textId="77777777">
      <w:pPr>
        <w:widowControl/>
        <w:numPr>
          <w:ilvl w:val="1"/>
          <w:numId w:val="7"/>
        </w:numPr>
        <w:spacing w:before="120" w:after="120"/>
        <w:rPr>
          <w:color w:val="000000"/>
          <w:szCs w:val="22"/>
        </w:rPr>
      </w:pPr>
      <w:r w:rsidRPr="006214C5">
        <w:rPr>
          <w:color w:val="000000"/>
          <w:szCs w:val="22"/>
        </w:rPr>
        <w:t>U.S. Postal Service first-class, Express, and Priority mail must be addressed to 445 12th Street, SW, Washington, DC 20554.</w:t>
      </w:r>
    </w:p>
    <w:p w:rsidR="004A1AB3" w:rsidRPr="006214C5" w:rsidP="00790855" w14:paraId="09F76C0F" w14:textId="77777777">
      <w:pPr>
        <w:widowControl/>
        <w:numPr>
          <w:ilvl w:val="0"/>
          <w:numId w:val="3"/>
        </w:numPr>
        <w:spacing w:before="120" w:after="120"/>
        <w:rPr>
          <w:szCs w:val="22"/>
        </w:rPr>
      </w:pPr>
      <w:r w:rsidRPr="006214C5">
        <w:rPr>
          <w:szCs w:val="22"/>
        </w:rPr>
        <w:t xml:space="preserve">People with Disabilities:  To request materials in accessible formats for people with disabilities (braille, large print, electronic files, audio format), send an e-mail to </w:t>
      </w:r>
      <w:hyperlink r:id="rId6" w:history="1">
        <w:r w:rsidRPr="006214C5">
          <w:rPr>
            <w:rStyle w:val="Hyperlink"/>
            <w:szCs w:val="22"/>
          </w:rPr>
          <w:t>fcc504@fcc.gov</w:t>
        </w:r>
      </w:hyperlink>
      <w:r w:rsidRPr="006214C5">
        <w:rPr>
          <w:szCs w:val="22"/>
        </w:rPr>
        <w:t xml:space="preserve"> or call the Consumer &amp; Governmental Affairs Bureau at (202) 418-0530 (voice), (202) 418-0432 (tty).</w:t>
      </w:r>
    </w:p>
    <w:p w:rsidR="004A1AB3" w:rsidRPr="006214C5" w:rsidP="008A5B7F" w14:paraId="73F93B96" w14:textId="77777777">
      <w:pPr>
        <w:pStyle w:val="ParaNum"/>
        <w:rPr>
          <w:szCs w:val="22"/>
        </w:rPr>
      </w:pPr>
      <w:r w:rsidRPr="006214C5">
        <w:rPr>
          <w:i/>
          <w:szCs w:val="22"/>
        </w:rPr>
        <w:t>Requirements for Filing of Spreadsheets</w:t>
      </w:r>
      <w:r w:rsidRPr="006214C5">
        <w:rPr>
          <w:szCs w:val="22"/>
        </w:rPr>
        <w:t xml:space="preserve">. </w:t>
      </w:r>
      <w:r w:rsidRPr="006214C5">
        <w:rPr>
          <w:i/>
          <w:szCs w:val="22"/>
        </w:rPr>
        <w:t xml:space="preserve"> </w:t>
      </w:r>
      <w:r w:rsidRPr="006214C5">
        <w:rPr>
          <w:szCs w:val="22"/>
        </w:rPr>
        <w:t xml:space="preserve">All spreadsheets filed in this proceeding must be fully-operational </w:t>
      </w:r>
      <w:r w:rsidRPr="006214C5" w:rsidR="00672E07">
        <w:rPr>
          <w:szCs w:val="22"/>
        </w:rPr>
        <w:t xml:space="preserve">and manipulatable and must be submitted </w:t>
      </w:r>
      <w:r w:rsidRPr="006214C5">
        <w:rPr>
          <w:szCs w:val="22"/>
        </w:rPr>
        <w:t>in native Microsoft Excel electronic format.  All spreadsheet cells that contain entries that are references to or calculations based on other spreadsheet cells must include the formula for such reference or calculation.  This includes references and calculations based on entries in different worksheets within the same workbook file.</w:t>
      </w:r>
    </w:p>
    <w:p w:rsidR="004A1AB3" w:rsidRPr="006214C5" w:rsidP="008A5B7F" w14:paraId="3B6FD5EA" w14:textId="77777777">
      <w:pPr>
        <w:pStyle w:val="ParaNum"/>
        <w:rPr>
          <w:szCs w:val="22"/>
        </w:rPr>
      </w:pPr>
      <w:r w:rsidRPr="006214C5">
        <w:rPr>
          <w:i/>
          <w:szCs w:val="22"/>
        </w:rPr>
        <w:t>Ex Parte Requirements</w:t>
      </w:r>
      <w:r w:rsidRPr="006214C5">
        <w:rPr>
          <w:szCs w:val="22"/>
        </w:rPr>
        <w:t xml:space="preserve">. </w:t>
      </w:r>
      <w:r w:rsidRPr="006214C5">
        <w:rPr>
          <w:i/>
          <w:szCs w:val="22"/>
        </w:rPr>
        <w:t xml:space="preserve"> </w:t>
      </w:r>
      <w:r w:rsidRPr="006214C5">
        <w:rPr>
          <w:szCs w:val="22"/>
        </w:rPr>
        <w:t xml:space="preserve">This proceeding shall be treated as a “permit-but-disclose” proceeding in accordance with the Commission’s </w:t>
      </w:r>
      <w:r w:rsidRPr="006214C5">
        <w:rPr>
          <w:i/>
          <w:iCs/>
          <w:szCs w:val="22"/>
        </w:rPr>
        <w:t xml:space="preserve">ex parte </w:t>
      </w:r>
      <w:r w:rsidRPr="006214C5">
        <w:rPr>
          <w:szCs w:val="22"/>
        </w:rPr>
        <w:t>rules.</w:t>
      </w:r>
      <w:r>
        <w:rPr>
          <w:rStyle w:val="FootnoteReference"/>
          <w:sz w:val="22"/>
        </w:rPr>
        <w:footnoteReference w:id="54"/>
      </w:r>
      <w:r w:rsidRPr="006214C5">
        <w:rPr>
          <w:szCs w:val="22"/>
        </w:rPr>
        <w:t xml:space="preserve">  Persons making </w:t>
      </w:r>
      <w:r w:rsidRPr="006214C5">
        <w:rPr>
          <w:i/>
          <w:szCs w:val="22"/>
        </w:rPr>
        <w:t xml:space="preserve">ex parte </w:t>
      </w:r>
      <w:r w:rsidRPr="006214C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214C5">
        <w:rPr>
          <w:i/>
          <w:iCs/>
          <w:szCs w:val="22"/>
        </w:rPr>
        <w:t xml:space="preserve">ex parte </w:t>
      </w:r>
      <w:r w:rsidRPr="006214C5">
        <w:rPr>
          <w:szCs w:val="22"/>
        </w:rPr>
        <w:t xml:space="preserve">presentations are reminded that memoranda summarizing the presentation must (1) list all persons attending or otherwise participating in the meeting at which the </w:t>
      </w:r>
      <w:r w:rsidRPr="006214C5">
        <w:rPr>
          <w:i/>
          <w:iCs/>
          <w:szCs w:val="22"/>
        </w:rPr>
        <w:t xml:space="preserve">ex parte </w:t>
      </w:r>
      <w:r w:rsidRPr="006214C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214C5">
        <w:rPr>
          <w:i/>
          <w:iCs/>
          <w:szCs w:val="22"/>
        </w:rPr>
        <w:t xml:space="preserve">ex parte </w:t>
      </w:r>
      <w:r w:rsidRPr="006214C5">
        <w:rPr>
          <w:szCs w:val="22"/>
        </w:rPr>
        <w:t xml:space="preserve">meetings are deemed to be written </w:t>
      </w:r>
      <w:r w:rsidRPr="006214C5">
        <w:rPr>
          <w:i/>
          <w:iCs/>
          <w:szCs w:val="22"/>
        </w:rPr>
        <w:t>ex parte</w:t>
      </w:r>
      <w:r w:rsidRPr="006214C5">
        <w:rPr>
          <w:szCs w:val="22"/>
        </w:rPr>
        <w:t xml:space="preserve"> presentations and must be filed consistent with rule 1.1206(b).  In proceedings governed by rule 1.49(f) or for which the Commission has made available a method of electronic filing, written </w:t>
      </w:r>
      <w:r w:rsidRPr="006214C5">
        <w:rPr>
          <w:i/>
          <w:iCs/>
          <w:szCs w:val="22"/>
        </w:rPr>
        <w:t xml:space="preserve">ex parte </w:t>
      </w:r>
      <w:r w:rsidRPr="006214C5">
        <w:rPr>
          <w:szCs w:val="22"/>
        </w:rPr>
        <w:t xml:space="preserve">presentations and memoranda summarizing oral </w:t>
      </w:r>
      <w:r w:rsidRPr="006214C5">
        <w:rPr>
          <w:i/>
          <w:iCs/>
          <w:szCs w:val="22"/>
        </w:rPr>
        <w:t xml:space="preserve">ex parte </w:t>
      </w:r>
      <w:r w:rsidRPr="006214C5">
        <w:rPr>
          <w:szCs w:val="22"/>
        </w:rPr>
        <w:t>presentations, and all attachments thereto, must be filed through the electronic comment filing system available for that proceeding, and must be filed in their native format (</w:t>
      </w:r>
      <w:r w:rsidRPr="006214C5">
        <w:rPr>
          <w:i/>
          <w:iCs/>
          <w:szCs w:val="22"/>
        </w:rPr>
        <w:t>e.g.</w:t>
      </w:r>
      <w:r w:rsidRPr="006214C5">
        <w:rPr>
          <w:szCs w:val="22"/>
        </w:rPr>
        <w:t xml:space="preserve">, .doc, .xml, .ppt, searchable .pdf).  Participants in this proceeding should familiarize themselves with the Commission’s </w:t>
      </w:r>
      <w:r w:rsidRPr="006214C5">
        <w:rPr>
          <w:i/>
          <w:iCs/>
          <w:szCs w:val="22"/>
        </w:rPr>
        <w:t xml:space="preserve">ex </w:t>
      </w:r>
      <w:r w:rsidRPr="006214C5">
        <w:rPr>
          <w:szCs w:val="22"/>
        </w:rPr>
        <w:t>parte rules.</w:t>
      </w:r>
    </w:p>
    <w:p w:rsidR="004A1AB3" w:rsidRPr="006214C5" w:rsidP="008A5B7F" w14:paraId="4C6E458D" w14:textId="77777777">
      <w:pPr>
        <w:pStyle w:val="ParaNum"/>
        <w:rPr>
          <w:szCs w:val="22"/>
        </w:rPr>
      </w:pPr>
      <w:r w:rsidRPr="006214C5">
        <w:rPr>
          <w:i/>
          <w:szCs w:val="22"/>
        </w:rPr>
        <w:t>Paperwork Reduction Act</w:t>
      </w:r>
      <w:r w:rsidRPr="006214C5">
        <w:rPr>
          <w:szCs w:val="22"/>
        </w:rPr>
        <w:t xml:space="preserve">.  This Order designating issues for investigation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6214C5">
        <w:rPr>
          <w:i/>
          <w:szCs w:val="22"/>
        </w:rPr>
        <w:t xml:space="preserve">see </w:t>
      </w:r>
      <w:r w:rsidRPr="006214C5">
        <w:rPr>
          <w:szCs w:val="22"/>
        </w:rPr>
        <w:t>47 U.S.C. § 3506(c)(4).</w:t>
      </w:r>
    </w:p>
    <w:p w:rsidR="004A1AB3" w:rsidRPr="006214C5" w:rsidP="00FD76DF" w14:paraId="3D6F205E" w14:textId="77777777">
      <w:pPr>
        <w:pStyle w:val="ParaNum"/>
        <w:rPr>
          <w:szCs w:val="22"/>
        </w:rPr>
      </w:pPr>
      <w:r w:rsidRPr="006214C5">
        <w:rPr>
          <w:i/>
          <w:szCs w:val="22"/>
        </w:rPr>
        <w:t>Contact Person</w:t>
      </w:r>
      <w:r w:rsidRPr="006214C5">
        <w:rPr>
          <w:szCs w:val="22"/>
        </w:rPr>
        <w:t xml:space="preserve">. </w:t>
      </w:r>
      <w:r w:rsidRPr="006214C5">
        <w:rPr>
          <w:i/>
          <w:szCs w:val="22"/>
        </w:rPr>
        <w:t xml:space="preserve"> </w:t>
      </w:r>
      <w:r w:rsidRPr="006214C5">
        <w:rPr>
          <w:szCs w:val="22"/>
        </w:rPr>
        <w:t xml:space="preserve">For further information about this proceeding, please contact </w:t>
      </w:r>
      <w:r w:rsidRPr="006214C5" w:rsidR="00BB6720">
        <w:rPr>
          <w:szCs w:val="22"/>
        </w:rPr>
        <w:t>Lynne Engledow</w:t>
      </w:r>
      <w:r w:rsidRPr="006214C5">
        <w:rPr>
          <w:szCs w:val="22"/>
        </w:rPr>
        <w:t>, Wireline Competition Bureau, Pricing Policy Division, 445 12th Street, S.W., Washington, D.C. 20554, (202) 418-</w:t>
      </w:r>
      <w:r w:rsidRPr="006214C5" w:rsidR="00674C31">
        <w:rPr>
          <w:szCs w:val="22"/>
        </w:rPr>
        <w:t>2350</w:t>
      </w:r>
      <w:r w:rsidRPr="006214C5">
        <w:rPr>
          <w:szCs w:val="22"/>
        </w:rPr>
        <w:t xml:space="preserve">, </w:t>
      </w:r>
      <w:r w:rsidRPr="006214C5" w:rsidR="00BB6720">
        <w:rPr>
          <w:szCs w:val="22"/>
        </w:rPr>
        <w:t>lynne.engledow</w:t>
      </w:r>
      <w:r w:rsidRPr="006214C5" w:rsidR="00961FE0">
        <w:rPr>
          <w:szCs w:val="22"/>
        </w:rPr>
        <w:t>@fcc.gov.</w:t>
      </w:r>
    </w:p>
    <w:p w:rsidR="004A1AB3" w:rsidRPr="006214C5" w:rsidP="004A1AB3" w14:paraId="6B39906F" w14:textId="77777777">
      <w:pPr>
        <w:pStyle w:val="Heading1"/>
        <w:spacing w:before="120"/>
        <w:rPr>
          <w:szCs w:val="22"/>
        </w:rPr>
      </w:pPr>
      <w:r w:rsidRPr="006214C5">
        <w:rPr>
          <w:szCs w:val="22"/>
        </w:rPr>
        <w:t>ordering clauses</w:t>
      </w:r>
    </w:p>
    <w:p w:rsidR="004A1AB3" w:rsidRPr="006214C5" w:rsidP="009172D9" w14:paraId="1A66EDCF" w14:textId="77777777">
      <w:pPr>
        <w:pStyle w:val="ParaNum"/>
        <w:widowControl/>
        <w:rPr>
          <w:szCs w:val="22"/>
        </w:rPr>
      </w:pPr>
      <w:r w:rsidRPr="006214C5">
        <w:rPr>
          <w:szCs w:val="22"/>
        </w:rPr>
        <w:t xml:space="preserve">ACCORDINGLY, IT IS ORDERED that, pursuant to sections 4(i), 4(j), 201(b), </w:t>
      </w:r>
      <w:r w:rsidRPr="006214C5" w:rsidR="000B5BD6">
        <w:rPr>
          <w:szCs w:val="22"/>
        </w:rPr>
        <w:t xml:space="preserve">202(a), </w:t>
      </w:r>
      <w:r w:rsidRPr="006214C5">
        <w:rPr>
          <w:szCs w:val="22"/>
        </w:rPr>
        <w:t>203(c), 204(a), 205</w:t>
      </w:r>
      <w:r w:rsidRPr="006214C5" w:rsidR="00D461AF">
        <w:rPr>
          <w:szCs w:val="22"/>
        </w:rPr>
        <w:t>, 256</w:t>
      </w:r>
      <w:r w:rsidRPr="006214C5">
        <w:rPr>
          <w:szCs w:val="22"/>
        </w:rPr>
        <w:t xml:space="preserve"> and 403 of the Communications Act, 47 U.S.C. §</w:t>
      </w:r>
      <w:r w:rsidRPr="006214C5" w:rsidR="000B5BD6">
        <w:rPr>
          <w:szCs w:val="22"/>
        </w:rPr>
        <w:t>§ </w:t>
      </w:r>
      <w:r w:rsidRPr="006214C5">
        <w:rPr>
          <w:szCs w:val="22"/>
        </w:rPr>
        <w:t xml:space="preserve">154(i), 154(j), 201(b), </w:t>
      </w:r>
      <w:r w:rsidRPr="006214C5" w:rsidR="000B5BD6">
        <w:rPr>
          <w:szCs w:val="22"/>
        </w:rPr>
        <w:t xml:space="preserve">202(a), </w:t>
      </w:r>
      <w:r w:rsidRPr="006214C5">
        <w:rPr>
          <w:szCs w:val="22"/>
        </w:rPr>
        <w:t xml:space="preserve">203(c), 204(a), 205, </w:t>
      </w:r>
      <w:r w:rsidRPr="006214C5" w:rsidR="00D461AF">
        <w:rPr>
          <w:szCs w:val="22"/>
        </w:rPr>
        <w:t xml:space="preserve">256, </w:t>
      </w:r>
      <w:r w:rsidRPr="006214C5">
        <w:rPr>
          <w:szCs w:val="22"/>
        </w:rPr>
        <w:t>and 403, and sections 0.91</w:t>
      </w:r>
      <w:r w:rsidRPr="006214C5" w:rsidR="00D461AF">
        <w:rPr>
          <w:szCs w:val="22"/>
        </w:rPr>
        <w:t>,</w:t>
      </w:r>
      <w:r w:rsidRPr="006214C5">
        <w:rPr>
          <w:szCs w:val="22"/>
        </w:rPr>
        <w:t xml:space="preserve"> 0.291</w:t>
      </w:r>
      <w:r w:rsidRPr="006214C5" w:rsidR="00D461AF">
        <w:rPr>
          <w:szCs w:val="22"/>
        </w:rPr>
        <w:t xml:space="preserve"> and 51.914</w:t>
      </w:r>
      <w:r w:rsidRPr="006214C5">
        <w:rPr>
          <w:szCs w:val="22"/>
        </w:rPr>
        <w:t xml:space="preserve"> of the Commission’s rules, 47 </w:t>
      </w:r>
      <w:r w:rsidRPr="006214C5">
        <w:rPr>
          <w:szCs w:val="22"/>
        </w:rPr>
        <w:t>CFR §</w:t>
      </w:r>
      <w:r w:rsidRPr="006214C5" w:rsidR="000B5BD6">
        <w:rPr>
          <w:szCs w:val="22"/>
        </w:rPr>
        <w:t>§ </w:t>
      </w:r>
      <w:r w:rsidRPr="006214C5">
        <w:rPr>
          <w:szCs w:val="22"/>
        </w:rPr>
        <w:t xml:space="preserve">0.91, 0.291, </w:t>
      </w:r>
      <w:r w:rsidRPr="006214C5" w:rsidR="00D461AF">
        <w:rPr>
          <w:szCs w:val="22"/>
        </w:rPr>
        <w:t xml:space="preserve">51.914, </w:t>
      </w:r>
      <w:r w:rsidRPr="006214C5">
        <w:rPr>
          <w:szCs w:val="22"/>
        </w:rPr>
        <w:t>the issue</w:t>
      </w:r>
      <w:r w:rsidRPr="006214C5" w:rsidR="00C044CD">
        <w:rPr>
          <w:szCs w:val="22"/>
        </w:rPr>
        <w:t>s</w:t>
      </w:r>
      <w:r w:rsidRPr="006214C5">
        <w:rPr>
          <w:szCs w:val="22"/>
        </w:rPr>
        <w:t xml:space="preserve"> set forth in this Order </w:t>
      </w:r>
      <w:r w:rsidRPr="006214C5" w:rsidR="00C044CD">
        <w:rPr>
          <w:szCs w:val="22"/>
        </w:rPr>
        <w:t xml:space="preserve">ARE </w:t>
      </w:r>
      <w:r w:rsidRPr="006214C5">
        <w:rPr>
          <w:szCs w:val="22"/>
        </w:rPr>
        <w:t>DESIGNATED FOR INVESTIGATION.</w:t>
      </w:r>
    </w:p>
    <w:p w:rsidR="004A1AB3" w:rsidRPr="006214C5" w:rsidP="00790855" w14:paraId="79BDDEDC" w14:textId="5F65678D">
      <w:pPr>
        <w:pStyle w:val="ParaNum"/>
        <w:rPr>
          <w:szCs w:val="22"/>
        </w:rPr>
      </w:pPr>
      <w:r w:rsidRPr="006214C5">
        <w:rPr>
          <w:szCs w:val="22"/>
        </w:rPr>
        <w:t xml:space="preserve">IT IS FURTHER ORDERED that Northern Valley </w:t>
      </w:r>
      <w:r w:rsidRPr="006214C5">
        <w:rPr>
          <w:szCs w:val="22"/>
        </w:rPr>
        <w:t>Communications</w:t>
      </w:r>
      <w:r w:rsidR="005B53BF">
        <w:rPr>
          <w:szCs w:val="22"/>
        </w:rPr>
        <w:t>,</w:t>
      </w:r>
      <w:r w:rsidRPr="006214C5">
        <w:rPr>
          <w:szCs w:val="22"/>
        </w:rPr>
        <w:t xml:space="preserve"> LLC IS a party to this proceeding.</w:t>
      </w:r>
      <w:r w:rsidRPr="006214C5" w:rsidR="00C044CD">
        <w:rPr>
          <w:szCs w:val="22"/>
        </w:rPr>
        <w:t xml:space="preserve">  </w:t>
      </w:r>
    </w:p>
    <w:p w:rsidR="00C96E36" w:rsidRPr="006214C5" w:rsidP="00790855" w14:paraId="041B94C3" w14:textId="77777777">
      <w:pPr>
        <w:pStyle w:val="ParaNum"/>
        <w:rPr>
          <w:szCs w:val="22"/>
        </w:rPr>
      </w:pPr>
      <w:r w:rsidRPr="006214C5">
        <w:rPr>
          <w:szCs w:val="22"/>
        </w:rPr>
        <w:t>IT IS FURTHER ORDERED that Northern Valley Communications, LLC SHALL INCLUDE, in its Direct Case, a response to</w:t>
      </w:r>
      <w:bookmarkStart w:id="10" w:name="_GoBack"/>
      <w:bookmarkEnd w:id="10"/>
      <w:r w:rsidRPr="006214C5">
        <w:rPr>
          <w:szCs w:val="22"/>
        </w:rPr>
        <w:t xml:space="preserve"> each request for information that it is required to answer by this Order.</w:t>
      </w:r>
      <w:r w:rsidRPr="006214C5">
        <w:rPr>
          <w:szCs w:val="22"/>
        </w:rPr>
        <w:t xml:space="preserve">  </w:t>
      </w:r>
    </w:p>
    <w:p w:rsidR="004A1AB3" w:rsidP="00C96E36" w14:paraId="3126B39D" w14:textId="4346607F">
      <w:pPr>
        <w:pStyle w:val="ParaNum"/>
        <w:numPr>
          <w:ilvl w:val="0"/>
          <w:numId w:val="0"/>
        </w:numPr>
        <w:ind w:left="720"/>
        <w:rPr>
          <w:szCs w:val="22"/>
        </w:rPr>
      </w:pPr>
    </w:p>
    <w:p w:rsidR="009172D9" w:rsidP="004A1AB3" w14:paraId="66E6CA6A" w14:textId="77777777">
      <w:pPr>
        <w:pStyle w:val="ParaNum"/>
        <w:numPr>
          <w:ilvl w:val="0"/>
          <w:numId w:val="0"/>
        </w:numPr>
        <w:spacing w:after="0"/>
        <w:ind w:left="4320"/>
        <w:rPr>
          <w:szCs w:val="22"/>
        </w:rPr>
      </w:pPr>
    </w:p>
    <w:p w:rsidR="004A1AB3" w:rsidRPr="006214C5" w:rsidP="004A1AB3" w14:paraId="34C55F69" w14:textId="1F219892">
      <w:pPr>
        <w:pStyle w:val="ParaNum"/>
        <w:numPr>
          <w:ilvl w:val="0"/>
          <w:numId w:val="0"/>
        </w:numPr>
        <w:spacing w:after="0"/>
        <w:ind w:left="4320"/>
        <w:rPr>
          <w:szCs w:val="22"/>
        </w:rPr>
      </w:pPr>
      <w:r w:rsidRPr="006214C5">
        <w:rPr>
          <w:szCs w:val="22"/>
        </w:rPr>
        <w:t>FEDERAL COMMUNICATIONS COMMISSION</w:t>
      </w:r>
    </w:p>
    <w:p w:rsidR="004A1AB3" w:rsidRPr="006214C5" w:rsidP="004A1AB3" w14:paraId="12E9FCAA" w14:textId="77777777">
      <w:pPr>
        <w:pStyle w:val="ParaNum"/>
        <w:numPr>
          <w:ilvl w:val="0"/>
          <w:numId w:val="0"/>
        </w:numPr>
        <w:spacing w:after="0"/>
        <w:rPr>
          <w:szCs w:val="22"/>
        </w:rPr>
      </w:pPr>
    </w:p>
    <w:p w:rsidR="004A1AB3" w:rsidRPr="006214C5" w:rsidP="004A1AB3" w14:paraId="358EBE1B" w14:textId="77777777">
      <w:pPr>
        <w:pStyle w:val="ParaNum"/>
        <w:numPr>
          <w:ilvl w:val="0"/>
          <w:numId w:val="0"/>
        </w:numPr>
        <w:spacing w:after="0"/>
        <w:rPr>
          <w:szCs w:val="22"/>
        </w:rPr>
      </w:pPr>
    </w:p>
    <w:p w:rsidR="004A1AB3" w:rsidRPr="006214C5" w:rsidP="004A1AB3" w14:paraId="401FDC10" w14:textId="77777777">
      <w:pPr>
        <w:pStyle w:val="ParaNum"/>
        <w:numPr>
          <w:ilvl w:val="0"/>
          <w:numId w:val="0"/>
        </w:numPr>
        <w:spacing w:after="0"/>
        <w:rPr>
          <w:szCs w:val="22"/>
        </w:rPr>
      </w:pPr>
    </w:p>
    <w:p w:rsidR="004A1AB3" w:rsidRPr="006214C5" w:rsidP="004A1AB3" w14:paraId="214A2BE1" w14:textId="77777777">
      <w:pPr>
        <w:pStyle w:val="ParaNum"/>
        <w:numPr>
          <w:ilvl w:val="0"/>
          <w:numId w:val="0"/>
        </w:numPr>
        <w:spacing w:after="0"/>
        <w:rPr>
          <w:szCs w:val="22"/>
        </w:rPr>
      </w:pPr>
    </w:p>
    <w:p w:rsidR="004A1AB3" w:rsidRPr="006214C5" w:rsidP="004A1AB3" w14:paraId="358216F4" w14:textId="77777777">
      <w:pPr>
        <w:pStyle w:val="ParaNum"/>
        <w:numPr>
          <w:ilvl w:val="0"/>
          <w:numId w:val="0"/>
        </w:numPr>
        <w:spacing w:after="0"/>
        <w:ind w:left="720"/>
        <w:rPr>
          <w:szCs w:val="22"/>
        </w:rPr>
      </w:pPr>
      <w:r w:rsidRPr="006214C5">
        <w:rPr>
          <w:szCs w:val="22"/>
        </w:rPr>
        <w:tab/>
      </w:r>
      <w:r w:rsidRPr="006214C5">
        <w:rPr>
          <w:szCs w:val="22"/>
        </w:rPr>
        <w:tab/>
      </w:r>
      <w:r w:rsidRPr="006214C5">
        <w:rPr>
          <w:szCs w:val="22"/>
        </w:rPr>
        <w:tab/>
      </w:r>
      <w:r w:rsidRPr="006214C5">
        <w:rPr>
          <w:szCs w:val="22"/>
        </w:rPr>
        <w:tab/>
      </w:r>
      <w:r w:rsidRPr="006214C5">
        <w:rPr>
          <w:szCs w:val="22"/>
        </w:rPr>
        <w:tab/>
        <w:t xml:space="preserve">Gil M. Strobel </w:t>
      </w:r>
    </w:p>
    <w:p w:rsidR="004A1AB3" w:rsidRPr="006214C5" w:rsidP="004A1AB3" w14:paraId="5AB75BAA" w14:textId="77777777">
      <w:pPr>
        <w:pStyle w:val="ParaNum"/>
        <w:numPr>
          <w:ilvl w:val="0"/>
          <w:numId w:val="0"/>
        </w:numPr>
        <w:spacing w:after="0"/>
        <w:ind w:left="720"/>
        <w:rPr>
          <w:szCs w:val="22"/>
        </w:rPr>
      </w:pPr>
      <w:r w:rsidRPr="006214C5">
        <w:rPr>
          <w:szCs w:val="22"/>
        </w:rPr>
        <w:tab/>
      </w:r>
      <w:r w:rsidRPr="006214C5">
        <w:rPr>
          <w:szCs w:val="22"/>
        </w:rPr>
        <w:tab/>
      </w:r>
      <w:r w:rsidRPr="006214C5">
        <w:rPr>
          <w:szCs w:val="22"/>
        </w:rPr>
        <w:tab/>
      </w:r>
      <w:r w:rsidRPr="006214C5">
        <w:rPr>
          <w:szCs w:val="22"/>
        </w:rPr>
        <w:tab/>
      </w:r>
      <w:r w:rsidRPr="006214C5">
        <w:rPr>
          <w:szCs w:val="22"/>
        </w:rPr>
        <w:tab/>
        <w:t>Chief, Pricing Policy Division</w:t>
      </w:r>
    </w:p>
    <w:p w:rsidR="004A1AB3" w:rsidRPr="006214C5" w:rsidP="004A1AB3" w14:paraId="47447E78" w14:textId="77777777">
      <w:pPr>
        <w:pStyle w:val="ParaNum"/>
        <w:numPr>
          <w:ilvl w:val="0"/>
          <w:numId w:val="0"/>
        </w:numPr>
        <w:spacing w:after="0"/>
        <w:ind w:left="720"/>
        <w:rPr>
          <w:szCs w:val="22"/>
        </w:rPr>
      </w:pPr>
      <w:r w:rsidRPr="006214C5">
        <w:rPr>
          <w:szCs w:val="22"/>
        </w:rPr>
        <w:tab/>
      </w:r>
      <w:r w:rsidRPr="006214C5">
        <w:rPr>
          <w:szCs w:val="22"/>
        </w:rPr>
        <w:tab/>
      </w:r>
      <w:r w:rsidRPr="006214C5">
        <w:rPr>
          <w:szCs w:val="22"/>
        </w:rPr>
        <w:tab/>
      </w:r>
      <w:r w:rsidRPr="006214C5">
        <w:rPr>
          <w:szCs w:val="22"/>
        </w:rPr>
        <w:tab/>
      </w:r>
      <w:r w:rsidRPr="006214C5">
        <w:rPr>
          <w:szCs w:val="22"/>
        </w:rPr>
        <w:tab/>
        <w:t>Wireline Competition Bureau</w:t>
      </w:r>
      <w:bookmarkEnd w:id="2"/>
    </w:p>
    <w:p w:rsidR="0089268A" w:rsidRPr="006214C5" w:rsidP="004A1AB3" w14:paraId="29B4A925" w14:textId="77777777">
      <w:pPr>
        <w:pStyle w:val="ParaNum"/>
        <w:numPr>
          <w:ilvl w:val="0"/>
          <w:numId w:val="0"/>
        </w:numPr>
        <w:spacing w:after="0"/>
        <w:ind w:left="720"/>
        <w:rPr>
          <w:szCs w:val="22"/>
        </w:rPr>
      </w:pPr>
    </w:p>
    <w:sectPr w:rsidSect="0095764F">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02D" w:rsidP="0095764F" w14:paraId="457B743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7402D" w14:paraId="2C2775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02D" w:rsidP="009172D9" w14:paraId="2F7AD818" w14:textId="3FBAF96B">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02D" w14:paraId="5A1318A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1D4D" w14:paraId="5067AB5D" w14:textId="77777777">
      <w:r>
        <w:separator/>
      </w:r>
    </w:p>
  </w:footnote>
  <w:footnote w:type="continuationSeparator" w:id="1">
    <w:p w:rsidR="00C61D4D" w:rsidP="0095764F" w14:paraId="2FCF977A" w14:textId="77777777">
      <w:pPr>
        <w:spacing w:before="120"/>
        <w:rPr>
          <w:sz w:val="20"/>
        </w:rPr>
      </w:pPr>
      <w:r>
        <w:rPr>
          <w:sz w:val="20"/>
        </w:rPr>
        <w:t xml:space="preserve">(Continued from previous page)  </w:t>
      </w:r>
      <w:r>
        <w:rPr>
          <w:sz w:val="20"/>
        </w:rPr>
        <w:separator/>
      </w:r>
    </w:p>
  </w:footnote>
  <w:footnote w:type="continuationNotice" w:id="2">
    <w:p w:rsidR="00C61D4D" w:rsidP="0095764F" w14:paraId="06D06323" w14:textId="77777777">
      <w:pPr>
        <w:jc w:val="right"/>
        <w:rPr>
          <w:sz w:val="20"/>
        </w:rPr>
      </w:pPr>
    </w:p>
  </w:footnote>
  <w:footnote w:id="3">
    <w:p w:rsidR="002C33BC" w:rsidP="007C2A5D" w14:paraId="12C9CB55" w14:textId="77777777">
      <w:pPr>
        <w:pStyle w:val="FootnoteText"/>
      </w:pPr>
      <w:r>
        <w:rPr>
          <w:rStyle w:val="FootnoteReference"/>
        </w:rPr>
        <w:footnoteRef/>
      </w:r>
      <w:r>
        <w:t xml:space="preserve"> </w:t>
      </w:r>
      <w:r w:rsidRPr="005372B2">
        <w:t>47 U.S.C. §</w:t>
      </w:r>
      <w:r>
        <w:t>§ </w:t>
      </w:r>
      <w:r w:rsidRPr="005372B2">
        <w:t>204, 205.</w:t>
      </w:r>
    </w:p>
  </w:footnote>
  <w:footnote w:id="4">
    <w:p w:rsidR="002C33BC" w:rsidP="007C2A5D" w14:paraId="628A3C04" w14:textId="146F700E">
      <w:pPr>
        <w:pStyle w:val="FootnoteText"/>
      </w:pPr>
      <w:r>
        <w:rPr>
          <w:rStyle w:val="FootnoteReference"/>
        </w:rPr>
        <w:footnoteRef/>
      </w:r>
      <w:r>
        <w:t xml:space="preserve"> </w:t>
      </w:r>
      <w:r>
        <w:rPr>
          <w:i/>
          <w:iCs/>
        </w:rPr>
        <w:t xml:space="preserve">See </w:t>
      </w:r>
      <w:r>
        <w:t>Northern Valley Communications, LLC Tariff F.C.C. No. 3, Transmittal No. 12 (Dec. 27, 2019) (Transmittal No. 12) (available via the Commission’s Electronic Tariff Filing System)</w:t>
      </w:r>
      <w:r w:rsidR="00865238">
        <w:t>;</w:t>
      </w:r>
      <w:r>
        <w:t xml:space="preserve"> </w:t>
      </w:r>
      <w:r w:rsidRPr="00865238" w:rsidR="00865238">
        <w:t>Reply of Northern Valley Communications, LLC to Petitions to Reject or to Suspend and Investigate Northern Valley Communications, LLC’s Tariff F.C.C. No. 3, Transmittal No. 12, WC Docket No. 20-11 at 1 (filed Jan. 7, 2020) (Northern Valley Reply)</w:t>
      </w:r>
      <w:r w:rsidR="00865238">
        <w:t>.</w:t>
      </w:r>
    </w:p>
  </w:footnote>
  <w:footnote w:id="5">
    <w:p w:rsidR="002C33BC" w:rsidP="006F68F4" w14:paraId="6C2D51DF" w14:textId="77777777">
      <w:pPr>
        <w:pStyle w:val="FootnoteText"/>
      </w:pPr>
      <w:r>
        <w:rPr>
          <w:rStyle w:val="FootnoteReference"/>
        </w:rPr>
        <w:footnoteRef/>
      </w:r>
      <w:r>
        <w:t xml:space="preserve"> </w:t>
      </w:r>
      <w:bookmarkStart w:id="0" w:name="_Hlk34034886"/>
      <w:r w:rsidRPr="00CB0B7B">
        <w:rPr>
          <w:i/>
        </w:rPr>
        <w:t>Updating the Intercarrier Compensation Regime to Eliminate Access Arbitrage</w:t>
      </w:r>
      <w:r w:rsidRPr="00CB0B7B">
        <w:t xml:space="preserve">, WC Docket No. 18-155, Report and Order and Modification of Section 214 Authorizations, </w:t>
      </w:r>
      <w:r>
        <w:t>34 FCC Rcd 9035</w:t>
      </w:r>
      <w:r w:rsidR="00815709">
        <w:t>, 9035-36, para. 1</w:t>
      </w:r>
      <w:r w:rsidRPr="00D70889" w:rsidR="00D70889">
        <w:t xml:space="preserve"> </w:t>
      </w:r>
      <w:r w:rsidR="00D70889">
        <w:t>(2019)</w:t>
      </w:r>
      <w:r w:rsidRPr="00D70889" w:rsidR="00D70889">
        <w:rPr>
          <w:snapToGrid w:val="0"/>
          <w:kern w:val="28"/>
          <w:sz w:val="22"/>
        </w:rPr>
        <w:t xml:space="preserve"> </w:t>
      </w:r>
      <w:r w:rsidRPr="00D70889" w:rsidR="00D70889">
        <w:t>(</w:t>
      </w:r>
      <w:r w:rsidRPr="00D70889" w:rsidR="00D70889">
        <w:rPr>
          <w:i/>
        </w:rPr>
        <w:t>Access Arbitrage Order</w:t>
      </w:r>
      <w:r w:rsidRPr="00D70889" w:rsidR="00D70889">
        <w:t>)</w:t>
      </w:r>
      <w:bookmarkStart w:id="1" w:name="_Hlk33957739"/>
      <w:r w:rsidRPr="00A82D3E" w:rsidR="00A82D3E">
        <w:t xml:space="preserve">, </w:t>
      </w:r>
      <w:r w:rsidRPr="00B87D05" w:rsidR="00B87D05">
        <w:rPr>
          <w:i/>
          <w:iCs/>
        </w:rPr>
        <w:t>pets. for review pending sub nom.</w:t>
      </w:r>
      <w:r w:rsidRPr="00B87D05" w:rsidR="00B87D05">
        <w:t xml:space="preserve"> </w:t>
      </w:r>
      <w:r w:rsidRPr="00B87D05" w:rsidR="00B87D05">
        <w:rPr>
          <w:i/>
          <w:iCs/>
        </w:rPr>
        <w:t>Great Lakes Commc</w:t>
      </w:r>
      <w:r w:rsidR="00B87D05">
        <w:rPr>
          <w:i/>
          <w:iCs/>
        </w:rPr>
        <w:t xml:space="preserve">’ns </w:t>
      </w:r>
      <w:r w:rsidRPr="00B87D05" w:rsidR="00B87D05">
        <w:rPr>
          <w:i/>
          <w:iCs/>
        </w:rPr>
        <w:t>Corp. et al. v. FCC</w:t>
      </w:r>
      <w:r w:rsidRPr="00B87D05" w:rsidR="00B87D05">
        <w:t>, No. 19-1233 (D.C. Cir. filed Oct. 29, 2019)</w:t>
      </w:r>
      <w:bookmarkEnd w:id="0"/>
      <w:bookmarkEnd w:id="1"/>
      <w:r w:rsidR="005F13E6">
        <w:t xml:space="preserve"> (Northern Valley is one of the appellants)</w:t>
      </w:r>
      <w:r w:rsidRPr="00D70889" w:rsidR="00D70889">
        <w:t xml:space="preserve">; </w:t>
      </w:r>
      <w:r w:rsidRPr="00D70889" w:rsidR="00D70889">
        <w:rPr>
          <w:i/>
          <w:iCs/>
        </w:rPr>
        <w:t xml:space="preserve">see also </w:t>
      </w:r>
      <w:r w:rsidRPr="00D70889" w:rsidR="00D70889">
        <w:t>47 CFR § 61.3(ccc) (defining “In</w:t>
      </w:r>
      <w:r w:rsidR="00D70889">
        <w:t>t</w:t>
      </w:r>
      <w:r w:rsidRPr="00D70889" w:rsidR="00D70889">
        <w:t>ermediate Access Provider” as any entity that carries or processes traffic at any point between the final Interexchange Carrier in a call path and a local exchange carrier engaged in Access Stimulation).</w:t>
      </w:r>
    </w:p>
  </w:footnote>
  <w:footnote w:id="6">
    <w:p w:rsidR="002C33BC" w:rsidP="003777C1" w14:paraId="21AAD1D9" w14:textId="77777777">
      <w:pPr>
        <w:pStyle w:val="FootnoteText"/>
      </w:pPr>
      <w:r>
        <w:rPr>
          <w:rStyle w:val="FootnoteReference"/>
        </w:rPr>
        <w:footnoteRef/>
      </w:r>
      <w:r>
        <w:t xml:space="preserve"> </w:t>
      </w:r>
      <w:r w:rsidRPr="00F16F86">
        <w:rPr>
          <w:i/>
          <w:iCs/>
        </w:rPr>
        <w:t>All Am. Tel. Co., Inc. v. FCC</w:t>
      </w:r>
      <w:r w:rsidRPr="00F16F86">
        <w:t>, 867 F.3d 81</w:t>
      </w:r>
      <w:r w:rsidR="001D3FA6">
        <w:t>,</w:t>
      </w:r>
      <w:r w:rsidR="0022267A">
        <w:t xml:space="preserve"> 85</w:t>
      </w:r>
      <w:r w:rsidRPr="00F16F86">
        <w:t xml:space="preserve"> (D.C. Cir. 2017)</w:t>
      </w:r>
      <w:r>
        <w:t>.</w:t>
      </w:r>
    </w:p>
  </w:footnote>
  <w:footnote w:id="7">
    <w:p w:rsidR="002C33BC" w:rsidP="003777C1" w14:paraId="314132CC" w14:textId="77777777">
      <w:pPr>
        <w:pStyle w:val="FootnoteText"/>
      </w:pPr>
      <w:r>
        <w:rPr>
          <w:rStyle w:val="FootnoteReference"/>
        </w:rPr>
        <w:footnoteRef/>
      </w:r>
      <w:bookmarkStart w:id="3" w:name="_Hlk30664661"/>
      <w:r>
        <w:rPr>
          <w:i/>
          <w:iCs/>
        </w:rPr>
        <w:t xml:space="preserve"> Access Arbitrage Order</w:t>
      </w:r>
      <w:r w:rsidRPr="00CB0B7B">
        <w:t xml:space="preserve">, </w:t>
      </w:r>
      <w:r>
        <w:t xml:space="preserve">34 FCC Rcd at 9035-36, para. 1; </w:t>
      </w:r>
      <w:r>
        <w:rPr>
          <w:i/>
          <w:iCs/>
        </w:rPr>
        <w:t xml:space="preserve">see also </w:t>
      </w:r>
      <w:r>
        <w:t xml:space="preserve">47 </w:t>
      </w:r>
      <w:r w:rsidRPr="000B3DFC">
        <w:t>CFR § </w:t>
      </w:r>
      <w:r>
        <w:t>61.3(bbb) (defining “access stimulation”).</w:t>
      </w:r>
      <w:bookmarkEnd w:id="3"/>
    </w:p>
  </w:footnote>
  <w:footnote w:id="8">
    <w:p w:rsidR="002C33BC" w:rsidP="003777C1" w14:paraId="2D468218" w14:textId="731DD641">
      <w:pPr>
        <w:pStyle w:val="FootnoteText"/>
      </w:pPr>
      <w:r>
        <w:rPr>
          <w:rStyle w:val="FootnoteReference"/>
        </w:rPr>
        <w:footnoteRef/>
      </w:r>
      <w:r>
        <w:t xml:space="preserve"> </w:t>
      </w:r>
      <w:r w:rsidRPr="00C64E53">
        <w:rPr>
          <w:i/>
          <w:iCs/>
        </w:rPr>
        <w:t xml:space="preserve">See </w:t>
      </w:r>
      <w:r w:rsidR="002F55A5">
        <w:rPr>
          <w:i/>
          <w:iCs/>
        </w:rPr>
        <w:t>Access Arbitrage Order</w:t>
      </w:r>
      <w:r w:rsidR="002F55A5">
        <w:t>, 34 FCC Rcd</w:t>
      </w:r>
      <w:r w:rsidR="00A96200">
        <w:rPr>
          <w:i/>
          <w:iCs/>
        </w:rPr>
        <w:t xml:space="preserve"> </w:t>
      </w:r>
      <w:r>
        <w:t>at 9036, para. 2.</w:t>
      </w:r>
    </w:p>
  </w:footnote>
  <w:footnote w:id="9">
    <w:p w:rsidR="002C33BC" w:rsidP="003777C1" w14:paraId="04F99F39" w14:textId="553BD36B">
      <w:pPr>
        <w:pStyle w:val="FootnoteText"/>
      </w:pPr>
      <w:r>
        <w:rPr>
          <w:rStyle w:val="FootnoteReference"/>
        </w:rPr>
        <w:footnoteRef/>
      </w:r>
      <w:r>
        <w:t xml:space="preserve"> </w:t>
      </w:r>
      <w:r w:rsidRPr="0056045C" w:rsidR="003867E1">
        <w:rPr>
          <w:i/>
          <w:iCs/>
        </w:rPr>
        <w:t>Id</w:t>
      </w:r>
      <w:r w:rsidR="003867E1">
        <w:t>.</w:t>
      </w:r>
      <w:r w:rsidRPr="00D34C49">
        <w:t xml:space="preserve"> at </w:t>
      </w:r>
      <w:r>
        <w:t>9036, 9045-46, 904</w:t>
      </w:r>
      <w:r w:rsidR="00861FCF">
        <w:t>8-4</w:t>
      </w:r>
      <w:r>
        <w:t xml:space="preserve">9, </w:t>
      </w:r>
      <w:r w:rsidRPr="00D34C49">
        <w:t>para</w:t>
      </w:r>
      <w:r>
        <w:t>s</w:t>
      </w:r>
      <w:r w:rsidRPr="00D34C49">
        <w:t>. 3</w:t>
      </w:r>
      <w:r>
        <w:t>, 25, 33</w:t>
      </w:r>
      <w:r w:rsidRPr="00D34C49">
        <w:t>.</w:t>
      </w:r>
    </w:p>
  </w:footnote>
  <w:footnote w:id="10">
    <w:p w:rsidR="002C33BC" w14:paraId="775E12A3" w14:textId="5E3C8EA6">
      <w:pPr>
        <w:pStyle w:val="FootnoteText"/>
      </w:pPr>
      <w:r>
        <w:rPr>
          <w:rStyle w:val="FootnoteReference"/>
        </w:rPr>
        <w:footnoteRef/>
      </w:r>
      <w:r>
        <w:t xml:space="preserve"> </w:t>
      </w:r>
      <w:r w:rsidR="0022267A">
        <w:rPr>
          <w:i/>
          <w:iCs/>
        </w:rPr>
        <w:t>Id.</w:t>
      </w:r>
      <w:r w:rsidRPr="00FF1AFA">
        <w:t xml:space="preserve"> at 9036</w:t>
      </w:r>
      <w:r w:rsidR="00AE102D">
        <w:t>-37</w:t>
      </w:r>
      <w:r w:rsidR="00861FCF">
        <w:t>,</w:t>
      </w:r>
      <w:r w:rsidRPr="00FF1AFA">
        <w:t xml:space="preserve"> para. </w:t>
      </w:r>
      <w:r w:rsidR="00AE102D">
        <w:t>4.</w:t>
      </w:r>
      <w:r w:rsidRPr="00FF1AFA">
        <w:t xml:space="preserve"> </w:t>
      </w:r>
    </w:p>
  </w:footnote>
  <w:footnote w:id="11">
    <w:p w:rsidR="002C33BC" w:rsidP="00605308" w14:paraId="6EFDFB9C" w14:textId="77777777">
      <w:pPr>
        <w:pStyle w:val="FootnoteText"/>
        <w:keepNext/>
      </w:pPr>
      <w:r>
        <w:rPr>
          <w:rStyle w:val="FootnoteReference"/>
        </w:rPr>
        <w:footnoteRef/>
      </w:r>
      <w:r>
        <w:t xml:space="preserve"> </w:t>
      </w:r>
      <w:bookmarkStart w:id="4" w:name="_Hlk30582287"/>
      <w:r w:rsidRPr="00223BD9" w:rsidR="0022267A">
        <w:t>47 CFR § 51.914(a)</w:t>
      </w:r>
      <w:r w:rsidR="00480B1E">
        <w:t>(2);</w:t>
      </w:r>
      <w:r w:rsidRPr="00605308" w:rsidR="00480B1E">
        <w:rPr>
          <w:sz w:val="16"/>
          <w:szCs w:val="16"/>
        </w:rPr>
        <w:t xml:space="preserve"> </w:t>
      </w:r>
      <w:r w:rsidRPr="00605308" w:rsidR="00237AD4">
        <w:rPr>
          <w:i/>
          <w:iCs/>
        </w:rPr>
        <w:t>id.</w:t>
      </w:r>
      <w:r w:rsidR="00480B1E">
        <w:t xml:space="preserve"> § 51.914(a)(1)</w:t>
      </w:r>
      <w:r w:rsidRPr="00605308" w:rsidR="006F30E4">
        <w:rPr>
          <w:sz w:val="16"/>
          <w:szCs w:val="16"/>
        </w:rPr>
        <w:t xml:space="preserve"> </w:t>
      </w:r>
      <w:r w:rsidRPr="00223BD9" w:rsidR="0022267A">
        <w:t>(“[I]f a local exchange carrier is engaged in Access Stimulation</w:t>
      </w:r>
      <w:r w:rsidRPr="00237AD4" w:rsidR="0022267A">
        <w:t> . . .</w:t>
      </w:r>
      <w:r w:rsidRPr="00605308" w:rsidR="0022267A">
        <w:rPr>
          <w:sz w:val="16"/>
          <w:szCs w:val="16"/>
        </w:rPr>
        <w:t> </w:t>
      </w:r>
      <w:r w:rsidRPr="00223BD9" w:rsidR="0022267A">
        <w:t xml:space="preserve">it shall . . . </w:t>
      </w:r>
      <w:r w:rsidR="009E33D5">
        <w:t>[</w:t>
      </w:r>
      <w:r w:rsidRPr="00223BD9" w:rsidR="0022267A">
        <w:t>n</w:t>
      </w:r>
      <w:r w:rsidR="009E33D5">
        <w:t>]</w:t>
      </w:r>
      <w:r w:rsidRPr="00223BD9" w:rsidR="0022267A">
        <w:t>ot bill any Interexchange Carrier for terminating switched access tandem switching or terminating switched access transport charges for any traffic between such local exchange carrier</w:t>
      </w:r>
      <w:r w:rsidR="009E33D5">
        <w:t>’s</w:t>
      </w:r>
      <w:r w:rsidRPr="00223BD9" w:rsidR="0022267A">
        <w:t xml:space="preserve"> terminating end office or equivalent and the associated access tandem switch.”).</w:t>
      </w:r>
      <w:bookmarkEnd w:id="4"/>
      <w:r w:rsidR="0022267A">
        <w:t xml:space="preserve">  </w:t>
      </w:r>
      <w:r w:rsidRPr="003544C2" w:rsidR="0022267A">
        <w:t xml:space="preserve">The Access Stimulation Rules require </w:t>
      </w:r>
      <w:r w:rsidRPr="00EC21AC" w:rsidR="0022267A">
        <w:t>L</w:t>
      </w:r>
      <w:r w:rsidRPr="003544C2" w:rsidR="0022267A">
        <w:t>ECs to self-identify as access stimulators, and to notify the Commission,</w:t>
      </w:r>
      <w:r w:rsidRPr="00EC21AC" w:rsidR="0022267A">
        <w:t xml:space="preserve"> </w:t>
      </w:r>
      <w:r w:rsidRPr="003544C2" w:rsidR="0022267A">
        <w:t xml:space="preserve">as well as </w:t>
      </w:r>
      <w:r w:rsidRPr="00EC21AC" w:rsidR="0022267A">
        <w:t>I</w:t>
      </w:r>
      <w:r w:rsidRPr="003544C2" w:rsidR="0022267A">
        <w:t xml:space="preserve">ntermediate </w:t>
      </w:r>
      <w:r w:rsidRPr="00EC21AC" w:rsidR="0022267A">
        <w:t>Access P</w:t>
      </w:r>
      <w:r w:rsidRPr="003544C2" w:rsidR="0022267A">
        <w:t>roviders and IXCs, that they have assumed</w:t>
      </w:r>
      <w:r w:rsidRPr="00EC21AC" w:rsidR="0022267A">
        <w:t xml:space="preserve"> </w:t>
      </w:r>
      <w:r w:rsidRPr="003544C2" w:rsidR="0022267A">
        <w:t>financial responsibility for terminating tandem switching and transport</w:t>
      </w:r>
      <w:r w:rsidR="006F30E4">
        <w:t xml:space="preserve"> charges</w:t>
      </w:r>
      <w:r w:rsidR="0022267A">
        <w:t>, and to also provide notification if they cease engaging in access stimulation</w:t>
      </w:r>
      <w:r w:rsidRPr="003544C2" w:rsidR="0022267A">
        <w:t>.</w:t>
      </w:r>
      <w:r w:rsidR="0022267A">
        <w:t xml:space="preserve"> </w:t>
      </w:r>
      <w:r w:rsidRPr="003544C2" w:rsidR="0022267A">
        <w:t xml:space="preserve"> </w:t>
      </w:r>
      <w:r w:rsidR="0022267A">
        <w:t>47</w:t>
      </w:r>
      <w:r w:rsidRPr="003544C2" w:rsidR="0022267A">
        <w:t xml:space="preserve"> CFR §</w:t>
      </w:r>
      <w:r w:rsidR="0022267A">
        <w:t>§ </w:t>
      </w:r>
      <w:r w:rsidRPr="003544C2" w:rsidR="0022267A">
        <w:t>51.914(b)</w:t>
      </w:r>
      <w:r w:rsidR="009E33D5">
        <w:t>, (c) and (e)</w:t>
      </w:r>
      <w:r w:rsidR="0022267A">
        <w:t>.</w:t>
      </w:r>
    </w:p>
  </w:footnote>
  <w:footnote w:id="12">
    <w:p w:rsidR="002C33BC" w:rsidP="0026190D" w14:paraId="20AA8E61" w14:textId="2FC1E7B8">
      <w:pPr>
        <w:widowControl/>
        <w:autoSpaceDE w:val="0"/>
        <w:autoSpaceDN w:val="0"/>
        <w:adjustRightInd w:val="0"/>
        <w:spacing w:after="120"/>
      </w:pPr>
      <w:r w:rsidRPr="00EC21AC">
        <w:rPr>
          <w:rStyle w:val="FootnoteReference"/>
        </w:rPr>
        <w:footnoteRef/>
      </w:r>
      <w:r w:rsidRPr="00223BD9">
        <w:rPr>
          <w:sz w:val="20"/>
        </w:rPr>
        <w:t xml:space="preserve"> </w:t>
      </w:r>
      <w:r w:rsidRPr="00223BD9">
        <w:rPr>
          <w:i/>
          <w:sz w:val="20"/>
        </w:rPr>
        <w:t xml:space="preserve">See </w:t>
      </w:r>
      <w:r w:rsidRPr="00223BD9">
        <w:rPr>
          <w:sz w:val="20"/>
        </w:rPr>
        <w:t xml:space="preserve">84 Fed. Reg. 57629 (Oct. 28, 2019) (announcing November 27, 2019 as the effective date of the </w:t>
      </w:r>
      <w:r w:rsidRPr="00223BD9">
        <w:rPr>
          <w:i/>
          <w:sz w:val="20"/>
        </w:rPr>
        <w:t>Access Arbitrage</w:t>
      </w:r>
      <w:r w:rsidRPr="00223BD9">
        <w:rPr>
          <w:sz w:val="20"/>
        </w:rPr>
        <w:t xml:space="preserve"> </w:t>
      </w:r>
      <w:r w:rsidRPr="00223BD9">
        <w:rPr>
          <w:i/>
          <w:sz w:val="20"/>
        </w:rPr>
        <w:t>Order</w:t>
      </w:r>
      <w:r w:rsidRPr="00223BD9">
        <w:rPr>
          <w:sz w:val="20"/>
        </w:rPr>
        <w:t xml:space="preserve">).  Sections 51.914(a) and (b) became effective 45 days later, on January 11, 2020.  </w:t>
      </w:r>
      <w:r w:rsidRPr="00223BD9">
        <w:rPr>
          <w:i/>
          <w:sz w:val="20"/>
        </w:rPr>
        <w:t xml:space="preserve">See </w:t>
      </w:r>
      <w:r w:rsidRPr="00223BD9">
        <w:rPr>
          <w:sz w:val="20"/>
        </w:rPr>
        <w:t xml:space="preserve">47 CFR §§ 51.914 (a)-(b).  </w:t>
      </w:r>
      <w:r>
        <w:rPr>
          <w:kern w:val="0"/>
          <w:sz w:val="20"/>
        </w:rPr>
        <w:t xml:space="preserve">  </w:t>
      </w:r>
    </w:p>
  </w:footnote>
  <w:footnote w:id="13">
    <w:p w:rsidR="00621B56" w14:paraId="4A24D8B5" w14:textId="77777777">
      <w:pPr>
        <w:pStyle w:val="FootnoteText"/>
      </w:pPr>
      <w:r>
        <w:rPr>
          <w:rStyle w:val="FootnoteReference"/>
        </w:rPr>
        <w:footnoteRef/>
      </w:r>
      <w:r>
        <w:t xml:space="preserve"> </w:t>
      </w:r>
      <w:r w:rsidRPr="00621B56">
        <w:rPr>
          <w:i/>
          <w:iCs/>
        </w:rPr>
        <w:t>Access Arbitrage</w:t>
      </w:r>
      <w:r w:rsidRPr="00621B56">
        <w:rPr>
          <w:i/>
        </w:rPr>
        <w:t xml:space="preserve"> Order</w:t>
      </w:r>
      <w:r w:rsidRPr="00621B56">
        <w:rPr>
          <w:iCs/>
        </w:rPr>
        <w:t xml:space="preserve">, </w:t>
      </w:r>
      <w:r w:rsidRPr="00621B56">
        <w:t>34 FCC Rcd at 90</w:t>
      </w:r>
      <w:r>
        <w:t xml:space="preserve">50, </w:t>
      </w:r>
      <w:r w:rsidR="006F07D7">
        <w:t xml:space="preserve">9067, </w:t>
      </w:r>
      <w:r>
        <w:t>para</w:t>
      </w:r>
      <w:r w:rsidR="006F07D7">
        <w:t>s</w:t>
      </w:r>
      <w:r>
        <w:t>. 37</w:t>
      </w:r>
      <w:r w:rsidR="006F07D7">
        <w:t>, 73</w:t>
      </w:r>
      <w:r w:rsidRPr="00621B56">
        <w:t>.</w:t>
      </w:r>
    </w:p>
  </w:footnote>
  <w:footnote w:id="14">
    <w:p w:rsidR="002C33BC" w:rsidP="00223F53" w14:paraId="029A7DCF" w14:textId="77777777">
      <w:pPr>
        <w:pStyle w:val="FootnoteText"/>
      </w:pPr>
      <w:r>
        <w:rPr>
          <w:rStyle w:val="FootnoteReference"/>
        </w:rPr>
        <w:footnoteRef/>
      </w:r>
      <w:r>
        <w:t xml:space="preserve"> </w:t>
      </w:r>
      <w:r w:rsidR="0022267A">
        <w:rPr>
          <w:i/>
          <w:iCs/>
        </w:rPr>
        <w:t>Id.</w:t>
      </w:r>
      <w:r w:rsidRPr="00AA7BF6">
        <w:t xml:space="preserve"> at 90</w:t>
      </w:r>
      <w:r w:rsidR="004D17FF">
        <w:t>51</w:t>
      </w:r>
      <w:r w:rsidRPr="00AA7BF6">
        <w:t xml:space="preserve">, para. </w:t>
      </w:r>
      <w:r w:rsidR="0059670C">
        <w:t>40</w:t>
      </w:r>
      <w:r>
        <w:t xml:space="preserve"> (citation omitted). </w:t>
      </w:r>
    </w:p>
  </w:footnote>
  <w:footnote w:id="15">
    <w:p w:rsidR="00DD5F01" w14:paraId="7BD930CF" w14:textId="732A8EBA">
      <w:pPr>
        <w:pStyle w:val="FootnoteText"/>
      </w:pPr>
      <w:r>
        <w:rPr>
          <w:rStyle w:val="FootnoteReference"/>
        </w:rPr>
        <w:footnoteRef/>
      </w:r>
      <w:r>
        <w:t xml:space="preserve"> </w:t>
      </w:r>
      <w:r w:rsidR="001D3FA6">
        <w:rPr>
          <w:i/>
          <w:iCs/>
        </w:rPr>
        <w:t>Id.</w:t>
      </w:r>
      <w:r w:rsidR="001D3FA6">
        <w:t xml:space="preserve"> </w:t>
      </w:r>
      <w:r w:rsidR="00392973">
        <w:t>(emphasis added)</w:t>
      </w:r>
      <w:r w:rsidRPr="00DD5F01">
        <w:t>.</w:t>
      </w:r>
    </w:p>
  </w:footnote>
  <w:footnote w:id="16">
    <w:p w:rsidR="002C33BC" w:rsidP="003777C1" w14:paraId="56326166" w14:textId="615C6906">
      <w:pPr>
        <w:pStyle w:val="FootnoteText"/>
      </w:pPr>
      <w:r>
        <w:rPr>
          <w:rStyle w:val="FootnoteReference"/>
        </w:rPr>
        <w:footnoteRef/>
      </w:r>
      <w:r>
        <w:t xml:space="preserve"> Northern Valley </w:t>
      </w:r>
      <w:r w:rsidR="00865238">
        <w:t xml:space="preserve">Reply </w:t>
      </w:r>
      <w:r>
        <w:t>at 1</w:t>
      </w:r>
      <w:r w:rsidR="00E654A4">
        <w:t>.</w:t>
      </w:r>
    </w:p>
  </w:footnote>
  <w:footnote w:id="17">
    <w:p w:rsidR="002C33BC" w:rsidP="006D690E" w14:paraId="65CF5BB2" w14:textId="6A540EE0">
      <w:pPr>
        <w:pStyle w:val="FootnoteText"/>
      </w:pPr>
      <w:r>
        <w:rPr>
          <w:rStyle w:val="FootnoteReference"/>
        </w:rPr>
        <w:footnoteRef/>
      </w:r>
      <w:r>
        <w:t xml:space="preserve"> </w:t>
      </w:r>
      <w:r w:rsidR="009D48EC">
        <w:rPr>
          <w:i/>
          <w:iCs/>
        </w:rPr>
        <w:t>Id</w:t>
      </w:r>
      <w:r w:rsidR="009D48EC">
        <w:t>.</w:t>
      </w:r>
      <w:r>
        <w:t xml:space="preserve"> at 1,</w:t>
      </w:r>
      <w:r w:rsidR="00FC452B">
        <w:t xml:space="preserve"> </w:t>
      </w:r>
      <w:r>
        <w:t>3</w:t>
      </w:r>
      <w:r w:rsidR="00E654A4">
        <w:t xml:space="preserve">; </w:t>
      </w:r>
      <w:r w:rsidR="009D48EC">
        <w:rPr>
          <w:i/>
          <w:iCs/>
        </w:rPr>
        <w:t xml:space="preserve">see also </w:t>
      </w:r>
      <w:r w:rsidRPr="00AC02A8" w:rsidR="00E654A4">
        <w:t xml:space="preserve">Verizon Petition to Reject or, in the Alternative, Suspend and Investigate, WC Docket No. 20-11 at </w:t>
      </w:r>
      <w:r w:rsidR="00E654A4">
        <w:t>1-3</w:t>
      </w:r>
      <w:r w:rsidRPr="00AC02A8" w:rsidR="00E654A4">
        <w:t xml:space="preserve"> (filed Jan. 3, 2020) (Verizon Petition)</w:t>
      </w:r>
      <w:r>
        <w:t xml:space="preserve">. </w:t>
      </w:r>
      <w:r w:rsidR="00815709">
        <w:t xml:space="preserve"> </w:t>
      </w:r>
    </w:p>
  </w:footnote>
  <w:footnote w:id="18">
    <w:p w:rsidR="002C33BC" w14:paraId="5EFDAD1B" w14:textId="77777777">
      <w:pPr>
        <w:pStyle w:val="FootnoteText"/>
      </w:pPr>
      <w:r>
        <w:rPr>
          <w:rStyle w:val="FootnoteReference"/>
        </w:rPr>
        <w:footnoteRef/>
      </w:r>
      <w:r>
        <w:t xml:space="preserve"> </w:t>
      </w:r>
      <w:r w:rsidRPr="00B94EF3" w:rsidR="00B94EF3">
        <w:rPr>
          <w:i/>
          <w:iCs/>
        </w:rPr>
        <w:t xml:space="preserve">See </w:t>
      </w:r>
      <w:r w:rsidRPr="00B94EF3" w:rsidR="00B94EF3">
        <w:t>Transmittal No. 12, 1st Revised Page No. 46.1, § 7.2.2, Note 4.</w:t>
      </w:r>
    </w:p>
  </w:footnote>
  <w:footnote w:id="19">
    <w:p w:rsidR="002C33BC" w:rsidP="00051380" w14:paraId="44E6BECC" w14:textId="77777777">
      <w:pPr>
        <w:pStyle w:val="FootnoteText"/>
      </w:pPr>
      <w:r>
        <w:rPr>
          <w:rStyle w:val="FootnoteReference"/>
        </w:rPr>
        <w:footnoteRef/>
      </w:r>
      <w:r>
        <w:t xml:space="preserve"> Northern Valley Reply at 2.</w:t>
      </w:r>
    </w:p>
  </w:footnote>
  <w:footnote w:id="20">
    <w:p w:rsidR="002C33BC" w14:paraId="633277B7" w14:textId="77777777">
      <w:pPr>
        <w:pStyle w:val="FootnoteText"/>
      </w:pPr>
      <w:r>
        <w:rPr>
          <w:rStyle w:val="FootnoteReference"/>
        </w:rPr>
        <w:footnoteRef/>
      </w:r>
      <w:r>
        <w:t xml:space="preserve"> </w:t>
      </w:r>
      <w:bookmarkStart w:id="6" w:name="_Hlk32428516"/>
      <w:r w:rsidRPr="008B1C5E">
        <w:t>Transmittal No. 12, 1st Revised Page No. 46.1, § 7.2.2, Note 4.</w:t>
      </w:r>
      <w:bookmarkEnd w:id="6"/>
    </w:p>
  </w:footnote>
  <w:footnote w:id="21">
    <w:p w:rsidR="002C33BC" w:rsidP="009E3F56" w14:paraId="22279EFE" w14:textId="558E6FD8">
      <w:pPr>
        <w:pStyle w:val="FootnoteText"/>
      </w:pPr>
      <w:r>
        <w:rPr>
          <w:rStyle w:val="FootnoteReference"/>
        </w:rPr>
        <w:footnoteRef/>
      </w:r>
      <w:r>
        <w:t xml:space="preserve"> </w:t>
      </w:r>
      <w:r w:rsidRPr="00AC02A8" w:rsidR="00E654A4">
        <w:t>Verizon Petition</w:t>
      </w:r>
      <w:r w:rsidRPr="00AC02A8" w:rsidR="00AC02A8">
        <w:t xml:space="preserve">; Petition of Sprint to Reject or to Suspend and Investigate Northern Valley Communications, LLC’s Tariff, WC Docket No. 20-11 (filed Jan. 3, 2020) (Sprint Petition).  </w:t>
      </w:r>
    </w:p>
  </w:footnote>
  <w:footnote w:id="22">
    <w:p w:rsidR="002C33BC" w:rsidP="009E3F56" w14:paraId="650B453F" w14:textId="5379D96C">
      <w:pPr>
        <w:pStyle w:val="FootnoteText"/>
      </w:pPr>
      <w:r>
        <w:rPr>
          <w:rStyle w:val="FootnoteReference"/>
        </w:rPr>
        <w:footnoteRef/>
      </w:r>
      <w:r>
        <w:t xml:space="preserve"> Northern Valley Reply.  </w:t>
      </w:r>
    </w:p>
  </w:footnote>
  <w:footnote w:id="23">
    <w:p w:rsidR="002C33BC" w:rsidP="009E3F56" w14:paraId="7C6C6CF5" w14:textId="77777777">
      <w:pPr>
        <w:pStyle w:val="FootnoteText"/>
      </w:pPr>
      <w:r>
        <w:rPr>
          <w:rStyle w:val="FootnoteReference"/>
        </w:rPr>
        <w:footnoteRef/>
      </w:r>
      <w:r>
        <w:t xml:space="preserve"> </w:t>
      </w:r>
      <w:r w:rsidRPr="00DE74D7">
        <w:rPr>
          <w:i/>
        </w:rPr>
        <w:t>See Northern Valley Communications, LLC</w:t>
      </w:r>
      <w:r w:rsidRPr="00DE74D7">
        <w:t xml:space="preserve">, </w:t>
      </w:r>
      <w:r w:rsidRPr="00DE74D7">
        <w:rPr>
          <w:i/>
        </w:rPr>
        <w:t>Tariff F.C.C. No. 3</w:t>
      </w:r>
      <w:r w:rsidRPr="00DE74D7">
        <w:t>, WC Docket No. 20-11, Transmittal No. 12, Order, DA 20-40</w:t>
      </w:r>
      <w:r>
        <w:t>, at 1-2, paras. 1, 5</w:t>
      </w:r>
      <w:r w:rsidRPr="00DE74D7">
        <w:t xml:space="preserve"> (WCB Jan. 10, 2020) (</w:t>
      </w:r>
      <w:r w:rsidRPr="00DE74D7">
        <w:rPr>
          <w:i/>
        </w:rPr>
        <w:t>Suspension Order</w:t>
      </w:r>
      <w:r w:rsidRPr="00DE74D7">
        <w:t xml:space="preserve">).  </w:t>
      </w:r>
    </w:p>
  </w:footnote>
  <w:footnote w:id="24">
    <w:p w:rsidR="002C33BC" w14:paraId="669CE27F" w14:textId="77777777">
      <w:pPr>
        <w:pStyle w:val="FootnoteText"/>
      </w:pPr>
      <w:r>
        <w:rPr>
          <w:rStyle w:val="FootnoteReference"/>
        </w:rPr>
        <w:footnoteRef/>
      </w:r>
      <w:r>
        <w:t xml:space="preserve"> </w:t>
      </w:r>
      <w:r w:rsidRPr="006E4397">
        <w:rPr>
          <w:i/>
          <w:iCs/>
        </w:rPr>
        <w:t>Suspension Order</w:t>
      </w:r>
      <w:r w:rsidRPr="006E4397">
        <w:t xml:space="preserve"> at 3 paras. 6, 8, 10</w:t>
      </w:r>
      <w:r w:rsidR="006F30E4">
        <w:t xml:space="preserve">.  </w:t>
      </w:r>
      <w:r w:rsidRPr="002473B4" w:rsidR="006F30E4">
        <w:t>When proposed tariff revisions are advanced for a day, the effective date listed in the proposed revisions is moved to one day earlier so that suspension of the proposed revisions can occur on that day, thereby allowing the proposed revisions to become effective on the original effective date but not to be deemed lawful.  47 U.S.C. § 204(a)(3).</w:t>
      </w:r>
    </w:p>
  </w:footnote>
  <w:footnote w:id="25">
    <w:p w:rsidR="002C33BC" w:rsidP="009E3F56" w14:paraId="2BAA06C4" w14:textId="77777777">
      <w:pPr>
        <w:pStyle w:val="FootnoteText"/>
      </w:pPr>
      <w:r>
        <w:rPr>
          <w:rStyle w:val="FootnoteReference"/>
        </w:rPr>
        <w:footnoteRef/>
      </w:r>
      <w:r>
        <w:t xml:space="preserve"> </w:t>
      </w:r>
      <w:r w:rsidRPr="000E1CA3">
        <w:t>Letter from Steve Gatto, Authorized Representative for Northern Valley Communications, LLC, to Marlene  Dortch, Secretary, FCC, Transmittal No. 1</w:t>
      </w:r>
      <w:r>
        <w:t>3</w:t>
      </w:r>
      <w:r w:rsidRPr="000E1CA3">
        <w:t xml:space="preserve">, WC Docket No. 20-11 (filed </w:t>
      </w:r>
      <w:r>
        <w:t>Jan. 1</w:t>
      </w:r>
      <w:r w:rsidRPr="000E1CA3">
        <w:t>7, 20</w:t>
      </w:r>
      <w:r>
        <w:t>20</w:t>
      </w:r>
      <w:r w:rsidRPr="000E1CA3">
        <w:t xml:space="preserve">).  </w:t>
      </w:r>
      <w:r>
        <w:rPr>
          <w:i/>
          <w:iCs/>
        </w:rPr>
        <w:t xml:space="preserve">See </w:t>
      </w:r>
      <w:r w:rsidRPr="00103BF0">
        <w:t>47 CFR § </w:t>
      </w:r>
      <w:r>
        <w:t>61.191.</w:t>
      </w:r>
    </w:p>
  </w:footnote>
  <w:footnote w:id="26">
    <w:p w:rsidR="002C33BC" w:rsidP="009E3F56" w14:paraId="34D264DF" w14:textId="77777777">
      <w:pPr>
        <w:pStyle w:val="FootnoteText"/>
      </w:pPr>
      <w:r w:rsidRPr="005372B2">
        <w:rPr>
          <w:rStyle w:val="FootnoteReference"/>
        </w:rPr>
        <w:footnoteRef/>
      </w:r>
      <w:r w:rsidRPr="005372B2">
        <w:t xml:space="preserve"> </w:t>
      </w:r>
      <w:r>
        <w:rPr>
          <w:i/>
          <w:iCs/>
        </w:rPr>
        <w:t xml:space="preserve">See </w:t>
      </w:r>
      <w:r w:rsidRPr="005372B2">
        <w:t xml:space="preserve">47 U.S.C. </w:t>
      </w:r>
      <w:r>
        <w:t>§ </w:t>
      </w:r>
      <w:r w:rsidRPr="005372B2">
        <w:t>204(a)(1)</w:t>
      </w:r>
      <w:r>
        <w:t xml:space="preserve"> </w:t>
      </w:r>
      <w:r w:rsidRPr="004536F4">
        <w:t>(“At any hearing involving a new or revised charge, or a proposed new or revised charge, the burden of proof to show that the new or revised charge, or proposed charge, is just and reasonable shall be upon the carrier</w:t>
      </w:r>
      <w:r>
        <w:t> . . . . </w:t>
      </w:r>
      <w:r w:rsidRPr="004536F4">
        <w:t>”).  Northern Valley’s tariff filing revise</w:t>
      </w:r>
      <w:r>
        <w:t>s</w:t>
      </w:r>
      <w:r w:rsidRPr="004536F4">
        <w:t xml:space="preserve"> how access</w:t>
      </w:r>
      <w:r>
        <w:t>-</w:t>
      </w:r>
      <w:r w:rsidRPr="004536F4">
        <w:t xml:space="preserve">stimulation traffic </w:t>
      </w:r>
      <w:r>
        <w:t>will</w:t>
      </w:r>
      <w:r w:rsidRPr="004536F4">
        <w:t xml:space="preserve"> </w:t>
      </w:r>
      <w:r>
        <w:t xml:space="preserve">be </w:t>
      </w:r>
      <w:r w:rsidRPr="004536F4">
        <w:t>terminat</w:t>
      </w:r>
      <w:r>
        <w:t>ed to it and which entity will be charged for that service</w:t>
      </w:r>
      <w:r w:rsidRPr="004536F4">
        <w:t>.</w:t>
      </w:r>
    </w:p>
  </w:footnote>
  <w:footnote w:id="27">
    <w:p w:rsidR="002C33BC" w:rsidP="009E3F56" w14:paraId="0674866C" w14:textId="77777777">
      <w:pPr>
        <w:pStyle w:val="FootnoteText"/>
      </w:pPr>
      <w:r w:rsidRPr="005372B2">
        <w:rPr>
          <w:rStyle w:val="FootnoteReference"/>
        </w:rPr>
        <w:footnoteRef/>
      </w:r>
      <w:r w:rsidRPr="005372B2">
        <w:t xml:space="preserve"> </w:t>
      </w:r>
      <w:r w:rsidRPr="005372B2">
        <w:rPr>
          <w:i/>
        </w:rPr>
        <w:t>Id</w:t>
      </w:r>
      <w:r w:rsidRPr="005372B2">
        <w:t>.</w:t>
      </w:r>
    </w:p>
  </w:footnote>
  <w:footnote w:id="28">
    <w:p w:rsidR="002C33BC" w:rsidP="009E3F56" w14:paraId="3F5594AF" w14:textId="17C0C9E5">
      <w:pPr>
        <w:pStyle w:val="FootnoteText"/>
      </w:pPr>
      <w:r w:rsidRPr="005372B2">
        <w:rPr>
          <w:rStyle w:val="FootnoteReference"/>
        </w:rPr>
        <w:footnoteRef/>
      </w:r>
      <w:r w:rsidRPr="005372B2">
        <w:t xml:space="preserve"> </w:t>
      </w:r>
      <w:r w:rsidRPr="005372B2">
        <w:rPr>
          <w:i/>
        </w:rPr>
        <w:t>Id</w:t>
      </w:r>
      <w:r w:rsidRPr="005372B2">
        <w:t>.</w:t>
      </w:r>
      <w:r w:rsidRPr="00933E29">
        <w:t xml:space="preserve"> </w:t>
      </w:r>
      <w:r>
        <w:t>§ </w:t>
      </w:r>
      <w:r w:rsidRPr="005372B2">
        <w:t>205(a)</w:t>
      </w:r>
      <w:r>
        <w:t>.</w:t>
      </w:r>
    </w:p>
  </w:footnote>
  <w:footnote w:id="29">
    <w:p w:rsidR="002C33BC" w14:paraId="5135C0EF" w14:textId="77777777">
      <w:pPr>
        <w:pStyle w:val="FootnoteText"/>
      </w:pPr>
      <w:r>
        <w:rPr>
          <w:rStyle w:val="FootnoteReference"/>
        </w:rPr>
        <w:footnoteRef/>
      </w:r>
      <w:r>
        <w:t xml:space="preserve"> </w:t>
      </w:r>
      <w:r w:rsidRPr="008B1C5E" w:rsidR="008B1C5E">
        <w:t>Transmittal No. 12, 1st Revised Page No. 46.1, § 7.2.2</w:t>
      </w:r>
      <w:r w:rsidR="00F15E3F">
        <w:t>, Note 4</w:t>
      </w:r>
      <w:r w:rsidR="008B1C5E">
        <w:t>.</w:t>
      </w:r>
    </w:p>
  </w:footnote>
  <w:footnote w:id="30">
    <w:p w:rsidR="002C33BC" w:rsidP="00727DDF" w14:paraId="163775FB" w14:textId="77777777">
      <w:pPr>
        <w:pStyle w:val="FootnoteText"/>
      </w:pPr>
      <w:r>
        <w:rPr>
          <w:rStyle w:val="FootnoteReference"/>
        </w:rPr>
        <w:footnoteRef/>
      </w:r>
      <w:r>
        <w:t xml:space="preserve"> </w:t>
      </w:r>
      <w:r w:rsidRPr="00E56B02">
        <w:t xml:space="preserve">Verizon </w:t>
      </w:r>
      <w:r w:rsidR="00AC02A8">
        <w:t xml:space="preserve">Petition </w:t>
      </w:r>
      <w:r w:rsidRPr="00E56B02">
        <w:t xml:space="preserve">at </w:t>
      </w:r>
      <w:r w:rsidR="0022267A">
        <w:t>3</w:t>
      </w:r>
      <w:r w:rsidRPr="00E56B02">
        <w:t xml:space="preserve">; Sprint </w:t>
      </w:r>
      <w:r w:rsidR="00AC02A8">
        <w:t>Petition</w:t>
      </w:r>
      <w:r w:rsidRPr="00E56B02">
        <w:t xml:space="preserve"> at 3.  </w:t>
      </w:r>
      <w:r w:rsidR="009C55B9">
        <w:t xml:space="preserve"> </w:t>
      </w:r>
    </w:p>
  </w:footnote>
  <w:footnote w:id="31">
    <w:p w:rsidR="002C33BC" w:rsidP="0089268A" w14:paraId="68B5D9E6" w14:textId="77777777">
      <w:pPr>
        <w:pStyle w:val="FootnoteText"/>
      </w:pPr>
      <w:bookmarkStart w:id="7" w:name="_Hlk32944075"/>
      <w:bookmarkEnd w:id="7"/>
      <w:r>
        <w:rPr>
          <w:rStyle w:val="FootnoteReference"/>
        </w:rPr>
        <w:footnoteRef/>
      </w:r>
      <w:r>
        <w:t xml:space="preserve"> </w:t>
      </w:r>
      <w:r w:rsidR="000F38D1">
        <w:rPr>
          <w:i/>
          <w:iCs/>
        </w:rPr>
        <w:t xml:space="preserve">See </w:t>
      </w:r>
      <w:r w:rsidRPr="004503CC">
        <w:t>Verizon Petition at 1-2</w:t>
      </w:r>
      <w:r w:rsidRPr="00E00BFE">
        <w:t xml:space="preserve">.  </w:t>
      </w:r>
    </w:p>
  </w:footnote>
  <w:footnote w:id="32">
    <w:p w:rsidR="002C33BC" w:rsidP="00A3764F" w14:paraId="237543D8" w14:textId="77777777">
      <w:pPr>
        <w:pStyle w:val="FootnoteText"/>
      </w:pPr>
      <w:r>
        <w:rPr>
          <w:rStyle w:val="FootnoteReference"/>
        </w:rPr>
        <w:footnoteRef/>
      </w:r>
      <w:r>
        <w:t xml:space="preserve"> </w:t>
      </w:r>
      <w:r>
        <w:rPr>
          <w:i/>
          <w:iCs/>
        </w:rPr>
        <w:t xml:space="preserve">See </w:t>
      </w:r>
      <w:r>
        <w:t xml:space="preserve">Sprint Petition at 3-4; </w:t>
      </w:r>
      <w:r w:rsidRPr="00BF7567">
        <w:t>Verizon Petition at</w:t>
      </w:r>
      <w:r>
        <w:t xml:space="preserve"> 1</w:t>
      </w:r>
      <w:r w:rsidRPr="00C56D79" w:rsidR="00C56D79">
        <w:t xml:space="preserve"> </w:t>
      </w:r>
      <w:r w:rsidR="00C56D79">
        <w:t>(</w:t>
      </w:r>
      <w:r w:rsidRPr="0089268A" w:rsidR="00C56D79">
        <w:t>“SDN has billed IXCs for tandem switching, and Northern Valley has billed IXCs for approximately 190 miles of transport from Sioux Falls to Northern Valley’s switch in Redfield.”</w:t>
      </w:r>
      <w:r w:rsidR="00C56D79">
        <w:t>).</w:t>
      </w:r>
      <w:r w:rsidRPr="00C56D79" w:rsidR="00C56D79">
        <w:t xml:space="preserve"> </w:t>
      </w:r>
      <w:r w:rsidR="00C56D79">
        <w:t xml:space="preserve"> </w:t>
      </w:r>
      <w:r w:rsidRPr="0065600C" w:rsidR="00C56D79">
        <w:t>Verizon Petition at 1</w:t>
      </w:r>
      <w:r w:rsidR="00C56D79">
        <w:t>-2 (</w:t>
      </w:r>
      <w:r w:rsidRPr="0089268A" w:rsidR="00C56D79">
        <w:t>Northern Valley “</w:t>
      </w:r>
      <w:r w:rsidR="00C56D79">
        <w:t>has treated</w:t>
      </w:r>
      <w:r w:rsidRPr="0089268A" w:rsidR="00C56D79">
        <w:t xml:space="preserve"> its Redfield switch as a remote office subtending a host office in Groton, South Dakota, and has thus billed separately for the Sioux Fall</w:t>
      </w:r>
      <w:r w:rsidR="00C56D79">
        <w:t xml:space="preserve">s to </w:t>
      </w:r>
      <w:r w:rsidRPr="0089268A" w:rsidR="00C56D79">
        <w:t xml:space="preserve">Groton and </w:t>
      </w:r>
      <w:r w:rsidR="00C56D79">
        <w:t xml:space="preserve">the </w:t>
      </w:r>
      <w:r w:rsidRPr="0089268A" w:rsidR="00C56D79">
        <w:t>Groton</w:t>
      </w:r>
      <w:r w:rsidR="00C56D79">
        <w:t xml:space="preserve"> to </w:t>
      </w:r>
      <w:r w:rsidRPr="0089268A" w:rsidR="00C56D79">
        <w:t>Redfield legs of the route.</w:t>
      </w:r>
      <w:r w:rsidR="00C56D79">
        <w:t>”)</w:t>
      </w:r>
      <w:r w:rsidR="0052411E">
        <w:t>.</w:t>
      </w:r>
      <w:r w:rsidR="00C56D79">
        <w:t xml:space="preserve">  </w:t>
      </w:r>
      <w:r w:rsidRPr="00790855" w:rsidR="00C56D79">
        <w:t xml:space="preserve">Verizon also </w:t>
      </w:r>
      <w:r w:rsidR="00C56D79">
        <w:t xml:space="preserve">asserts </w:t>
      </w:r>
      <w:r w:rsidRPr="00790855" w:rsidR="00C56D79">
        <w:t>that this routing inflates the transport charges because the shorter direct (airline mileage) route is from Sioux Falls to Redfield</w:t>
      </w:r>
      <w:r w:rsidR="00C56D79">
        <w:t>.</w:t>
      </w:r>
      <w:r w:rsidR="00C56D79">
        <w:rPr>
          <w:snapToGrid w:val="0"/>
          <w:kern w:val="28"/>
          <w:sz w:val="22"/>
        </w:rPr>
        <w:t xml:space="preserve">  </w:t>
      </w:r>
      <w:r w:rsidRPr="00790855" w:rsidR="00C56D79">
        <w:t>Verizon Petition at 2.</w:t>
      </w:r>
    </w:p>
  </w:footnote>
  <w:footnote w:id="33">
    <w:p w:rsidR="00FC52BF" w:rsidP="00FC52BF" w14:paraId="64B86F89" w14:textId="64A5E128">
      <w:pPr>
        <w:pStyle w:val="FootnoteText"/>
      </w:pPr>
      <w:r>
        <w:rPr>
          <w:rStyle w:val="FootnoteReference"/>
        </w:rPr>
        <w:footnoteRef/>
      </w:r>
      <w:r>
        <w:t xml:space="preserve"> </w:t>
      </w:r>
      <w:r>
        <w:rPr>
          <w:i/>
          <w:iCs/>
        </w:rPr>
        <w:t>See Access Arbitrage Order</w:t>
      </w:r>
      <w:r>
        <w:t>, 3</w:t>
      </w:r>
      <w:r w:rsidR="002F55A5">
        <w:t>4</w:t>
      </w:r>
      <w:r>
        <w:t xml:space="preserve"> FCC Rcd at </w:t>
      </w:r>
      <w:r w:rsidRPr="00887BD9">
        <w:t>9041</w:t>
      </w:r>
      <w:r>
        <w:t>, para. 15 (</w:t>
      </w:r>
      <w:r w:rsidRPr="00734C83">
        <w:t>“twice as many minutes were being routed per month to Redfield, South Dakota (with its population of approximately 2,300 people and its 1</w:t>
      </w:r>
      <w:r>
        <w:t xml:space="preserve"> </w:t>
      </w:r>
      <w:r w:rsidRPr="00734C83">
        <w:t xml:space="preserve">end office) as is routed to </w:t>
      </w:r>
      <w:r w:rsidRPr="00734C83">
        <w:rPr>
          <w:i/>
        </w:rPr>
        <w:t xml:space="preserve">all </w:t>
      </w:r>
      <w:r w:rsidRPr="00734C83">
        <w:t>of Verizon’s facilities in New York City (with its population of approximately 8,500,000 people and its 90 end offices</w:t>
      </w:r>
      <w:r>
        <w:t>)”</w:t>
      </w:r>
      <w:r w:rsidRPr="00734C83">
        <w:t>)</w:t>
      </w:r>
      <w:r>
        <w:t xml:space="preserve"> (emphasis in original) (citation omitted).</w:t>
      </w:r>
      <w:r w:rsidRPr="00734C83">
        <w:t xml:space="preserve"> </w:t>
      </w:r>
    </w:p>
  </w:footnote>
  <w:footnote w:id="34">
    <w:p w:rsidR="00FC52BF" w:rsidP="00FC52BF" w14:paraId="129BD235" w14:textId="77777777">
      <w:pPr>
        <w:pStyle w:val="FootnoteText"/>
      </w:pPr>
      <w:r>
        <w:rPr>
          <w:rStyle w:val="FootnoteReference"/>
        </w:rPr>
        <w:footnoteRef/>
      </w:r>
      <w:r>
        <w:t xml:space="preserve"> </w:t>
      </w:r>
      <w:r>
        <w:rPr>
          <w:i/>
          <w:iCs/>
        </w:rPr>
        <w:t>See id.</w:t>
      </w:r>
      <w:r w:rsidRPr="005A7993">
        <w:t xml:space="preserve"> </w:t>
      </w:r>
      <w:r>
        <w:t>at 9036, para. 3 (“[T]here is evidence that the staggering volume of minutes generated by these [access arbitrage] schemes can result in call blocking and dropped calls.”).</w:t>
      </w:r>
    </w:p>
  </w:footnote>
  <w:footnote w:id="35">
    <w:p w:rsidR="002C33BC" w:rsidP="009B13D1" w14:paraId="7EDC0342" w14:textId="77777777">
      <w:pPr>
        <w:pStyle w:val="FootnoteText"/>
      </w:pPr>
      <w:r>
        <w:rPr>
          <w:rStyle w:val="FootnoteReference"/>
        </w:rPr>
        <w:footnoteRef/>
      </w:r>
      <w:r>
        <w:t xml:space="preserve"> Sprint Petition at 4.  </w:t>
      </w:r>
    </w:p>
  </w:footnote>
  <w:footnote w:id="36">
    <w:p w:rsidR="002C33BC" w14:paraId="5975EA2B" w14:textId="77777777">
      <w:pPr>
        <w:pStyle w:val="FootnoteText"/>
      </w:pPr>
      <w:r>
        <w:rPr>
          <w:rStyle w:val="FootnoteReference"/>
        </w:rPr>
        <w:footnoteRef/>
      </w:r>
      <w:r>
        <w:t xml:space="preserve"> Northern Valley Reply at </w:t>
      </w:r>
      <w:r w:rsidR="002523DF">
        <w:t>1-3.</w:t>
      </w:r>
    </w:p>
  </w:footnote>
  <w:footnote w:id="37">
    <w:p w:rsidR="002C33BC" w:rsidP="001B41C9" w14:paraId="1BA562BE" w14:textId="111D1522">
      <w:pPr>
        <w:pStyle w:val="FootnoteText"/>
      </w:pPr>
      <w:r>
        <w:rPr>
          <w:rStyle w:val="FootnoteReference"/>
        </w:rPr>
        <w:footnoteRef/>
      </w:r>
      <w:r>
        <w:t xml:space="preserve"> </w:t>
      </w:r>
      <w:r w:rsidRPr="00880E59">
        <w:t>Sprint Petition at Attach</w:t>
      </w:r>
      <w:r w:rsidR="0052411E">
        <w:t>.</w:t>
      </w:r>
      <w:r w:rsidRPr="00880E59">
        <w:t xml:space="preserve"> A, Letter from James Groft, CEO, Northern Valley, titled “Northern Valley Communications, LLC–Tandem Rehome, Immediate Attention Required”</w:t>
      </w:r>
      <w:r w:rsidR="003160E9">
        <w:t xml:space="preserve"> </w:t>
      </w:r>
      <w:r w:rsidRPr="00880E59">
        <w:t>(providing a contact person for “establish[ing] direct trunks to the new tandem”)</w:t>
      </w:r>
      <w:r w:rsidR="00B2747D">
        <w:t xml:space="preserve"> </w:t>
      </w:r>
      <w:r w:rsidR="009D359B">
        <w:t>(Northern Valley Notice Letter)</w:t>
      </w:r>
      <w:r w:rsidR="002F55A5">
        <w:t>;</w:t>
      </w:r>
      <w:r w:rsidRPr="002F55A5" w:rsidR="002F55A5">
        <w:rPr>
          <w:i/>
          <w:iCs/>
        </w:rPr>
        <w:t xml:space="preserve"> </w:t>
      </w:r>
      <w:r w:rsidR="002F55A5">
        <w:t>Northern Valley Reply</w:t>
      </w:r>
      <w:r w:rsidRPr="007828F0" w:rsidR="002F55A5">
        <w:rPr>
          <w:i/>
        </w:rPr>
        <w:t xml:space="preserve"> </w:t>
      </w:r>
      <w:r w:rsidRPr="00880E59" w:rsidR="002F55A5">
        <w:t>at 2</w:t>
      </w:r>
      <w:r w:rsidR="002F55A5">
        <w:t>.</w:t>
      </w:r>
    </w:p>
  </w:footnote>
  <w:footnote w:id="38">
    <w:p w:rsidR="002C33BC" w14:paraId="32C9D4D0" w14:textId="77777777">
      <w:pPr>
        <w:pStyle w:val="FootnoteText"/>
      </w:pPr>
      <w:r>
        <w:rPr>
          <w:rStyle w:val="FootnoteReference"/>
        </w:rPr>
        <w:footnoteRef/>
      </w:r>
      <w:r>
        <w:t xml:space="preserve"> Northern Valley Notice Letter.</w:t>
      </w:r>
    </w:p>
  </w:footnote>
  <w:footnote w:id="39">
    <w:p w:rsidR="005F13E6" w:rsidRPr="005F13E6" w14:paraId="03F5F579" w14:textId="77777777">
      <w:pPr>
        <w:pStyle w:val="FootnoteText"/>
      </w:pPr>
      <w:r>
        <w:rPr>
          <w:rStyle w:val="FootnoteReference"/>
        </w:rPr>
        <w:footnoteRef/>
      </w:r>
      <w:r>
        <w:t xml:space="preserve"> </w:t>
      </w:r>
      <w:r>
        <w:rPr>
          <w:i/>
          <w:iCs/>
        </w:rPr>
        <w:t xml:space="preserve">See </w:t>
      </w:r>
      <w:r>
        <w:t>47 CFR § 61.3(bbb)(1)(i)(A).</w:t>
      </w:r>
    </w:p>
  </w:footnote>
  <w:footnote w:id="40">
    <w:p w:rsidR="002C33BC" w14:paraId="0DD6E87E" w14:textId="77777777">
      <w:pPr>
        <w:pStyle w:val="FootnoteText"/>
      </w:pPr>
      <w:r>
        <w:rPr>
          <w:rStyle w:val="FootnoteReference"/>
        </w:rPr>
        <w:footnoteRef/>
      </w:r>
      <w:r>
        <w:t xml:space="preserve"> </w:t>
      </w:r>
      <w:r w:rsidRPr="00872775" w:rsidR="00C65348">
        <w:t xml:space="preserve">47 U.S.C. </w:t>
      </w:r>
      <w:r w:rsidR="00C65348">
        <w:t xml:space="preserve">§ 201(b) (which requires that “[a]ll . . . practices . . . in connection with such communications service, shall be just and reasonable, and any such . . .practice . . . that is unjust or unreasonable is hereby declared unlawful.”).  </w:t>
      </w:r>
      <w:r w:rsidRPr="0005126E">
        <w:t>47 U.S.C. § 202</w:t>
      </w:r>
      <w:r w:rsidR="0022267A">
        <w:t>(a)</w:t>
      </w:r>
      <w:r>
        <w:t xml:space="preserve"> (</w:t>
      </w:r>
      <w:r w:rsidR="00992ECB">
        <w:t xml:space="preserve">making </w:t>
      </w:r>
      <w:r>
        <w:t>it “unlawful for any common carrier to make any unjust or unreasonable discrimination in . . . practices</w:t>
      </w:r>
      <w:r w:rsidR="0022267A">
        <w:t xml:space="preserve"> . . .</w:t>
      </w:r>
      <w:r>
        <w:t xml:space="preserve"> for or in connection with like communication service, directly or indirectly, by any means or device, or to make or give any undue or unreasonable preference or advantage to any particular person . . . or to subject any particular person, class of persons, or </w:t>
      </w:r>
      <w:r w:rsidR="00F70A4A">
        <w:t>locality</w:t>
      </w:r>
      <w:r>
        <w:t xml:space="preserve"> to any undue or unreasonable prejudice or </w:t>
      </w:r>
      <w:r w:rsidR="00F70A4A">
        <w:t>disadvantage</w:t>
      </w:r>
      <w:r>
        <w:t>.”).</w:t>
      </w:r>
    </w:p>
  </w:footnote>
  <w:footnote w:id="41">
    <w:p w:rsidR="002C33BC" w:rsidP="00CE76DC" w14:paraId="08A1F2D5" w14:textId="77777777">
      <w:pPr>
        <w:pStyle w:val="FootnoteText"/>
      </w:pPr>
      <w:r>
        <w:rPr>
          <w:rStyle w:val="FootnoteReference"/>
        </w:rPr>
        <w:footnoteRef/>
      </w:r>
      <w:r>
        <w:t xml:space="preserve"> </w:t>
      </w:r>
      <w:r>
        <w:rPr>
          <w:i/>
          <w:iCs/>
        </w:rPr>
        <w:t xml:space="preserve">See </w:t>
      </w:r>
      <w:r w:rsidRPr="0005126E">
        <w:t>47 U.S.C. §§ 201, 202</w:t>
      </w:r>
      <w:r>
        <w:t xml:space="preserve">; </w:t>
      </w:r>
      <w:r>
        <w:rPr>
          <w:i/>
          <w:iCs/>
        </w:rPr>
        <w:t>see generally Access Arbitrage Order.</w:t>
      </w:r>
    </w:p>
  </w:footnote>
  <w:footnote w:id="42">
    <w:p w:rsidR="002C33BC" w14:paraId="47ED8CAD" w14:textId="77777777">
      <w:pPr>
        <w:pStyle w:val="FootnoteText"/>
      </w:pPr>
      <w:r>
        <w:rPr>
          <w:rStyle w:val="FootnoteReference"/>
        </w:rPr>
        <w:footnoteRef/>
      </w:r>
      <w:r>
        <w:t xml:space="preserve"> </w:t>
      </w:r>
      <w:r w:rsidRPr="00DA1092">
        <w:rPr>
          <w:i/>
          <w:iCs/>
        </w:rPr>
        <w:t>Access Arbitrage Order</w:t>
      </w:r>
      <w:r w:rsidRPr="00DA1092">
        <w:t>, 34 FCC Rcd at 9073-74, para. 92.</w:t>
      </w:r>
    </w:p>
  </w:footnote>
  <w:footnote w:id="43">
    <w:p w:rsidR="002C33BC" w:rsidP="000F7D41" w14:paraId="7F3AA4A2" w14:textId="05AAB45E">
      <w:pPr>
        <w:pStyle w:val="FootnoteText"/>
      </w:pPr>
      <w:r>
        <w:rPr>
          <w:rStyle w:val="FootnoteReference"/>
        </w:rPr>
        <w:footnoteRef/>
      </w:r>
      <w:r>
        <w:t xml:space="preserve"> </w:t>
      </w:r>
      <w:r w:rsidR="00D2667E">
        <w:rPr>
          <w:i/>
          <w:iCs/>
        </w:rPr>
        <w:t>Id.</w:t>
      </w:r>
      <w:r w:rsidRPr="007828F0" w:rsidR="00D2667E">
        <w:rPr>
          <w:i/>
        </w:rPr>
        <w:t xml:space="preserve"> </w:t>
      </w:r>
      <w:r w:rsidRPr="007418A6">
        <w:t>at 9042, para. 17 (emphasis added).</w:t>
      </w:r>
    </w:p>
  </w:footnote>
  <w:footnote w:id="44">
    <w:p w:rsidR="002C33BC" w:rsidP="004F4914" w14:paraId="07CAC840" w14:textId="77777777">
      <w:pPr>
        <w:pStyle w:val="FootnoteText"/>
      </w:pPr>
      <w:r>
        <w:rPr>
          <w:rStyle w:val="FootnoteReference"/>
        </w:rPr>
        <w:footnoteRef/>
      </w:r>
      <w:r>
        <w:t xml:space="preserve"> </w:t>
      </w:r>
      <w:r w:rsidR="0022267A">
        <w:rPr>
          <w:i/>
          <w:iCs/>
        </w:rPr>
        <w:t xml:space="preserve">Id. </w:t>
      </w:r>
      <w:r w:rsidRPr="00872775">
        <w:t>at 90</w:t>
      </w:r>
      <w:r>
        <w:t>76</w:t>
      </w:r>
      <w:r w:rsidRPr="00872775">
        <w:t xml:space="preserve">, para. </w:t>
      </w:r>
      <w:r>
        <w:t xml:space="preserve">99 (citing </w:t>
      </w:r>
      <w:r w:rsidRPr="00872775">
        <w:t>47 U.S.C. §</w:t>
      </w:r>
      <w:r>
        <w:t xml:space="preserve">§ 201(b), </w:t>
      </w:r>
      <w:r w:rsidRPr="00872775">
        <w:t>251, 254, 256</w:t>
      </w:r>
      <w:r>
        <w:t xml:space="preserve">). </w:t>
      </w:r>
    </w:p>
  </w:footnote>
  <w:footnote w:id="45">
    <w:p w:rsidR="002C33BC" w:rsidP="004F4914" w14:paraId="0970FA39" w14:textId="77777777">
      <w:pPr>
        <w:pStyle w:val="FootnoteText"/>
      </w:pPr>
      <w:r>
        <w:rPr>
          <w:rStyle w:val="FootnoteReference"/>
        </w:rPr>
        <w:footnoteRef/>
      </w:r>
      <w:r>
        <w:t xml:space="preserve"> </w:t>
      </w:r>
      <w:r>
        <w:rPr>
          <w:i/>
          <w:iCs/>
        </w:rPr>
        <w:t xml:space="preserve">See </w:t>
      </w:r>
      <w:hyperlink r:id="rId1" w:history="1">
        <w:r w:rsidRPr="007E6F6A">
          <w:rPr>
            <w:rStyle w:val="Hyperlink"/>
            <w:color w:val="auto"/>
            <w:u w:val="none"/>
          </w:rPr>
          <w:t>47 U.S.C. § </w:t>
        </w:r>
        <w:r>
          <w:rPr>
            <w:rStyle w:val="Hyperlink"/>
            <w:color w:val="auto"/>
            <w:u w:val="none"/>
          </w:rPr>
          <w:t>256</w:t>
        </w:r>
        <w:r w:rsidRPr="007E6F6A">
          <w:rPr>
            <w:rStyle w:val="Hyperlink"/>
            <w:color w:val="auto"/>
            <w:u w:val="none"/>
          </w:rPr>
          <w:t>(a)</w:t>
        </w:r>
      </w:hyperlink>
      <w:r>
        <w:rPr>
          <w:rStyle w:val="Hyperlink"/>
          <w:color w:val="auto"/>
          <w:u w:val="none"/>
        </w:rPr>
        <w:t>(1)(A)</w:t>
      </w:r>
      <w:r>
        <w:t>.</w:t>
      </w:r>
    </w:p>
  </w:footnote>
  <w:footnote w:id="46">
    <w:p w:rsidR="002C33BC" w:rsidP="009936B4" w14:paraId="4E3C0E4F" w14:textId="77777777">
      <w:pPr>
        <w:pStyle w:val="FootnoteText"/>
      </w:pPr>
      <w:r>
        <w:rPr>
          <w:rStyle w:val="FootnoteReference"/>
        </w:rPr>
        <w:footnoteRef/>
      </w:r>
      <w:r>
        <w:t xml:space="preserve"> </w:t>
      </w:r>
      <w:r w:rsidRPr="00FB4293">
        <w:rPr>
          <w:i/>
          <w:iCs/>
        </w:rPr>
        <w:t>See</w:t>
      </w:r>
      <w:r w:rsidR="00434B17">
        <w:rPr>
          <w:i/>
          <w:iCs/>
        </w:rPr>
        <w:t xml:space="preserve"> </w:t>
      </w:r>
      <w:r>
        <w:rPr>
          <w:i/>
          <w:iCs/>
        </w:rPr>
        <w:t xml:space="preserve">Access Arbitrage </w:t>
      </w:r>
      <w:r w:rsidRPr="00FB4293">
        <w:rPr>
          <w:i/>
          <w:iCs/>
        </w:rPr>
        <w:t>Order</w:t>
      </w:r>
      <w:r w:rsidRPr="00FB4293">
        <w:t>, 34 FCC Rcd at 906</w:t>
      </w:r>
      <w:r w:rsidR="007A2276">
        <w:t>7</w:t>
      </w:r>
      <w:r w:rsidRPr="00FB4293">
        <w:t xml:space="preserve">, para. </w:t>
      </w:r>
      <w:r w:rsidR="007A2276">
        <w:t>73.</w:t>
      </w:r>
    </w:p>
  </w:footnote>
  <w:footnote w:id="47">
    <w:p w:rsidR="002C33BC" w:rsidP="006D6887" w14:paraId="70FDCFFA" w14:textId="614388C2">
      <w:pPr>
        <w:pStyle w:val="FootnoteText"/>
      </w:pPr>
      <w:r>
        <w:rPr>
          <w:rStyle w:val="FootnoteReference"/>
        </w:rPr>
        <w:footnoteRef/>
      </w:r>
      <w:r>
        <w:t xml:space="preserve"> </w:t>
      </w:r>
      <w:r w:rsidRPr="00CC248C">
        <w:rPr>
          <w:i/>
          <w:iCs/>
        </w:rPr>
        <w:t>See</w:t>
      </w:r>
      <w:r w:rsidRPr="00E035E6">
        <w:t>,</w:t>
      </w:r>
      <w:r w:rsidRPr="00CC248C">
        <w:rPr>
          <w:i/>
          <w:iCs/>
        </w:rPr>
        <w:t xml:space="preserve"> e.g., </w:t>
      </w:r>
      <w:r w:rsidR="00857EE8">
        <w:rPr>
          <w:i/>
          <w:iCs/>
        </w:rPr>
        <w:t>id.</w:t>
      </w:r>
      <w:r w:rsidRPr="00CC248C">
        <w:t xml:space="preserve"> at </w:t>
      </w:r>
      <w:r>
        <w:t xml:space="preserve">9052, </w:t>
      </w:r>
      <w:r w:rsidRPr="00CC248C">
        <w:t>90</w:t>
      </w:r>
      <w:r>
        <w:t>74</w:t>
      </w:r>
      <w:r w:rsidRPr="00CC248C">
        <w:t>, para</w:t>
      </w:r>
      <w:r>
        <w:t>s</w:t>
      </w:r>
      <w:r w:rsidRPr="00CC248C">
        <w:t xml:space="preserve">. </w:t>
      </w:r>
      <w:r>
        <w:t>41, 93-94.</w:t>
      </w:r>
    </w:p>
  </w:footnote>
  <w:footnote w:id="48">
    <w:p w:rsidR="002C33BC" w:rsidP="00AC40F6" w14:paraId="54209D82" w14:textId="6ABCD8A2">
      <w:pPr>
        <w:pStyle w:val="FootnoteText"/>
      </w:pPr>
      <w:r>
        <w:rPr>
          <w:rStyle w:val="FootnoteReference"/>
        </w:rPr>
        <w:footnoteRef/>
      </w:r>
      <w:r>
        <w:t xml:space="preserve"> </w:t>
      </w:r>
      <w:r w:rsidRPr="0022267A" w:rsidR="0022267A">
        <w:t>Transmittal No. 12</w:t>
      </w:r>
      <w:r w:rsidR="00BA67F8">
        <w:t>.</w:t>
      </w:r>
    </w:p>
  </w:footnote>
  <w:footnote w:id="49">
    <w:p w:rsidR="00225608" w14:paraId="02476F74" w14:textId="77777777">
      <w:pPr>
        <w:pStyle w:val="FootnoteText"/>
      </w:pPr>
      <w:r>
        <w:rPr>
          <w:rStyle w:val="FootnoteReference"/>
        </w:rPr>
        <w:footnoteRef/>
      </w:r>
      <w:r>
        <w:t xml:space="preserve"> </w:t>
      </w:r>
      <w:r w:rsidRPr="00225608">
        <w:t xml:space="preserve">47 </w:t>
      </w:r>
      <w:r>
        <w:t xml:space="preserve">CFR </w:t>
      </w:r>
      <w:r w:rsidRPr="00225608">
        <w:t>§ </w:t>
      </w:r>
      <w:r>
        <w:t>51.914(</w:t>
      </w:r>
      <w:r w:rsidRPr="00225608">
        <w:t>a</w:t>
      </w:r>
      <w:r>
        <w:t>)-(b).</w:t>
      </w:r>
    </w:p>
  </w:footnote>
  <w:footnote w:id="50">
    <w:p w:rsidR="00225608" w14:paraId="098B65D9" w14:textId="77777777">
      <w:pPr>
        <w:pStyle w:val="FootnoteText"/>
      </w:pPr>
      <w:r>
        <w:rPr>
          <w:rStyle w:val="FootnoteReference"/>
        </w:rPr>
        <w:footnoteRef/>
      </w:r>
      <w:r>
        <w:t xml:space="preserve"> </w:t>
      </w:r>
      <w:r w:rsidRPr="00225608">
        <w:t>Northern Valley Notice Letter</w:t>
      </w:r>
      <w:r>
        <w:t>.</w:t>
      </w:r>
    </w:p>
  </w:footnote>
  <w:footnote w:id="51">
    <w:p w:rsidR="008E07CB" w:rsidP="008E07CB" w14:paraId="43CEEBDC" w14:textId="6ACE2205">
      <w:pPr>
        <w:pStyle w:val="FootnoteText"/>
      </w:pPr>
      <w:r>
        <w:rPr>
          <w:rStyle w:val="FootnoteReference"/>
        </w:rPr>
        <w:footnoteRef/>
      </w:r>
      <w:r>
        <w:t xml:space="preserve"> </w:t>
      </w:r>
      <w:r w:rsidR="00B149D6">
        <w:rPr>
          <w:i/>
          <w:iCs/>
        </w:rPr>
        <w:t xml:space="preserve">See </w:t>
      </w:r>
      <w:r w:rsidRPr="00AA251F">
        <w:rPr>
          <w:i/>
          <w:iCs/>
        </w:rPr>
        <w:t>Access Arbitrage Order</w:t>
      </w:r>
      <w:r>
        <w:t>, 34 FCC Rcd at 9068, para.</w:t>
      </w:r>
      <w:r w:rsidR="002F55A5">
        <w:t xml:space="preserve"> </w:t>
      </w:r>
      <w:r>
        <w:t>75.</w:t>
      </w:r>
    </w:p>
  </w:footnote>
  <w:footnote w:id="52">
    <w:p w:rsidR="002C33BC" w:rsidP="004A1AB3" w14:paraId="743B1FF7" w14:textId="77777777">
      <w:pPr>
        <w:pStyle w:val="FootnoteText"/>
      </w:pPr>
      <w:r w:rsidRPr="005372B2">
        <w:rPr>
          <w:rStyle w:val="FootnoteReference"/>
        </w:rPr>
        <w:footnoteRef/>
      </w:r>
      <w:r w:rsidRPr="005372B2">
        <w:t xml:space="preserve"> 47 CFR §</w:t>
      </w:r>
      <w:r>
        <w:t> </w:t>
      </w:r>
      <w:r w:rsidRPr="005372B2">
        <w:t>1.1200(a).</w:t>
      </w:r>
    </w:p>
  </w:footnote>
  <w:footnote w:id="53">
    <w:p w:rsidR="002C33BC" w:rsidP="004A1AB3" w14:paraId="1B463B79" w14:textId="76E2555D">
      <w:pPr>
        <w:pStyle w:val="FootnoteText"/>
      </w:pPr>
      <w:r w:rsidRPr="005372B2">
        <w:rPr>
          <w:rStyle w:val="FootnoteReference"/>
        </w:rPr>
        <w:footnoteRef/>
      </w:r>
      <w:r w:rsidRPr="005372B2">
        <w:t xml:space="preserve"> This date is necessary to give the Commission adequate time to evaluate the complete record prior to the statutory deadline of </w:t>
      </w:r>
      <w:r>
        <w:t>June 1</w:t>
      </w:r>
      <w:r w:rsidR="0056045C">
        <w:t>1</w:t>
      </w:r>
      <w:r>
        <w:t>, 2020</w:t>
      </w:r>
      <w:r w:rsidRPr="005372B2">
        <w:t xml:space="preserve">.   </w:t>
      </w:r>
    </w:p>
  </w:footnote>
  <w:footnote w:id="54">
    <w:p w:rsidR="002C33BC" w:rsidP="004A1AB3" w14:paraId="7064446E" w14:textId="77777777">
      <w:pPr>
        <w:pStyle w:val="FootnoteText"/>
        <w:tabs>
          <w:tab w:val="left" w:pos="5772"/>
        </w:tabs>
      </w:pPr>
      <w:r>
        <w:rPr>
          <w:rStyle w:val="FootnoteReference"/>
        </w:rPr>
        <w:footnoteRef/>
      </w:r>
      <w:r>
        <w:t xml:space="preserve"> 47 CFR §§ 1.1200 </w:t>
      </w:r>
      <w:r w:rsidRPr="00805C7A">
        <w:rPr>
          <w:i/>
        </w:rPr>
        <w:t>et seq</w:t>
      </w:r>
      <w:r>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02D" w:rsidP="0095764F" w14:paraId="51A227FF" w14:textId="3E903F1E">
    <w:pPr>
      <w:pStyle w:val="Header"/>
    </w:pPr>
    <w:r>
      <w:t xml:space="preserve"> </w:t>
    </w:r>
    <w:r w:rsidR="00995EE0">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Pr>
        <w:spacing w:val="-2"/>
      </w:rPr>
      <w:t>DA 20-</w:t>
    </w:r>
    <w:r w:rsidR="005B53BF">
      <w:rPr>
        <w:spacing w:val="-2"/>
      </w:rPr>
      <w:t>252</w:t>
    </w:r>
  </w:p>
  <w:p w:rsidR="0067402D" w:rsidRPr="009172D9" w:rsidP="009172D9" w14:paraId="791C0982" w14:textId="02FF5ED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02D" w:rsidP="0095764F" w14:paraId="3F71E3D4" w14:textId="1948C1A0">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5B53BF">
      <w:rPr>
        <w:spacing w:val="-2"/>
      </w:rPr>
      <w:t>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434B18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CD66F07"/>
    <w:multiLevelType w:val="multilevel"/>
    <w:tmpl w:val="3D148E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44132BF"/>
    <w:multiLevelType w:val="multilevel"/>
    <w:tmpl w:val="00D43E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B4F25"/>
    <w:multiLevelType w:val="multilevel"/>
    <w:tmpl w:val="2312C4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0"/>
  </w:num>
  <w:num w:numId="4">
    <w:abstractNumId w:val="6"/>
  </w:num>
  <w:num w:numId="5">
    <w:abstractNumId w:val="2"/>
  </w:num>
  <w:num w:numId="6">
    <w:abstractNumId w:val="7"/>
  </w:num>
  <w:num w:numId="7">
    <w:abstractNumId w:val="8"/>
  </w:num>
  <w:num w:numId="8">
    <w:abstractNumId w:val="3"/>
  </w:num>
  <w:num w:numId="9">
    <w:abstractNumId w:val="9"/>
  </w:num>
  <w:num w:numId="10">
    <w:abstractNumId w:val="4"/>
  </w:num>
  <w:num w:numId="11">
    <w:abstractNumId w:val="1"/>
  </w:num>
  <w:num w:numId="12">
    <w:abstractNumId w:val="10"/>
  </w:num>
  <w:num w:numId="13">
    <w:abstractNumId w:val="10"/>
  </w:num>
  <w:num w:numId="14">
    <w:abstractNumId w:val="5"/>
  </w:num>
  <w:num w:numId="15">
    <w:abstractNumId w:val="10"/>
    <w:lvlOverride w:ilvl="0">
      <w:startOverride w:val="1"/>
    </w:lvlOverride>
  </w:num>
  <w:num w:numId="16">
    <w:abstractNumId w:val="10"/>
    <w:lvlOverride w:ilvl="0">
      <w:startOverride w:val="1"/>
    </w:lvlOverride>
  </w:num>
  <w:num w:numId="17">
    <w:abstractNumId w:val="10"/>
  </w:num>
  <w:num w:numId="18">
    <w:abstractNumId w:val="10"/>
  </w:num>
  <w:num w:numId="19">
    <w:abstractNumId w:val="10"/>
  </w:num>
  <w:num w:numId="20">
    <w:abstractNumId w:val="10"/>
  </w:num>
  <w:num w:numId="21">
    <w:abstractNumId w:val="10"/>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8C"/>
    <w:rsid w:val="00000236"/>
    <w:rsid w:val="00000BA8"/>
    <w:rsid w:val="00000CEE"/>
    <w:rsid w:val="00001270"/>
    <w:rsid w:val="00001A81"/>
    <w:rsid w:val="0000234F"/>
    <w:rsid w:val="000026A0"/>
    <w:rsid w:val="000028F0"/>
    <w:rsid w:val="00002D40"/>
    <w:rsid w:val="00002E82"/>
    <w:rsid w:val="00002F3A"/>
    <w:rsid w:val="0000335C"/>
    <w:rsid w:val="000035AD"/>
    <w:rsid w:val="000052A8"/>
    <w:rsid w:val="00006C85"/>
    <w:rsid w:val="000071FE"/>
    <w:rsid w:val="00007A56"/>
    <w:rsid w:val="00007AEF"/>
    <w:rsid w:val="00007DDC"/>
    <w:rsid w:val="000102AC"/>
    <w:rsid w:val="00010FF6"/>
    <w:rsid w:val="00011FD4"/>
    <w:rsid w:val="000128BF"/>
    <w:rsid w:val="00012934"/>
    <w:rsid w:val="0001326E"/>
    <w:rsid w:val="000141AE"/>
    <w:rsid w:val="00016E02"/>
    <w:rsid w:val="00017899"/>
    <w:rsid w:val="00017921"/>
    <w:rsid w:val="00020F9F"/>
    <w:rsid w:val="00020FBB"/>
    <w:rsid w:val="00021952"/>
    <w:rsid w:val="00021F7C"/>
    <w:rsid w:val="00022247"/>
    <w:rsid w:val="00022E2C"/>
    <w:rsid w:val="00024331"/>
    <w:rsid w:val="00024EDD"/>
    <w:rsid w:val="0002513E"/>
    <w:rsid w:val="0002549A"/>
    <w:rsid w:val="00025894"/>
    <w:rsid w:val="00025D17"/>
    <w:rsid w:val="0002696F"/>
    <w:rsid w:val="00026D57"/>
    <w:rsid w:val="0002774B"/>
    <w:rsid w:val="00027853"/>
    <w:rsid w:val="00027F12"/>
    <w:rsid w:val="00030B35"/>
    <w:rsid w:val="00031DD8"/>
    <w:rsid w:val="000329B7"/>
    <w:rsid w:val="00034090"/>
    <w:rsid w:val="00035EA5"/>
    <w:rsid w:val="00036BD9"/>
    <w:rsid w:val="00037083"/>
    <w:rsid w:val="000372E5"/>
    <w:rsid w:val="00037F6B"/>
    <w:rsid w:val="000407D2"/>
    <w:rsid w:val="00040CD1"/>
    <w:rsid w:val="000415DB"/>
    <w:rsid w:val="00043DEF"/>
    <w:rsid w:val="000442A7"/>
    <w:rsid w:val="000449D5"/>
    <w:rsid w:val="00047E49"/>
    <w:rsid w:val="00047ECE"/>
    <w:rsid w:val="000508BD"/>
    <w:rsid w:val="00050F87"/>
    <w:rsid w:val="00051229"/>
    <w:rsid w:val="0005126E"/>
    <w:rsid w:val="00051380"/>
    <w:rsid w:val="00052249"/>
    <w:rsid w:val="00052445"/>
    <w:rsid w:val="000543AE"/>
    <w:rsid w:val="00054889"/>
    <w:rsid w:val="00054F16"/>
    <w:rsid w:val="00054F8F"/>
    <w:rsid w:val="0005546D"/>
    <w:rsid w:val="000557A6"/>
    <w:rsid w:val="00056DAC"/>
    <w:rsid w:val="00057B33"/>
    <w:rsid w:val="0006061D"/>
    <w:rsid w:val="00060886"/>
    <w:rsid w:val="00061282"/>
    <w:rsid w:val="00061369"/>
    <w:rsid w:val="00061EED"/>
    <w:rsid w:val="000623E4"/>
    <w:rsid w:val="00063897"/>
    <w:rsid w:val="000639ED"/>
    <w:rsid w:val="00063BD9"/>
    <w:rsid w:val="000644AF"/>
    <w:rsid w:val="00064859"/>
    <w:rsid w:val="0006490C"/>
    <w:rsid w:val="00065DAD"/>
    <w:rsid w:val="00065E5C"/>
    <w:rsid w:val="000663C2"/>
    <w:rsid w:val="00066DF9"/>
    <w:rsid w:val="0006756F"/>
    <w:rsid w:val="00070219"/>
    <w:rsid w:val="00070977"/>
    <w:rsid w:val="000713AD"/>
    <w:rsid w:val="00071983"/>
    <w:rsid w:val="00071BCE"/>
    <w:rsid w:val="00072F22"/>
    <w:rsid w:val="00074163"/>
    <w:rsid w:val="00074693"/>
    <w:rsid w:val="00075B37"/>
    <w:rsid w:val="00075C91"/>
    <w:rsid w:val="00075F4B"/>
    <w:rsid w:val="000761D1"/>
    <w:rsid w:val="00076B6E"/>
    <w:rsid w:val="00077B2B"/>
    <w:rsid w:val="00077BD7"/>
    <w:rsid w:val="00077EEF"/>
    <w:rsid w:val="00077FAA"/>
    <w:rsid w:val="0008072A"/>
    <w:rsid w:val="00080EF5"/>
    <w:rsid w:val="00081660"/>
    <w:rsid w:val="0008229D"/>
    <w:rsid w:val="00082495"/>
    <w:rsid w:val="000836B3"/>
    <w:rsid w:val="00083DD4"/>
    <w:rsid w:val="0008702F"/>
    <w:rsid w:val="000872E1"/>
    <w:rsid w:val="000901A9"/>
    <w:rsid w:val="00091ED6"/>
    <w:rsid w:val="00092012"/>
    <w:rsid w:val="00092B67"/>
    <w:rsid w:val="00094D80"/>
    <w:rsid w:val="00095872"/>
    <w:rsid w:val="00095B5A"/>
    <w:rsid w:val="00096533"/>
    <w:rsid w:val="00096B41"/>
    <w:rsid w:val="00097135"/>
    <w:rsid w:val="000A08E7"/>
    <w:rsid w:val="000A0BE0"/>
    <w:rsid w:val="000A1A50"/>
    <w:rsid w:val="000A1EDF"/>
    <w:rsid w:val="000A2601"/>
    <w:rsid w:val="000A29AF"/>
    <w:rsid w:val="000A319D"/>
    <w:rsid w:val="000A3841"/>
    <w:rsid w:val="000A38D5"/>
    <w:rsid w:val="000A3DA8"/>
    <w:rsid w:val="000A45CC"/>
    <w:rsid w:val="000A61EE"/>
    <w:rsid w:val="000A66BF"/>
    <w:rsid w:val="000A7D9F"/>
    <w:rsid w:val="000A7F33"/>
    <w:rsid w:val="000B00B6"/>
    <w:rsid w:val="000B1CBE"/>
    <w:rsid w:val="000B3527"/>
    <w:rsid w:val="000B3DFC"/>
    <w:rsid w:val="000B448E"/>
    <w:rsid w:val="000B44E5"/>
    <w:rsid w:val="000B4B73"/>
    <w:rsid w:val="000B575D"/>
    <w:rsid w:val="000B5BD6"/>
    <w:rsid w:val="000B5C6C"/>
    <w:rsid w:val="000B5F2C"/>
    <w:rsid w:val="000B644F"/>
    <w:rsid w:val="000B6552"/>
    <w:rsid w:val="000B688B"/>
    <w:rsid w:val="000B70A9"/>
    <w:rsid w:val="000C0D9B"/>
    <w:rsid w:val="000C182F"/>
    <w:rsid w:val="000C1BD9"/>
    <w:rsid w:val="000C1C37"/>
    <w:rsid w:val="000C241F"/>
    <w:rsid w:val="000C2467"/>
    <w:rsid w:val="000C2559"/>
    <w:rsid w:val="000C3213"/>
    <w:rsid w:val="000C3CF8"/>
    <w:rsid w:val="000C423B"/>
    <w:rsid w:val="000C54CC"/>
    <w:rsid w:val="000C5511"/>
    <w:rsid w:val="000C57D8"/>
    <w:rsid w:val="000C59EC"/>
    <w:rsid w:val="000C5F2F"/>
    <w:rsid w:val="000C5FA0"/>
    <w:rsid w:val="000C6F91"/>
    <w:rsid w:val="000C7655"/>
    <w:rsid w:val="000C7AE0"/>
    <w:rsid w:val="000D04A0"/>
    <w:rsid w:val="000D08A9"/>
    <w:rsid w:val="000D36BB"/>
    <w:rsid w:val="000D40D7"/>
    <w:rsid w:val="000D42EF"/>
    <w:rsid w:val="000D42F6"/>
    <w:rsid w:val="000D46CE"/>
    <w:rsid w:val="000D47C6"/>
    <w:rsid w:val="000D55BE"/>
    <w:rsid w:val="000D5741"/>
    <w:rsid w:val="000D5E0F"/>
    <w:rsid w:val="000D661F"/>
    <w:rsid w:val="000D6787"/>
    <w:rsid w:val="000D7557"/>
    <w:rsid w:val="000D77A1"/>
    <w:rsid w:val="000D7F1A"/>
    <w:rsid w:val="000E0FEC"/>
    <w:rsid w:val="000E1395"/>
    <w:rsid w:val="000E1CA3"/>
    <w:rsid w:val="000E22A3"/>
    <w:rsid w:val="000E24AD"/>
    <w:rsid w:val="000E2BAE"/>
    <w:rsid w:val="000E2FA9"/>
    <w:rsid w:val="000E3726"/>
    <w:rsid w:val="000E396E"/>
    <w:rsid w:val="000E3C0A"/>
    <w:rsid w:val="000E4C27"/>
    <w:rsid w:val="000E5D96"/>
    <w:rsid w:val="000E62A7"/>
    <w:rsid w:val="000E64A0"/>
    <w:rsid w:val="000E66B6"/>
    <w:rsid w:val="000E7C7C"/>
    <w:rsid w:val="000F1F54"/>
    <w:rsid w:val="000F3322"/>
    <w:rsid w:val="000F3752"/>
    <w:rsid w:val="000F38D1"/>
    <w:rsid w:val="000F3988"/>
    <w:rsid w:val="000F41ED"/>
    <w:rsid w:val="000F45DF"/>
    <w:rsid w:val="000F52A2"/>
    <w:rsid w:val="000F531E"/>
    <w:rsid w:val="000F5AC3"/>
    <w:rsid w:val="000F6059"/>
    <w:rsid w:val="000F618E"/>
    <w:rsid w:val="000F665D"/>
    <w:rsid w:val="000F76E8"/>
    <w:rsid w:val="000F7D41"/>
    <w:rsid w:val="0010158F"/>
    <w:rsid w:val="00101BA5"/>
    <w:rsid w:val="00102B38"/>
    <w:rsid w:val="00103440"/>
    <w:rsid w:val="00103800"/>
    <w:rsid w:val="00103866"/>
    <w:rsid w:val="00103BF0"/>
    <w:rsid w:val="00103DCF"/>
    <w:rsid w:val="00104465"/>
    <w:rsid w:val="00104E21"/>
    <w:rsid w:val="00105973"/>
    <w:rsid w:val="00105BA4"/>
    <w:rsid w:val="0010605B"/>
    <w:rsid w:val="0010684F"/>
    <w:rsid w:val="00106E7F"/>
    <w:rsid w:val="001071AA"/>
    <w:rsid w:val="0010732C"/>
    <w:rsid w:val="001074A9"/>
    <w:rsid w:val="00110C22"/>
    <w:rsid w:val="00110DE2"/>
    <w:rsid w:val="00111FC9"/>
    <w:rsid w:val="00112390"/>
    <w:rsid w:val="00112753"/>
    <w:rsid w:val="00112B0F"/>
    <w:rsid w:val="001134E4"/>
    <w:rsid w:val="00113643"/>
    <w:rsid w:val="00113B60"/>
    <w:rsid w:val="00113BD4"/>
    <w:rsid w:val="00114A87"/>
    <w:rsid w:val="00115436"/>
    <w:rsid w:val="0011565F"/>
    <w:rsid w:val="00115CFF"/>
    <w:rsid w:val="00115D7D"/>
    <w:rsid w:val="00117B8C"/>
    <w:rsid w:val="0012037F"/>
    <w:rsid w:val="001204A3"/>
    <w:rsid w:val="00120AF0"/>
    <w:rsid w:val="00120CA6"/>
    <w:rsid w:val="00120E3F"/>
    <w:rsid w:val="001212E7"/>
    <w:rsid w:val="0012169D"/>
    <w:rsid w:val="00121BD4"/>
    <w:rsid w:val="00121EF0"/>
    <w:rsid w:val="001227CA"/>
    <w:rsid w:val="00123530"/>
    <w:rsid w:val="0012364E"/>
    <w:rsid w:val="0012390F"/>
    <w:rsid w:val="00123E17"/>
    <w:rsid w:val="00124ED5"/>
    <w:rsid w:val="00125323"/>
    <w:rsid w:val="001258AE"/>
    <w:rsid w:val="001259F6"/>
    <w:rsid w:val="00125BE0"/>
    <w:rsid w:val="0012650A"/>
    <w:rsid w:val="001269F5"/>
    <w:rsid w:val="00127C99"/>
    <w:rsid w:val="00127E36"/>
    <w:rsid w:val="00130359"/>
    <w:rsid w:val="00130720"/>
    <w:rsid w:val="0013080A"/>
    <w:rsid w:val="00130E6F"/>
    <w:rsid w:val="0013303D"/>
    <w:rsid w:val="001330A6"/>
    <w:rsid w:val="00133285"/>
    <w:rsid w:val="00133662"/>
    <w:rsid w:val="00133B10"/>
    <w:rsid w:val="00133E6D"/>
    <w:rsid w:val="00134860"/>
    <w:rsid w:val="00134D5E"/>
    <w:rsid w:val="00134F70"/>
    <w:rsid w:val="001354FC"/>
    <w:rsid w:val="00135567"/>
    <w:rsid w:val="00135957"/>
    <w:rsid w:val="00135970"/>
    <w:rsid w:val="00136085"/>
    <w:rsid w:val="00136597"/>
    <w:rsid w:val="00136C4A"/>
    <w:rsid w:val="001370C9"/>
    <w:rsid w:val="001406AD"/>
    <w:rsid w:val="0014076B"/>
    <w:rsid w:val="00140912"/>
    <w:rsid w:val="00140FEF"/>
    <w:rsid w:val="00141272"/>
    <w:rsid w:val="001414BF"/>
    <w:rsid w:val="00141855"/>
    <w:rsid w:val="00141DB8"/>
    <w:rsid w:val="0014208D"/>
    <w:rsid w:val="00142983"/>
    <w:rsid w:val="00142EEE"/>
    <w:rsid w:val="0014336B"/>
    <w:rsid w:val="00143ADD"/>
    <w:rsid w:val="00145E91"/>
    <w:rsid w:val="001461D3"/>
    <w:rsid w:val="001467BC"/>
    <w:rsid w:val="0014767A"/>
    <w:rsid w:val="00147E98"/>
    <w:rsid w:val="00147F1E"/>
    <w:rsid w:val="00151225"/>
    <w:rsid w:val="00151EEF"/>
    <w:rsid w:val="001526C3"/>
    <w:rsid w:val="00152DC3"/>
    <w:rsid w:val="00153193"/>
    <w:rsid w:val="001531FB"/>
    <w:rsid w:val="00153487"/>
    <w:rsid w:val="00153BCB"/>
    <w:rsid w:val="0015483E"/>
    <w:rsid w:val="00155232"/>
    <w:rsid w:val="0015546D"/>
    <w:rsid w:val="00155A96"/>
    <w:rsid w:val="00156222"/>
    <w:rsid w:val="001564B7"/>
    <w:rsid w:val="00156702"/>
    <w:rsid w:val="001567E2"/>
    <w:rsid w:val="00156B7F"/>
    <w:rsid w:val="0016015D"/>
    <w:rsid w:val="0016067B"/>
    <w:rsid w:val="00160D4D"/>
    <w:rsid w:val="00160F78"/>
    <w:rsid w:val="001612B4"/>
    <w:rsid w:val="00161820"/>
    <w:rsid w:val="001618A5"/>
    <w:rsid w:val="00162E45"/>
    <w:rsid w:val="0016375B"/>
    <w:rsid w:val="001639B9"/>
    <w:rsid w:val="00163C3C"/>
    <w:rsid w:val="00163E8B"/>
    <w:rsid w:val="00164058"/>
    <w:rsid w:val="00164DB0"/>
    <w:rsid w:val="00164F79"/>
    <w:rsid w:val="00165568"/>
    <w:rsid w:val="00165921"/>
    <w:rsid w:val="00165944"/>
    <w:rsid w:val="00165E80"/>
    <w:rsid w:val="00166742"/>
    <w:rsid w:val="0016679E"/>
    <w:rsid w:val="001675CF"/>
    <w:rsid w:val="001704B8"/>
    <w:rsid w:val="001709C7"/>
    <w:rsid w:val="0017194D"/>
    <w:rsid w:val="00171FBA"/>
    <w:rsid w:val="00171FC6"/>
    <w:rsid w:val="0017218E"/>
    <w:rsid w:val="001721DC"/>
    <w:rsid w:val="00172E2E"/>
    <w:rsid w:val="00172ED6"/>
    <w:rsid w:val="00173677"/>
    <w:rsid w:val="00174082"/>
    <w:rsid w:val="0017459B"/>
    <w:rsid w:val="00174BA5"/>
    <w:rsid w:val="00174CAD"/>
    <w:rsid w:val="00174FCC"/>
    <w:rsid w:val="00177A8A"/>
    <w:rsid w:val="00177C29"/>
    <w:rsid w:val="001806C5"/>
    <w:rsid w:val="00180B2B"/>
    <w:rsid w:val="00181221"/>
    <w:rsid w:val="00181248"/>
    <w:rsid w:val="00181378"/>
    <w:rsid w:val="001815CE"/>
    <w:rsid w:val="001815F5"/>
    <w:rsid w:val="0018202A"/>
    <w:rsid w:val="001843BB"/>
    <w:rsid w:val="00184695"/>
    <w:rsid w:val="0018476F"/>
    <w:rsid w:val="0018554A"/>
    <w:rsid w:val="001863A0"/>
    <w:rsid w:val="0018653C"/>
    <w:rsid w:val="00186A9B"/>
    <w:rsid w:val="00187308"/>
    <w:rsid w:val="001877BE"/>
    <w:rsid w:val="00187B34"/>
    <w:rsid w:val="00190D75"/>
    <w:rsid w:val="001912AE"/>
    <w:rsid w:val="00192204"/>
    <w:rsid w:val="00192476"/>
    <w:rsid w:val="00192D77"/>
    <w:rsid w:val="00194854"/>
    <w:rsid w:val="00194A21"/>
    <w:rsid w:val="00194B6E"/>
    <w:rsid w:val="00194D9E"/>
    <w:rsid w:val="00195039"/>
    <w:rsid w:val="001966E5"/>
    <w:rsid w:val="0019787A"/>
    <w:rsid w:val="00197C96"/>
    <w:rsid w:val="001A0F65"/>
    <w:rsid w:val="001A175C"/>
    <w:rsid w:val="001A181C"/>
    <w:rsid w:val="001A1CB3"/>
    <w:rsid w:val="001A1D8D"/>
    <w:rsid w:val="001A30A6"/>
    <w:rsid w:val="001A3F84"/>
    <w:rsid w:val="001A5591"/>
    <w:rsid w:val="001A5AC1"/>
    <w:rsid w:val="001A65AE"/>
    <w:rsid w:val="001A6753"/>
    <w:rsid w:val="001A6CFE"/>
    <w:rsid w:val="001B12C3"/>
    <w:rsid w:val="001B1683"/>
    <w:rsid w:val="001B29CD"/>
    <w:rsid w:val="001B33DF"/>
    <w:rsid w:val="001B364F"/>
    <w:rsid w:val="001B36BA"/>
    <w:rsid w:val="001B3FE0"/>
    <w:rsid w:val="001B41C9"/>
    <w:rsid w:val="001B48E2"/>
    <w:rsid w:val="001B559D"/>
    <w:rsid w:val="001B76FB"/>
    <w:rsid w:val="001B7ED4"/>
    <w:rsid w:val="001C011F"/>
    <w:rsid w:val="001C0E3A"/>
    <w:rsid w:val="001C1B00"/>
    <w:rsid w:val="001C1C68"/>
    <w:rsid w:val="001C2216"/>
    <w:rsid w:val="001C2507"/>
    <w:rsid w:val="001C2556"/>
    <w:rsid w:val="001C2A8E"/>
    <w:rsid w:val="001C366F"/>
    <w:rsid w:val="001C43CC"/>
    <w:rsid w:val="001C49B5"/>
    <w:rsid w:val="001C4F9A"/>
    <w:rsid w:val="001C54CF"/>
    <w:rsid w:val="001C56B0"/>
    <w:rsid w:val="001C6843"/>
    <w:rsid w:val="001C7C88"/>
    <w:rsid w:val="001D1314"/>
    <w:rsid w:val="001D1584"/>
    <w:rsid w:val="001D1C65"/>
    <w:rsid w:val="001D209D"/>
    <w:rsid w:val="001D2247"/>
    <w:rsid w:val="001D2713"/>
    <w:rsid w:val="001D3205"/>
    <w:rsid w:val="001D3284"/>
    <w:rsid w:val="001D3485"/>
    <w:rsid w:val="001D3D87"/>
    <w:rsid w:val="001D3FA6"/>
    <w:rsid w:val="001D40FB"/>
    <w:rsid w:val="001D42FA"/>
    <w:rsid w:val="001D5250"/>
    <w:rsid w:val="001D5522"/>
    <w:rsid w:val="001D5D95"/>
    <w:rsid w:val="001D63FC"/>
    <w:rsid w:val="001D6C0A"/>
    <w:rsid w:val="001D6E8B"/>
    <w:rsid w:val="001D786C"/>
    <w:rsid w:val="001E0883"/>
    <w:rsid w:val="001E0CBB"/>
    <w:rsid w:val="001E161C"/>
    <w:rsid w:val="001E16D2"/>
    <w:rsid w:val="001E1A1F"/>
    <w:rsid w:val="001E1D3D"/>
    <w:rsid w:val="001E224A"/>
    <w:rsid w:val="001E43BC"/>
    <w:rsid w:val="001E4670"/>
    <w:rsid w:val="001E4CB4"/>
    <w:rsid w:val="001E5543"/>
    <w:rsid w:val="001E5610"/>
    <w:rsid w:val="001E5E98"/>
    <w:rsid w:val="001E5F4A"/>
    <w:rsid w:val="001E6727"/>
    <w:rsid w:val="001F0B57"/>
    <w:rsid w:val="001F1999"/>
    <w:rsid w:val="001F1DC7"/>
    <w:rsid w:val="001F27C3"/>
    <w:rsid w:val="001F40AB"/>
    <w:rsid w:val="001F43E1"/>
    <w:rsid w:val="001F475F"/>
    <w:rsid w:val="001F4C54"/>
    <w:rsid w:val="001F4F85"/>
    <w:rsid w:val="001F5A5D"/>
    <w:rsid w:val="001F5A99"/>
    <w:rsid w:val="001F7D1D"/>
    <w:rsid w:val="00200259"/>
    <w:rsid w:val="002004DD"/>
    <w:rsid w:val="002016F1"/>
    <w:rsid w:val="002017CB"/>
    <w:rsid w:val="00201AEC"/>
    <w:rsid w:val="00201C30"/>
    <w:rsid w:val="00201DB9"/>
    <w:rsid w:val="00204712"/>
    <w:rsid w:val="00205095"/>
    <w:rsid w:val="00205C2C"/>
    <w:rsid w:val="002061DF"/>
    <w:rsid w:val="00206CA4"/>
    <w:rsid w:val="00206D1E"/>
    <w:rsid w:val="0020744A"/>
    <w:rsid w:val="002077CE"/>
    <w:rsid w:val="002079B0"/>
    <w:rsid w:val="00207F00"/>
    <w:rsid w:val="0021015F"/>
    <w:rsid w:val="00211B47"/>
    <w:rsid w:val="00211D47"/>
    <w:rsid w:val="00212000"/>
    <w:rsid w:val="00212386"/>
    <w:rsid w:val="00213238"/>
    <w:rsid w:val="00213681"/>
    <w:rsid w:val="00215A9C"/>
    <w:rsid w:val="00216482"/>
    <w:rsid w:val="0021674A"/>
    <w:rsid w:val="00216C8A"/>
    <w:rsid w:val="00216CCC"/>
    <w:rsid w:val="0021742F"/>
    <w:rsid w:val="0021773C"/>
    <w:rsid w:val="00220645"/>
    <w:rsid w:val="00220F18"/>
    <w:rsid w:val="00221344"/>
    <w:rsid w:val="00221FBA"/>
    <w:rsid w:val="0022267A"/>
    <w:rsid w:val="00222902"/>
    <w:rsid w:val="0022300C"/>
    <w:rsid w:val="00223BD9"/>
    <w:rsid w:val="00223F53"/>
    <w:rsid w:val="002246DC"/>
    <w:rsid w:val="00224AD7"/>
    <w:rsid w:val="00225608"/>
    <w:rsid w:val="00225659"/>
    <w:rsid w:val="002263E5"/>
    <w:rsid w:val="00226934"/>
    <w:rsid w:val="00226971"/>
    <w:rsid w:val="002305DF"/>
    <w:rsid w:val="002316A3"/>
    <w:rsid w:val="0023188E"/>
    <w:rsid w:val="00231E54"/>
    <w:rsid w:val="00231F9D"/>
    <w:rsid w:val="00232325"/>
    <w:rsid w:val="002323EF"/>
    <w:rsid w:val="00234EEC"/>
    <w:rsid w:val="00235074"/>
    <w:rsid w:val="00236DE4"/>
    <w:rsid w:val="0023718E"/>
    <w:rsid w:val="002376EA"/>
    <w:rsid w:val="00237A84"/>
    <w:rsid w:val="00237AD4"/>
    <w:rsid w:val="00237CBB"/>
    <w:rsid w:val="0024003D"/>
    <w:rsid w:val="00241724"/>
    <w:rsid w:val="00241834"/>
    <w:rsid w:val="0024214F"/>
    <w:rsid w:val="002449A9"/>
    <w:rsid w:val="00244F5E"/>
    <w:rsid w:val="00244FD2"/>
    <w:rsid w:val="00245763"/>
    <w:rsid w:val="002467AA"/>
    <w:rsid w:val="00246964"/>
    <w:rsid w:val="00246C7F"/>
    <w:rsid w:val="002473B4"/>
    <w:rsid w:val="002478DB"/>
    <w:rsid w:val="00247B76"/>
    <w:rsid w:val="00247EEB"/>
    <w:rsid w:val="00250214"/>
    <w:rsid w:val="00250B4C"/>
    <w:rsid w:val="002512F6"/>
    <w:rsid w:val="00251893"/>
    <w:rsid w:val="00251C1D"/>
    <w:rsid w:val="0025214C"/>
    <w:rsid w:val="002522C0"/>
    <w:rsid w:val="002523DF"/>
    <w:rsid w:val="002527E8"/>
    <w:rsid w:val="002530D0"/>
    <w:rsid w:val="00253725"/>
    <w:rsid w:val="00253C00"/>
    <w:rsid w:val="0025464F"/>
    <w:rsid w:val="00254C4C"/>
    <w:rsid w:val="00256078"/>
    <w:rsid w:val="0025627A"/>
    <w:rsid w:val="00256649"/>
    <w:rsid w:val="00260514"/>
    <w:rsid w:val="00260AD9"/>
    <w:rsid w:val="00261637"/>
    <w:rsid w:val="00261870"/>
    <w:rsid w:val="0026190D"/>
    <w:rsid w:val="0026282B"/>
    <w:rsid w:val="00262E26"/>
    <w:rsid w:val="00262E63"/>
    <w:rsid w:val="002631D1"/>
    <w:rsid w:val="00263659"/>
    <w:rsid w:val="00264179"/>
    <w:rsid w:val="002641A7"/>
    <w:rsid w:val="002660D0"/>
    <w:rsid w:val="00266972"/>
    <w:rsid w:val="00267164"/>
    <w:rsid w:val="00267F89"/>
    <w:rsid w:val="00270070"/>
    <w:rsid w:val="00270A00"/>
    <w:rsid w:val="00272D7D"/>
    <w:rsid w:val="00272FAA"/>
    <w:rsid w:val="00273B29"/>
    <w:rsid w:val="00274064"/>
    <w:rsid w:val="0027432E"/>
    <w:rsid w:val="0027449F"/>
    <w:rsid w:val="00274B5A"/>
    <w:rsid w:val="002752A0"/>
    <w:rsid w:val="002757E2"/>
    <w:rsid w:val="00275823"/>
    <w:rsid w:val="00275988"/>
    <w:rsid w:val="00275EDD"/>
    <w:rsid w:val="00276BBE"/>
    <w:rsid w:val="00277A89"/>
    <w:rsid w:val="0028026E"/>
    <w:rsid w:val="00280591"/>
    <w:rsid w:val="00280929"/>
    <w:rsid w:val="00280AE0"/>
    <w:rsid w:val="002812D0"/>
    <w:rsid w:val="00281A1D"/>
    <w:rsid w:val="0028264F"/>
    <w:rsid w:val="0028351C"/>
    <w:rsid w:val="00283C9A"/>
    <w:rsid w:val="00283E07"/>
    <w:rsid w:val="00285814"/>
    <w:rsid w:val="00285DFB"/>
    <w:rsid w:val="00286025"/>
    <w:rsid w:val="00287073"/>
    <w:rsid w:val="00287100"/>
    <w:rsid w:val="0028759E"/>
    <w:rsid w:val="00287D11"/>
    <w:rsid w:val="00291566"/>
    <w:rsid w:val="00291F7A"/>
    <w:rsid w:val="0029207B"/>
    <w:rsid w:val="00292D9D"/>
    <w:rsid w:val="0029343A"/>
    <w:rsid w:val="00293D03"/>
    <w:rsid w:val="00294481"/>
    <w:rsid w:val="00294A1A"/>
    <w:rsid w:val="00295502"/>
    <w:rsid w:val="002956B7"/>
    <w:rsid w:val="002966E2"/>
    <w:rsid w:val="002966EA"/>
    <w:rsid w:val="00296770"/>
    <w:rsid w:val="00297450"/>
    <w:rsid w:val="00297B74"/>
    <w:rsid w:val="002A0300"/>
    <w:rsid w:val="002A0FBC"/>
    <w:rsid w:val="002A19F6"/>
    <w:rsid w:val="002A1DBC"/>
    <w:rsid w:val="002A2004"/>
    <w:rsid w:val="002A387E"/>
    <w:rsid w:val="002A4719"/>
    <w:rsid w:val="002A5229"/>
    <w:rsid w:val="002A65C1"/>
    <w:rsid w:val="002A6E7F"/>
    <w:rsid w:val="002A740C"/>
    <w:rsid w:val="002A796A"/>
    <w:rsid w:val="002B006A"/>
    <w:rsid w:val="002B082E"/>
    <w:rsid w:val="002B0986"/>
    <w:rsid w:val="002B0E4B"/>
    <w:rsid w:val="002B2137"/>
    <w:rsid w:val="002B3372"/>
    <w:rsid w:val="002B4697"/>
    <w:rsid w:val="002B4CB1"/>
    <w:rsid w:val="002B5244"/>
    <w:rsid w:val="002B5598"/>
    <w:rsid w:val="002B5C21"/>
    <w:rsid w:val="002B7EA3"/>
    <w:rsid w:val="002C00E8"/>
    <w:rsid w:val="002C050C"/>
    <w:rsid w:val="002C0788"/>
    <w:rsid w:val="002C13B1"/>
    <w:rsid w:val="002C164A"/>
    <w:rsid w:val="002C1675"/>
    <w:rsid w:val="002C33BC"/>
    <w:rsid w:val="002C34D8"/>
    <w:rsid w:val="002C39B7"/>
    <w:rsid w:val="002C429D"/>
    <w:rsid w:val="002C49A2"/>
    <w:rsid w:val="002C6343"/>
    <w:rsid w:val="002C7099"/>
    <w:rsid w:val="002C7A8B"/>
    <w:rsid w:val="002D1449"/>
    <w:rsid w:val="002D1C05"/>
    <w:rsid w:val="002D1EC0"/>
    <w:rsid w:val="002D2883"/>
    <w:rsid w:val="002D2FDA"/>
    <w:rsid w:val="002D31E6"/>
    <w:rsid w:val="002D3474"/>
    <w:rsid w:val="002D3BE6"/>
    <w:rsid w:val="002D537C"/>
    <w:rsid w:val="002D5BD5"/>
    <w:rsid w:val="002D5D14"/>
    <w:rsid w:val="002D7003"/>
    <w:rsid w:val="002D72F7"/>
    <w:rsid w:val="002E0218"/>
    <w:rsid w:val="002E02A1"/>
    <w:rsid w:val="002E07D9"/>
    <w:rsid w:val="002E0C75"/>
    <w:rsid w:val="002E0EB2"/>
    <w:rsid w:val="002E2A4A"/>
    <w:rsid w:val="002E2C8A"/>
    <w:rsid w:val="002E31EE"/>
    <w:rsid w:val="002E3234"/>
    <w:rsid w:val="002E3836"/>
    <w:rsid w:val="002E4073"/>
    <w:rsid w:val="002E6614"/>
    <w:rsid w:val="002E6660"/>
    <w:rsid w:val="002E67FC"/>
    <w:rsid w:val="002E694C"/>
    <w:rsid w:val="002E6CB1"/>
    <w:rsid w:val="002E73F9"/>
    <w:rsid w:val="002E749B"/>
    <w:rsid w:val="002E7F43"/>
    <w:rsid w:val="002F2122"/>
    <w:rsid w:val="002F2809"/>
    <w:rsid w:val="002F415C"/>
    <w:rsid w:val="002F496C"/>
    <w:rsid w:val="002F4DB0"/>
    <w:rsid w:val="002F4F33"/>
    <w:rsid w:val="002F5547"/>
    <w:rsid w:val="002F55A5"/>
    <w:rsid w:val="002F5640"/>
    <w:rsid w:val="002F5EB5"/>
    <w:rsid w:val="002F655D"/>
    <w:rsid w:val="002F691E"/>
    <w:rsid w:val="002F727A"/>
    <w:rsid w:val="002F75C7"/>
    <w:rsid w:val="003000DE"/>
    <w:rsid w:val="00303DDE"/>
    <w:rsid w:val="00304446"/>
    <w:rsid w:val="003044D8"/>
    <w:rsid w:val="00304EFD"/>
    <w:rsid w:val="00305158"/>
    <w:rsid w:val="003051F2"/>
    <w:rsid w:val="00306ABB"/>
    <w:rsid w:val="00307751"/>
    <w:rsid w:val="00307AD9"/>
    <w:rsid w:val="0031020E"/>
    <w:rsid w:val="00310AFA"/>
    <w:rsid w:val="00310DF7"/>
    <w:rsid w:val="00311A65"/>
    <w:rsid w:val="00311B1B"/>
    <w:rsid w:val="003127D0"/>
    <w:rsid w:val="00313689"/>
    <w:rsid w:val="00313BCF"/>
    <w:rsid w:val="0031584B"/>
    <w:rsid w:val="003160E9"/>
    <w:rsid w:val="003161E7"/>
    <w:rsid w:val="00316FE7"/>
    <w:rsid w:val="00317432"/>
    <w:rsid w:val="0032025D"/>
    <w:rsid w:val="003205F3"/>
    <w:rsid w:val="00320AC4"/>
    <w:rsid w:val="00321210"/>
    <w:rsid w:val="003215DA"/>
    <w:rsid w:val="0032161A"/>
    <w:rsid w:val="00321CA0"/>
    <w:rsid w:val="0032271F"/>
    <w:rsid w:val="00322911"/>
    <w:rsid w:val="00322FD8"/>
    <w:rsid w:val="003231A2"/>
    <w:rsid w:val="00323F9A"/>
    <w:rsid w:val="00325585"/>
    <w:rsid w:val="00326E29"/>
    <w:rsid w:val="0032793A"/>
    <w:rsid w:val="00327B74"/>
    <w:rsid w:val="00327DF7"/>
    <w:rsid w:val="00327F7D"/>
    <w:rsid w:val="00330A63"/>
    <w:rsid w:val="00330B67"/>
    <w:rsid w:val="003317A8"/>
    <w:rsid w:val="00331D65"/>
    <w:rsid w:val="00332337"/>
    <w:rsid w:val="0033255B"/>
    <w:rsid w:val="003333B0"/>
    <w:rsid w:val="0033344C"/>
    <w:rsid w:val="0033397E"/>
    <w:rsid w:val="00334C74"/>
    <w:rsid w:val="003376C8"/>
    <w:rsid w:val="0034013A"/>
    <w:rsid w:val="00340875"/>
    <w:rsid w:val="00340E35"/>
    <w:rsid w:val="003414DF"/>
    <w:rsid w:val="00343DB4"/>
    <w:rsid w:val="003465C3"/>
    <w:rsid w:val="003469ED"/>
    <w:rsid w:val="00346FB9"/>
    <w:rsid w:val="003476BC"/>
    <w:rsid w:val="0034786E"/>
    <w:rsid w:val="00347BB5"/>
    <w:rsid w:val="00347FE0"/>
    <w:rsid w:val="00350D38"/>
    <w:rsid w:val="00351848"/>
    <w:rsid w:val="00351EAB"/>
    <w:rsid w:val="0035276E"/>
    <w:rsid w:val="003544C2"/>
    <w:rsid w:val="0035459E"/>
    <w:rsid w:val="00355813"/>
    <w:rsid w:val="003560F2"/>
    <w:rsid w:val="0035656A"/>
    <w:rsid w:val="00356BFB"/>
    <w:rsid w:val="00360B98"/>
    <w:rsid w:val="003612AE"/>
    <w:rsid w:val="00361A03"/>
    <w:rsid w:val="00361BFB"/>
    <w:rsid w:val="00362758"/>
    <w:rsid w:val="003628ED"/>
    <w:rsid w:val="00362BAE"/>
    <w:rsid w:val="00362F07"/>
    <w:rsid w:val="003630AA"/>
    <w:rsid w:val="00363C23"/>
    <w:rsid w:val="00363F87"/>
    <w:rsid w:val="00365454"/>
    <w:rsid w:val="00367080"/>
    <w:rsid w:val="0037037B"/>
    <w:rsid w:val="00370904"/>
    <w:rsid w:val="00371FC1"/>
    <w:rsid w:val="003721C3"/>
    <w:rsid w:val="00372C5E"/>
    <w:rsid w:val="003731DA"/>
    <w:rsid w:val="0037329F"/>
    <w:rsid w:val="00373CB9"/>
    <w:rsid w:val="00373D0B"/>
    <w:rsid w:val="003749DF"/>
    <w:rsid w:val="0037538E"/>
    <w:rsid w:val="0037621C"/>
    <w:rsid w:val="00376245"/>
    <w:rsid w:val="003766EC"/>
    <w:rsid w:val="00376704"/>
    <w:rsid w:val="0037674D"/>
    <w:rsid w:val="003767B8"/>
    <w:rsid w:val="00376A38"/>
    <w:rsid w:val="00376B60"/>
    <w:rsid w:val="00376C7E"/>
    <w:rsid w:val="00377569"/>
    <w:rsid w:val="003777C1"/>
    <w:rsid w:val="00377881"/>
    <w:rsid w:val="0037798F"/>
    <w:rsid w:val="00377FDF"/>
    <w:rsid w:val="00380639"/>
    <w:rsid w:val="00380C9A"/>
    <w:rsid w:val="00380DA5"/>
    <w:rsid w:val="0038239C"/>
    <w:rsid w:val="00383488"/>
    <w:rsid w:val="00383EB6"/>
    <w:rsid w:val="00383FCD"/>
    <w:rsid w:val="00384046"/>
    <w:rsid w:val="00385BF5"/>
    <w:rsid w:val="00385CF6"/>
    <w:rsid w:val="00385FAD"/>
    <w:rsid w:val="003867E1"/>
    <w:rsid w:val="00386C07"/>
    <w:rsid w:val="00390053"/>
    <w:rsid w:val="003901EF"/>
    <w:rsid w:val="003904C0"/>
    <w:rsid w:val="00390ED2"/>
    <w:rsid w:val="00390EE6"/>
    <w:rsid w:val="00391D01"/>
    <w:rsid w:val="00391E23"/>
    <w:rsid w:val="00391E67"/>
    <w:rsid w:val="00392973"/>
    <w:rsid w:val="003942D8"/>
    <w:rsid w:val="003944F6"/>
    <w:rsid w:val="003945A5"/>
    <w:rsid w:val="003948B5"/>
    <w:rsid w:val="00394A58"/>
    <w:rsid w:val="00395F88"/>
    <w:rsid w:val="00397831"/>
    <w:rsid w:val="003A02C6"/>
    <w:rsid w:val="003A0536"/>
    <w:rsid w:val="003A0574"/>
    <w:rsid w:val="003A10FA"/>
    <w:rsid w:val="003A15CE"/>
    <w:rsid w:val="003A19AD"/>
    <w:rsid w:val="003A3A7E"/>
    <w:rsid w:val="003A3A80"/>
    <w:rsid w:val="003A55B0"/>
    <w:rsid w:val="003A565F"/>
    <w:rsid w:val="003A57D7"/>
    <w:rsid w:val="003A5EAE"/>
    <w:rsid w:val="003A6F0F"/>
    <w:rsid w:val="003A7181"/>
    <w:rsid w:val="003A7207"/>
    <w:rsid w:val="003B1F01"/>
    <w:rsid w:val="003B2ABD"/>
    <w:rsid w:val="003B2E82"/>
    <w:rsid w:val="003B3AA9"/>
    <w:rsid w:val="003B3B6C"/>
    <w:rsid w:val="003B48DC"/>
    <w:rsid w:val="003B4F57"/>
    <w:rsid w:val="003B4F9D"/>
    <w:rsid w:val="003B5125"/>
    <w:rsid w:val="003B7189"/>
    <w:rsid w:val="003B7430"/>
    <w:rsid w:val="003B74A1"/>
    <w:rsid w:val="003B79E4"/>
    <w:rsid w:val="003C03AB"/>
    <w:rsid w:val="003C0F1C"/>
    <w:rsid w:val="003C14E9"/>
    <w:rsid w:val="003C2451"/>
    <w:rsid w:val="003C2B5C"/>
    <w:rsid w:val="003C3CC2"/>
    <w:rsid w:val="003C3FA0"/>
    <w:rsid w:val="003C5733"/>
    <w:rsid w:val="003C5CB7"/>
    <w:rsid w:val="003C60CF"/>
    <w:rsid w:val="003C6218"/>
    <w:rsid w:val="003C74C0"/>
    <w:rsid w:val="003C7A02"/>
    <w:rsid w:val="003D094B"/>
    <w:rsid w:val="003D0A87"/>
    <w:rsid w:val="003D0FEA"/>
    <w:rsid w:val="003D1AC7"/>
    <w:rsid w:val="003D1BF0"/>
    <w:rsid w:val="003D1DBA"/>
    <w:rsid w:val="003D29AB"/>
    <w:rsid w:val="003D2F22"/>
    <w:rsid w:val="003D4894"/>
    <w:rsid w:val="003D5340"/>
    <w:rsid w:val="003D5BB3"/>
    <w:rsid w:val="003D6105"/>
    <w:rsid w:val="003D68BE"/>
    <w:rsid w:val="003D7059"/>
    <w:rsid w:val="003D72F2"/>
    <w:rsid w:val="003D77AA"/>
    <w:rsid w:val="003E00C4"/>
    <w:rsid w:val="003E25EE"/>
    <w:rsid w:val="003E3268"/>
    <w:rsid w:val="003E5687"/>
    <w:rsid w:val="003E65EC"/>
    <w:rsid w:val="003E6B2B"/>
    <w:rsid w:val="003E7E0F"/>
    <w:rsid w:val="003F0330"/>
    <w:rsid w:val="003F066D"/>
    <w:rsid w:val="003F08A3"/>
    <w:rsid w:val="003F0CB6"/>
    <w:rsid w:val="003F1381"/>
    <w:rsid w:val="003F2C53"/>
    <w:rsid w:val="003F2EA9"/>
    <w:rsid w:val="003F3849"/>
    <w:rsid w:val="003F464B"/>
    <w:rsid w:val="003F6485"/>
    <w:rsid w:val="003F681D"/>
    <w:rsid w:val="003F68AA"/>
    <w:rsid w:val="003F7BE7"/>
    <w:rsid w:val="003F7CBC"/>
    <w:rsid w:val="00401E3C"/>
    <w:rsid w:val="00402C01"/>
    <w:rsid w:val="0040371E"/>
    <w:rsid w:val="00404BA2"/>
    <w:rsid w:val="00405094"/>
    <w:rsid w:val="00406418"/>
    <w:rsid w:val="004065B5"/>
    <w:rsid w:val="0040774C"/>
    <w:rsid w:val="00407C4E"/>
    <w:rsid w:val="004108C5"/>
    <w:rsid w:val="00410B9C"/>
    <w:rsid w:val="00410BEC"/>
    <w:rsid w:val="00410D31"/>
    <w:rsid w:val="00412378"/>
    <w:rsid w:val="00412ABE"/>
    <w:rsid w:val="004132E5"/>
    <w:rsid w:val="00413321"/>
    <w:rsid w:val="00413C20"/>
    <w:rsid w:val="0041426E"/>
    <w:rsid w:val="00414BA6"/>
    <w:rsid w:val="00414FE1"/>
    <w:rsid w:val="0041544A"/>
    <w:rsid w:val="00415DB6"/>
    <w:rsid w:val="00415FE7"/>
    <w:rsid w:val="004169AA"/>
    <w:rsid w:val="00416E85"/>
    <w:rsid w:val="004208BC"/>
    <w:rsid w:val="004210BB"/>
    <w:rsid w:val="00421464"/>
    <w:rsid w:val="0042155D"/>
    <w:rsid w:val="00422B45"/>
    <w:rsid w:val="00422CCF"/>
    <w:rsid w:val="0042328B"/>
    <w:rsid w:val="00423BDB"/>
    <w:rsid w:val="004244B5"/>
    <w:rsid w:val="00424964"/>
    <w:rsid w:val="0042524C"/>
    <w:rsid w:val="00425427"/>
    <w:rsid w:val="00426B2E"/>
    <w:rsid w:val="00426E0C"/>
    <w:rsid w:val="00430368"/>
    <w:rsid w:val="00430896"/>
    <w:rsid w:val="00431862"/>
    <w:rsid w:val="00431926"/>
    <w:rsid w:val="004320FB"/>
    <w:rsid w:val="00432D9B"/>
    <w:rsid w:val="00433254"/>
    <w:rsid w:val="0043463C"/>
    <w:rsid w:val="00434B17"/>
    <w:rsid w:val="0043514A"/>
    <w:rsid w:val="004372B7"/>
    <w:rsid w:val="00437AFE"/>
    <w:rsid w:val="00437FEC"/>
    <w:rsid w:val="00440A9D"/>
    <w:rsid w:val="00440FEB"/>
    <w:rsid w:val="00441D8B"/>
    <w:rsid w:val="00442916"/>
    <w:rsid w:val="00442EEF"/>
    <w:rsid w:val="004431EB"/>
    <w:rsid w:val="00443C95"/>
    <w:rsid w:val="00443CC2"/>
    <w:rsid w:val="00443E4B"/>
    <w:rsid w:val="004444E5"/>
    <w:rsid w:val="00444D97"/>
    <w:rsid w:val="004458BE"/>
    <w:rsid w:val="00445BF9"/>
    <w:rsid w:val="00445F4D"/>
    <w:rsid w:val="004466AB"/>
    <w:rsid w:val="00447D12"/>
    <w:rsid w:val="0045021A"/>
    <w:rsid w:val="004503CC"/>
    <w:rsid w:val="00450EA7"/>
    <w:rsid w:val="00451835"/>
    <w:rsid w:val="00452893"/>
    <w:rsid w:val="004536F4"/>
    <w:rsid w:val="004537CD"/>
    <w:rsid w:val="00454026"/>
    <w:rsid w:val="00454F09"/>
    <w:rsid w:val="004557FB"/>
    <w:rsid w:val="00455A9F"/>
    <w:rsid w:val="00455AA2"/>
    <w:rsid w:val="00455AD4"/>
    <w:rsid w:val="004601A9"/>
    <w:rsid w:val="004602AB"/>
    <w:rsid w:val="00460432"/>
    <w:rsid w:val="00460D75"/>
    <w:rsid w:val="00462636"/>
    <w:rsid w:val="00463717"/>
    <w:rsid w:val="00463E01"/>
    <w:rsid w:val="00464659"/>
    <w:rsid w:val="0046474D"/>
    <w:rsid w:val="00465C4E"/>
    <w:rsid w:val="0046643D"/>
    <w:rsid w:val="0046735A"/>
    <w:rsid w:val="0046735E"/>
    <w:rsid w:val="00467731"/>
    <w:rsid w:val="00467B98"/>
    <w:rsid w:val="00470C00"/>
    <w:rsid w:val="0047154D"/>
    <w:rsid w:val="0047174E"/>
    <w:rsid w:val="00471FD6"/>
    <w:rsid w:val="004737FD"/>
    <w:rsid w:val="00474409"/>
    <w:rsid w:val="004753E2"/>
    <w:rsid w:val="00476EAF"/>
    <w:rsid w:val="004805C1"/>
    <w:rsid w:val="00480B1E"/>
    <w:rsid w:val="00481B9F"/>
    <w:rsid w:val="00482CD9"/>
    <w:rsid w:val="0048330A"/>
    <w:rsid w:val="00484354"/>
    <w:rsid w:val="00484F85"/>
    <w:rsid w:val="00485154"/>
    <w:rsid w:val="004854AB"/>
    <w:rsid w:val="004856A4"/>
    <w:rsid w:val="00485954"/>
    <w:rsid w:val="00485BE4"/>
    <w:rsid w:val="004875DD"/>
    <w:rsid w:val="004903DE"/>
    <w:rsid w:val="0049111A"/>
    <w:rsid w:val="00491256"/>
    <w:rsid w:val="0049170D"/>
    <w:rsid w:val="0049186D"/>
    <w:rsid w:val="00492910"/>
    <w:rsid w:val="00492F0C"/>
    <w:rsid w:val="0049352A"/>
    <w:rsid w:val="004941C3"/>
    <w:rsid w:val="00494E2A"/>
    <w:rsid w:val="004966B8"/>
    <w:rsid w:val="00496CAB"/>
    <w:rsid w:val="004A026A"/>
    <w:rsid w:val="004A0A74"/>
    <w:rsid w:val="004A1165"/>
    <w:rsid w:val="004A1AB3"/>
    <w:rsid w:val="004A22A0"/>
    <w:rsid w:val="004A3E3B"/>
    <w:rsid w:val="004A3FAA"/>
    <w:rsid w:val="004A4091"/>
    <w:rsid w:val="004A47CE"/>
    <w:rsid w:val="004A5C46"/>
    <w:rsid w:val="004A6E56"/>
    <w:rsid w:val="004A7758"/>
    <w:rsid w:val="004A7E32"/>
    <w:rsid w:val="004B07AD"/>
    <w:rsid w:val="004B08F2"/>
    <w:rsid w:val="004B23D7"/>
    <w:rsid w:val="004B3325"/>
    <w:rsid w:val="004B3338"/>
    <w:rsid w:val="004B382C"/>
    <w:rsid w:val="004B4F6A"/>
    <w:rsid w:val="004B6355"/>
    <w:rsid w:val="004B6AB1"/>
    <w:rsid w:val="004B6DDE"/>
    <w:rsid w:val="004B7ADE"/>
    <w:rsid w:val="004B7C70"/>
    <w:rsid w:val="004C0440"/>
    <w:rsid w:val="004C0658"/>
    <w:rsid w:val="004C0CC1"/>
    <w:rsid w:val="004C1310"/>
    <w:rsid w:val="004C1341"/>
    <w:rsid w:val="004C1732"/>
    <w:rsid w:val="004C19F8"/>
    <w:rsid w:val="004C1B20"/>
    <w:rsid w:val="004C1F55"/>
    <w:rsid w:val="004C2D4B"/>
    <w:rsid w:val="004C403E"/>
    <w:rsid w:val="004C42E7"/>
    <w:rsid w:val="004C4A28"/>
    <w:rsid w:val="004C7098"/>
    <w:rsid w:val="004C7B46"/>
    <w:rsid w:val="004C7F91"/>
    <w:rsid w:val="004D111C"/>
    <w:rsid w:val="004D17FF"/>
    <w:rsid w:val="004D2CCA"/>
    <w:rsid w:val="004D34F2"/>
    <w:rsid w:val="004D36E8"/>
    <w:rsid w:val="004D3E03"/>
    <w:rsid w:val="004D425B"/>
    <w:rsid w:val="004D49CD"/>
    <w:rsid w:val="004D529A"/>
    <w:rsid w:val="004D6356"/>
    <w:rsid w:val="004D7734"/>
    <w:rsid w:val="004D7903"/>
    <w:rsid w:val="004D7BBC"/>
    <w:rsid w:val="004D7C2C"/>
    <w:rsid w:val="004E02ED"/>
    <w:rsid w:val="004E0610"/>
    <w:rsid w:val="004E0B25"/>
    <w:rsid w:val="004E12E2"/>
    <w:rsid w:val="004E168E"/>
    <w:rsid w:val="004E23D9"/>
    <w:rsid w:val="004E2667"/>
    <w:rsid w:val="004E2960"/>
    <w:rsid w:val="004E2B02"/>
    <w:rsid w:val="004E3081"/>
    <w:rsid w:val="004E38DE"/>
    <w:rsid w:val="004E3C20"/>
    <w:rsid w:val="004E446C"/>
    <w:rsid w:val="004E4B8F"/>
    <w:rsid w:val="004E596B"/>
    <w:rsid w:val="004E5CB3"/>
    <w:rsid w:val="004E65F1"/>
    <w:rsid w:val="004E66F2"/>
    <w:rsid w:val="004E7B3C"/>
    <w:rsid w:val="004F0071"/>
    <w:rsid w:val="004F056B"/>
    <w:rsid w:val="004F07AB"/>
    <w:rsid w:val="004F08BA"/>
    <w:rsid w:val="004F0C18"/>
    <w:rsid w:val="004F0F44"/>
    <w:rsid w:val="004F0F9D"/>
    <w:rsid w:val="004F1088"/>
    <w:rsid w:val="004F1730"/>
    <w:rsid w:val="004F1C0A"/>
    <w:rsid w:val="004F23E8"/>
    <w:rsid w:val="004F2BF0"/>
    <w:rsid w:val="004F2D75"/>
    <w:rsid w:val="004F3DD9"/>
    <w:rsid w:val="004F4914"/>
    <w:rsid w:val="004F50DB"/>
    <w:rsid w:val="004F5F55"/>
    <w:rsid w:val="004F6773"/>
    <w:rsid w:val="004F7637"/>
    <w:rsid w:val="004F7706"/>
    <w:rsid w:val="005006FF"/>
    <w:rsid w:val="00501204"/>
    <w:rsid w:val="0050183A"/>
    <w:rsid w:val="00501DE8"/>
    <w:rsid w:val="005023C0"/>
    <w:rsid w:val="0050460A"/>
    <w:rsid w:val="00504A3D"/>
    <w:rsid w:val="00505487"/>
    <w:rsid w:val="005060B9"/>
    <w:rsid w:val="00507427"/>
    <w:rsid w:val="005075C0"/>
    <w:rsid w:val="00507C79"/>
    <w:rsid w:val="00507E8D"/>
    <w:rsid w:val="00510DB8"/>
    <w:rsid w:val="00511128"/>
    <w:rsid w:val="00511508"/>
    <w:rsid w:val="00512DCC"/>
    <w:rsid w:val="00513116"/>
    <w:rsid w:val="00513431"/>
    <w:rsid w:val="00514129"/>
    <w:rsid w:val="00515853"/>
    <w:rsid w:val="00515A0A"/>
    <w:rsid w:val="00516D38"/>
    <w:rsid w:val="005174F9"/>
    <w:rsid w:val="00520FB8"/>
    <w:rsid w:val="005226A1"/>
    <w:rsid w:val="00522B7B"/>
    <w:rsid w:val="00523FC8"/>
    <w:rsid w:val="0052411E"/>
    <w:rsid w:val="00524343"/>
    <w:rsid w:val="00524770"/>
    <w:rsid w:val="00524A26"/>
    <w:rsid w:val="00525580"/>
    <w:rsid w:val="00525CC1"/>
    <w:rsid w:val="005265F2"/>
    <w:rsid w:val="00527507"/>
    <w:rsid w:val="00527820"/>
    <w:rsid w:val="005316F3"/>
    <w:rsid w:val="00532448"/>
    <w:rsid w:val="0053273C"/>
    <w:rsid w:val="00532C74"/>
    <w:rsid w:val="00533873"/>
    <w:rsid w:val="005338E0"/>
    <w:rsid w:val="00533969"/>
    <w:rsid w:val="00533AF6"/>
    <w:rsid w:val="005345BE"/>
    <w:rsid w:val="00535207"/>
    <w:rsid w:val="005352E9"/>
    <w:rsid w:val="00535470"/>
    <w:rsid w:val="0053647F"/>
    <w:rsid w:val="005366BD"/>
    <w:rsid w:val="005371B7"/>
    <w:rsid w:val="005372B2"/>
    <w:rsid w:val="0053747F"/>
    <w:rsid w:val="00537578"/>
    <w:rsid w:val="00537720"/>
    <w:rsid w:val="0053779B"/>
    <w:rsid w:val="005411D8"/>
    <w:rsid w:val="00541FAD"/>
    <w:rsid w:val="00542851"/>
    <w:rsid w:val="00543411"/>
    <w:rsid w:val="00543580"/>
    <w:rsid w:val="00544099"/>
    <w:rsid w:val="005442BA"/>
    <w:rsid w:val="0054460A"/>
    <w:rsid w:val="005447A4"/>
    <w:rsid w:val="00544AE2"/>
    <w:rsid w:val="00544CA5"/>
    <w:rsid w:val="00544E5C"/>
    <w:rsid w:val="0054557C"/>
    <w:rsid w:val="0054625C"/>
    <w:rsid w:val="00546C1E"/>
    <w:rsid w:val="00547114"/>
    <w:rsid w:val="00547AA1"/>
    <w:rsid w:val="0055103F"/>
    <w:rsid w:val="0055245B"/>
    <w:rsid w:val="00552818"/>
    <w:rsid w:val="00552A2C"/>
    <w:rsid w:val="005539CC"/>
    <w:rsid w:val="00553A0F"/>
    <w:rsid w:val="00553CD4"/>
    <w:rsid w:val="00556ECF"/>
    <w:rsid w:val="0055784B"/>
    <w:rsid w:val="0056002E"/>
    <w:rsid w:val="005600DF"/>
    <w:rsid w:val="0056045C"/>
    <w:rsid w:val="00560BF1"/>
    <w:rsid w:val="005626BB"/>
    <w:rsid w:val="00562E61"/>
    <w:rsid w:val="00563A3F"/>
    <w:rsid w:val="00563AA7"/>
    <w:rsid w:val="00563E9B"/>
    <w:rsid w:val="00564126"/>
    <w:rsid w:val="005642C7"/>
    <w:rsid w:val="00564F21"/>
    <w:rsid w:val="00564F5A"/>
    <w:rsid w:val="005662A0"/>
    <w:rsid w:val="005668DA"/>
    <w:rsid w:val="00566AEE"/>
    <w:rsid w:val="00567792"/>
    <w:rsid w:val="00567CC5"/>
    <w:rsid w:val="00567E27"/>
    <w:rsid w:val="00573586"/>
    <w:rsid w:val="005737D8"/>
    <w:rsid w:val="005753EA"/>
    <w:rsid w:val="00575E35"/>
    <w:rsid w:val="00576016"/>
    <w:rsid w:val="005762AE"/>
    <w:rsid w:val="00576F57"/>
    <w:rsid w:val="00577592"/>
    <w:rsid w:val="00577AB9"/>
    <w:rsid w:val="00580CE4"/>
    <w:rsid w:val="00580E5E"/>
    <w:rsid w:val="005810C2"/>
    <w:rsid w:val="00581FA9"/>
    <w:rsid w:val="005830E6"/>
    <w:rsid w:val="00583525"/>
    <w:rsid w:val="00583567"/>
    <w:rsid w:val="005836B9"/>
    <w:rsid w:val="0058401A"/>
    <w:rsid w:val="00584AB2"/>
    <w:rsid w:val="00585504"/>
    <w:rsid w:val="00586298"/>
    <w:rsid w:val="00586C87"/>
    <w:rsid w:val="00586ED1"/>
    <w:rsid w:val="00590048"/>
    <w:rsid w:val="00590947"/>
    <w:rsid w:val="00590AA9"/>
    <w:rsid w:val="0059141F"/>
    <w:rsid w:val="005918EB"/>
    <w:rsid w:val="0059230E"/>
    <w:rsid w:val="005932AB"/>
    <w:rsid w:val="005934FA"/>
    <w:rsid w:val="005959F4"/>
    <w:rsid w:val="00595AC3"/>
    <w:rsid w:val="00595D6F"/>
    <w:rsid w:val="005962FB"/>
    <w:rsid w:val="0059661F"/>
    <w:rsid w:val="0059670C"/>
    <w:rsid w:val="00596D31"/>
    <w:rsid w:val="005A000B"/>
    <w:rsid w:val="005A0579"/>
    <w:rsid w:val="005A184A"/>
    <w:rsid w:val="005A21A3"/>
    <w:rsid w:val="005A2D19"/>
    <w:rsid w:val="005A320F"/>
    <w:rsid w:val="005A327C"/>
    <w:rsid w:val="005A37F3"/>
    <w:rsid w:val="005A3CC0"/>
    <w:rsid w:val="005A4B59"/>
    <w:rsid w:val="005A712A"/>
    <w:rsid w:val="005A78F7"/>
    <w:rsid w:val="005A7993"/>
    <w:rsid w:val="005B03FA"/>
    <w:rsid w:val="005B0596"/>
    <w:rsid w:val="005B1317"/>
    <w:rsid w:val="005B1DED"/>
    <w:rsid w:val="005B1FE9"/>
    <w:rsid w:val="005B2741"/>
    <w:rsid w:val="005B38C2"/>
    <w:rsid w:val="005B3F4C"/>
    <w:rsid w:val="005B4060"/>
    <w:rsid w:val="005B44BB"/>
    <w:rsid w:val="005B4E49"/>
    <w:rsid w:val="005B53BF"/>
    <w:rsid w:val="005B56E2"/>
    <w:rsid w:val="005B5DD1"/>
    <w:rsid w:val="005B5FE7"/>
    <w:rsid w:val="005B7683"/>
    <w:rsid w:val="005C001B"/>
    <w:rsid w:val="005C0980"/>
    <w:rsid w:val="005C0A3C"/>
    <w:rsid w:val="005C0D5D"/>
    <w:rsid w:val="005C26B7"/>
    <w:rsid w:val="005C2725"/>
    <w:rsid w:val="005C2A9F"/>
    <w:rsid w:val="005C2BF0"/>
    <w:rsid w:val="005C2E64"/>
    <w:rsid w:val="005C33C6"/>
    <w:rsid w:val="005C34E2"/>
    <w:rsid w:val="005C38DA"/>
    <w:rsid w:val="005C3A60"/>
    <w:rsid w:val="005C3BEB"/>
    <w:rsid w:val="005C46EB"/>
    <w:rsid w:val="005C6321"/>
    <w:rsid w:val="005C659F"/>
    <w:rsid w:val="005C69D2"/>
    <w:rsid w:val="005C6F41"/>
    <w:rsid w:val="005C72AF"/>
    <w:rsid w:val="005C7467"/>
    <w:rsid w:val="005C78F9"/>
    <w:rsid w:val="005C7DF1"/>
    <w:rsid w:val="005D0117"/>
    <w:rsid w:val="005D030B"/>
    <w:rsid w:val="005D09F3"/>
    <w:rsid w:val="005D1253"/>
    <w:rsid w:val="005D1960"/>
    <w:rsid w:val="005D1DA2"/>
    <w:rsid w:val="005D2A09"/>
    <w:rsid w:val="005D2A1A"/>
    <w:rsid w:val="005D2C8A"/>
    <w:rsid w:val="005D33CA"/>
    <w:rsid w:val="005D35B1"/>
    <w:rsid w:val="005D3728"/>
    <w:rsid w:val="005D3781"/>
    <w:rsid w:val="005D39C3"/>
    <w:rsid w:val="005D3FDE"/>
    <w:rsid w:val="005D4170"/>
    <w:rsid w:val="005D5A78"/>
    <w:rsid w:val="005D5F1C"/>
    <w:rsid w:val="005D679F"/>
    <w:rsid w:val="005D76EF"/>
    <w:rsid w:val="005D7AF9"/>
    <w:rsid w:val="005E0103"/>
    <w:rsid w:val="005E0869"/>
    <w:rsid w:val="005E2269"/>
    <w:rsid w:val="005E2D9C"/>
    <w:rsid w:val="005E2FF9"/>
    <w:rsid w:val="005E3204"/>
    <w:rsid w:val="005E36F0"/>
    <w:rsid w:val="005E3953"/>
    <w:rsid w:val="005E3954"/>
    <w:rsid w:val="005E4F7A"/>
    <w:rsid w:val="005E5103"/>
    <w:rsid w:val="005E7B11"/>
    <w:rsid w:val="005F0931"/>
    <w:rsid w:val="005F13E6"/>
    <w:rsid w:val="005F1578"/>
    <w:rsid w:val="005F1753"/>
    <w:rsid w:val="005F2CCE"/>
    <w:rsid w:val="005F3A1C"/>
    <w:rsid w:val="005F50C6"/>
    <w:rsid w:val="005F64CB"/>
    <w:rsid w:val="005F6BAB"/>
    <w:rsid w:val="005F7CBD"/>
    <w:rsid w:val="0060184D"/>
    <w:rsid w:val="00602333"/>
    <w:rsid w:val="0060388E"/>
    <w:rsid w:val="00603A83"/>
    <w:rsid w:val="00604305"/>
    <w:rsid w:val="00604532"/>
    <w:rsid w:val="0060511C"/>
    <w:rsid w:val="00605308"/>
    <w:rsid w:val="00607C7C"/>
    <w:rsid w:val="006103CE"/>
    <w:rsid w:val="00611508"/>
    <w:rsid w:val="00612699"/>
    <w:rsid w:val="00613165"/>
    <w:rsid w:val="006138A4"/>
    <w:rsid w:val="006143E3"/>
    <w:rsid w:val="0061487A"/>
    <w:rsid w:val="00614A26"/>
    <w:rsid w:val="00614CBF"/>
    <w:rsid w:val="0061518E"/>
    <w:rsid w:val="00616925"/>
    <w:rsid w:val="00617758"/>
    <w:rsid w:val="006214C5"/>
    <w:rsid w:val="0062190B"/>
    <w:rsid w:val="00621A41"/>
    <w:rsid w:val="00621B3C"/>
    <w:rsid w:val="00621B56"/>
    <w:rsid w:val="00621B6A"/>
    <w:rsid w:val="00622142"/>
    <w:rsid w:val="00624C4B"/>
    <w:rsid w:val="0062538E"/>
    <w:rsid w:val="006253A1"/>
    <w:rsid w:val="006258A7"/>
    <w:rsid w:val="006274C0"/>
    <w:rsid w:val="00627CF3"/>
    <w:rsid w:val="0063079C"/>
    <w:rsid w:val="00630B0A"/>
    <w:rsid w:val="006310CF"/>
    <w:rsid w:val="00631EBD"/>
    <w:rsid w:val="00632892"/>
    <w:rsid w:val="00632E66"/>
    <w:rsid w:val="00633167"/>
    <w:rsid w:val="00637375"/>
    <w:rsid w:val="006379DE"/>
    <w:rsid w:val="006403C8"/>
    <w:rsid w:val="0064192F"/>
    <w:rsid w:val="00641C8E"/>
    <w:rsid w:val="00642982"/>
    <w:rsid w:val="006443B6"/>
    <w:rsid w:val="0064471E"/>
    <w:rsid w:val="00644A42"/>
    <w:rsid w:val="00646612"/>
    <w:rsid w:val="00646C71"/>
    <w:rsid w:val="00646E1F"/>
    <w:rsid w:val="00647D0F"/>
    <w:rsid w:val="00650894"/>
    <w:rsid w:val="006516F1"/>
    <w:rsid w:val="006530AF"/>
    <w:rsid w:val="0065600C"/>
    <w:rsid w:val="00657E5C"/>
    <w:rsid w:val="00660CAD"/>
    <w:rsid w:val="0066182B"/>
    <w:rsid w:val="0066237B"/>
    <w:rsid w:val="00662647"/>
    <w:rsid w:val="0066312E"/>
    <w:rsid w:val="0066348A"/>
    <w:rsid w:val="00663667"/>
    <w:rsid w:val="006638AB"/>
    <w:rsid w:val="0066478D"/>
    <w:rsid w:val="0066495E"/>
    <w:rsid w:val="0066528F"/>
    <w:rsid w:val="00665C23"/>
    <w:rsid w:val="00665D48"/>
    <w:rsid w:val="006664E3"/>
    <w:rsid w:val="00670380"/>
    <w:rsid w:val="00670B88"/>
    <w:rsid w:val="00671420"/>
    <w:rsid w:val="00671CAE"/>
    <w:rsid w:val="006722AF"/>
    <w:rsid w:val="00672BCD"/>
    <w:rsid w:val="00672E07"/>
    <w:rsid w:val="006732E8"/>
    <w:rsid w:val="0067402D"/>
    <w:rsid w:val="006749DD"/>
    <w:rsid w:val="00674C31"/>
    <w:rsid w:val="00674CD5"/>
    <w:rsid w:val="00675B41"/>
    <w:rsid w:val="006772C3"/>
    <w:rsid w:val="00677B79"/>
    <w:rsid w:val="00680156"/>
    <w:rsid w:val="00680AB9"/>
    <w:rsid w:val="00680F1E"/>
    <w:rsid w:val="00681B6D"/>
    <w:rsid w:val="00681E4F"/>
    <w:rsid w:val="006832F8"/>
    <w:rsid w:val="006833BF"/>
    <w:rsid w:val="00683611"/>
    <w:rsid w:val="00683845"/>
    <w:rsid w:val="00683C10"/>
    <w:rsid w:val="006841AB"/>
    <w:rsid w:val="0068471A"/>
    <w:rsid w:val="00684A1A"/>
    <w:rsid w:val="00685482"/>
    <w:rsid w:val="006901AD"/>
    <w:rsid w:val="00690AA2"/>
    <w:rsid w:val="00690D7C"/>
    <w:rsid w:val="006919C6"/>
    <w:rsid w:val="00691CC0"/>
    <w:rsid w:val="00691E8F"/>
    <w:rsid w:val="006925CC"/>
    <w:rsid w:val="00692A11"/>
    <w:rsid w:val="00694398"/>
    <w:rsid w:val="00695A59"/>
    <w:rsid w:val="00696462"/>
    <w:rsid w:val="00696A27"/>
    <w:rsid w:val="006973CE"/>
    <w:rsid w:val="00697A59"/>
    <w:rsid w:val="00697DB0"/>
    <w:rsid w:val="006A037C"/>
    <w:rsid w:val="006A188A"/>
    <w:rsid w:val="006A1D20"/>
    <w:rsid w:val="006A2825"/>
    <w:rsid w:val="006A455C"/>
    <w:rsid w:val="006A4AEA"/>
    <w:rsid w:val="006A4E2F"/>
    <w:rsid w:val="006A59A3"/>
    <w:rsid w:val="006A68DA"/>
    <w:rsid w:val="006A7199"/>
    <w:rsid w:val="006A7F37"/>
    <w:rsid w:val="006B0C7C"/>
    <w:rsid w:val="006B12BF"/>
    <w:rsid w:val="006B16A2"/>
    <w:rsid w:val="006B1A6C"/>
    <w:rsid w:val="006B1DC9"/>
    <w:rsid w:val="006B205C"/>
    <w:rsid w:val="006B2526"/>
    <w:rsid w:val="006B2728"/>
    <w:rsid w:val="006B2F28"/>
    <w:rsid w:val="006B2FE3"/>
    <w:rsid w:val="006B3B29"/>
    <w:rsid w:val="006B3BB2"/>
    <w:rsid w:val="006B4201"/>
    <w:rsid w:val="006B4211"/>
    <w:rsid w:val="006B4413"/>
    <w:rsid w:val="006B5461"/>
    <w:rsid w:val="006B559D"/>
    <w:rsid w:val="006B5EF0"/>
    <w:rsid w:val="006B7138"/>
    <w:rsid w:val="006B7A7D"/>
    <w:rsid w:val="006B7BCE"/>
    <w:rsid w:val="006B7C7B"/>
    <w:rsid w:val="006C06B7"/>
    <w:rsid w:val="006C0D25"/>
    <w:rsid w:val="006C19E6"/>
    <w:rsid w:val="006C1F98"/>
    <w:rsid w:val="006C2737"/>
    <w:rsid w:val="006C2E9A"/>
    <w:rsid w:val="006C3005"/>
    <w:rsid w:val="006C33F9"/>
    <w:rsid w:val="006C3B10"/>
    <w:rsid w:val="006C4101"/>
    <w:rsid w:val="006C45C0"/>
    <w:rsid w:val="006C50AD"/>
    <w:rsid w:val="006C53C1"/>
    <w:rsid w:val="006C54F2"/>
    <w:rsid w:val="006C5536"/>
    <w:rsid w:val="006C55AA"/>
    <w:rsid w:val="006C696F"/>
    <w:rsid w:val="006C748D"/>
    <w:rsid w:val="006D03AB"/>
    <w:rsid w:val="006D08BD"/>
    <w:rsid w:val="006D0A8B"/>
    <w:rsid w:val="006D0A9B"/>
    <w:rsid w:val="006D0BF0"/>
    <w:rsid w:val="006D0DFE"/>
    <w:rsid w:val="006D2175"/>
    <w:rsid w:val="006D24F5"/>
    <w:rsid w:val="006D266D"/>
    <w:rsid w:val="006D2809"/>
    <w:rsid w:val="006D28A0"/>
    <w:rsid w:val="006D291D"/>
    <w:rsid w:val="006D325B"/>
    <w:rsid w:val="006D3B71"/>
    <w:rsid w:val="006D415F"/>
    <w:rsid w:val="006D4C82"/>
    <w:rsid w:val="006D4CF2"/>
    <w:rsid w:val="006D54FB"/>
    <w:rsid w:val="006D55BC"/>
    <w:rsid w:val="006D570B"/>
    <w:rsid w:val="006D5A60"/>
    <w:rsid w:val="006D5D04"/>
    <w:rsid w:val="006D5DC4"/>
    <w:rsid w:val="006D5E00"/>
    <w:rsid w:val="006D6355"/>
    <w:rsid w:val="006D6825"/>
    <w:rsid w:val="006D6887"/>
    <w:rsid w:val="006D690E"/>
    <w:rsid w:val="006D6E39"/>
    <w:rsid w:val="006D7EA4"/>
    <w:rsid w:val="006E07BE"/>
    <w:rsid w:val="006E090C"/>
    <w:rsid w:val="006E137F"/>
    <w:rsid w:val="006E2CE7"/>
    <w:rsid w:val="006E2FDF"/>
    <w:rsid w:val="006E336D"/>
    <w:rsid w:val="006E4397"/>
    <w:rsid w:val="006E45E8"/>
    <w:rsid w:val="006E476C"/>
    <w:rsid w:val="006E5BDE"/>
    <w:rsid w:val="006E5CE8"/>
    <w:rsid w:val="006E5E6D"/>
    <w:rsid w:val="006E6035"/>
    <w:rsid w:val="006E60DC"/>
    <w:rsid w:val="006E6AD3"/>
    <w:rsid w:val="006E7238"/>
    <w:rsid w:val="006E739C"/>
    <w:rsid w:val="006E7564"/>
    <w:rsid w:val="006E7583"/>
    <w:rsid w:val="006E75ED"/>
    <w:rsid w:val="006E7CD9"/>
    <w:rsid w:val="006F039E"/>
    <w:rsid w:val="006F07D7"/>
    <w:rsid w:val="006F1542"/>
    <w:rsid w:val="006F260F"/>
    <w:rsid w:val="006F2B34"/>
    <w:rsid w:val="006F30E4"/>
    <w:rsid w:val="006F357E"/>
    <w:rsid w:val="006F3A62"/>
    <w:rsid w:val="006F448C"/>
    <w:rsid w:val="006F48CB"/>
    <w:rsid w:val="006F4F5A"/>
    <w:rsid w:val="006F68F4"/>
    <w:rsid w:val="006F714F"/>
    <w:rsid w:val="006F76E3"/>
    <w:rsid w:val="006F7858"/>
    <w:rsid w:val="007005D1"/>
    <w:rsid w:val="00702961"/>
    <w:rsid w:val="007031FD"/>
    <w:rsid w:val="00703772"/>
    <w:rsid w:val="007041B3"/>
    <w:rsid w:val="00704A73"/>
    <w:rsid w:val="0070595F"/>
    <w:rsid w:val="00706343"/>
    <w:rsid w:val="00706555"/>
    <w:rsid w:val="007066E0"/>
    <w:rsid w:val="007069FF"/>
    <w:rsid w:val="007072DF"/>
    <w:rsid w:val="00710288"/>
    <w:rsid w:val="0071089B"/>
    <w:rsid w:val="00710E05"/>
    <w:rsid w:val="00710E38"/>
    <w:rsid w:val="007116CC"/>
    <w:rsid w:val="00711F93"/>
    <w:rsid w:val="007125EE"/>
    <w:rsid w:val="00712642"/>
    <w:rsid w:val="007129D6"/>
    <w:rsid w:val="00713AD5"/>
    <w:rsid w:val="00714E1E"/>
    <w:rsid w:val="0071517C"/>
    <w:rsid w:val="00715973"/>
    <w:rsid w:val="00715AB9"/>
    <w:rsid w:val="00715AC2"/>
    <w:rsid w:val="00715B2A"/>
    <w:rsid w:val="00715EDA"/>
    <w:rsid w:val="007202EA"/>
    <w:rsid w:val="00720904"/>
    <w:rsid w:val="00720B52"/>
    <w:rsid w:val="00720E6D"/>
    <w:rsid w:val="00721E52"/>
    <w:rsid w:val="00722B9F"/>
    <w:rsid w:val="0072372C"/>
    <w:rsid w:val="007241C5"/>
    <w:rsid w:val="00726557"/>
    <w:rsid w:val="00726844"/>
    <w:rsid w:val="007269CC"/>
    <w:rsid w:val="00726A3D"/>
    <w:rsid w:val="007272D4"/>
    <w:rsid w:val="00727963"/>
    <w:rsid w:val="00727DDF"/>
    <w:rsid w:val="00730D8C"/>
    <w:rsid w:val="00730EE0"/>
    <w:rsid w:val="0073121C"/>
    <w:rsid w:val="00731872"/>
    <w:rsid w:val="0073191B"/>
    <w:rsid w:val="00732612"/>
    <w:rsid w:val="007326BD"/>
    <w:rsid w:val="00732D7B"/>
    <w:rsid w:val="00734616"/>
    <w:rsid w:val="00734C83"/>
    <w:rsid w:val="00734DDA"/>
    <w:rsid w:val="0073600F"/>
    <w:rsid w:val="0073683B"/>
    <w:rsid w:val="00736868"/>
    <w:rsid w:val="007374A5"/>
    <w:rsid w:val="00737FCB"/>
    <w:rsid w:val="00740060"/>
    <w:rsid w:val="0074035A"/>
    <w:rsid w:val="00741510"/>
    <w:rsid w:val="007418A6"/>
    <w:rsid w:val="0074225D"/>
    <w:rsid w:val="00742265"/>
    <w:rsid w:val="00743B21"/>
    <w:rsid w:val="00743BCC"/>
    <w:rsid w:val="00743D7D"/>
    <w:rsid w:val="00744AD7"/>
    <w:rsid w:val="00745321"/>
    <w:rsid w:val="007462BE"/>
    <w:rsid w:val="0074699A"/>
    <w:rsid w:val="00747426"/>
    <w:rsid w:val="00750839"/>
    <w:rsid w:val="00750978"/>
    <w:rsid w:val="00750AEE"/>
    <w:rsid w:val="00750CDE"/>
    <w:rsid w:val="00751624"/>
    <w:rsid w:val="00752003"/>
    <w:rsid w:val="00752693"/>
    <w:rsid w:val="00753385"/>
    <w:rsid w:val="00753DDA"/>
    <w:rsid w:val="00754416"/>
    <w:rsid w:val="00754A3E"/>
    <w:rsid w:val="007568AC"/>
    <w:rsid w:val="00756CBB"/>
    <w:rsid w:val="00756EC3"/>
    <w:rsid w:val="0075706D"/>
    <w:rsid w:val="00757565"/>
    <w:rsid w:val="00760040"/>
    <w:rsid w:val="00760693"/>
    <w:rsid w:val="007606C0"/>
    <w:rsid w:val="007608F1"/>
    <w:rsid w:val="00760BCB"/>
    <w:rsid w:val="00760F7F"/>
    <w:rsid w:val="00761A50"/>
    <w:rsid w:val="0076310E"/>
    <w:rsid w:val="007631D2"/>
    <w:rsid w:val="00764161"/>
    <w:rsid w:val="00764302"/>
    <w:rsid w:val="00764451"/>
    <w:rsid w:val="00765B6E"/>
    <w:rsid w:val="00765C0D"/>
    <w:rsid w:val="00765EAB"/>
    <w:rsid w:val="0076694F"/>
    <w:rsid w:val="007669E8"/>
    <w:rsid w:val="0076752E"/>
    <w:rsid w:val="0077052F"/>
    <w:rsid w:val="00770BBA"/>
    <w:rsid w:val="00773DEE"/>
    <w:rsid w:val="00774EDC"/>
    <w:rsid w:val="0077611D"/>
    <w:rsid w:val="00776E8F"/>
    <w:rsid w:val="007779E8"/>
    <w:rsid w:val="00782359"/>
    <w:rsid w:val="007827A6"/>
    <w:rsid w:val="007828F0"/>
    <w:rsid w:val="00782DF5"/>
    <w:rsid w:val="0078309A"/>
    <w:rsid w:val="00783192"/>
    <w:rsid w:val="007838BA"/>
    <w:rsid w:val="00783BF0"/>
    <w:rsid w:val="00783D1A"/>
    <w:rsid w:val="00783E87"/>
    <w:rsid w:val="007846D7"/>
    <w:rsid w:val="007854F5"/>
    <w:rsid w:val="00785A22"/>
    <w:rsid w:val="0078689A"/>
    <w:rsid w:val="007877AD"/>
    <w:rsid w:val="00790091"/>
    <w:rsid w:val="00790291"/>
    <w:rsid w:val="00790855"/>
    <w:rsid w:val="00791748"/>
    <w:rsid w:val="00791797"/>
    <w:rsid w:val="00792798"/>
    <w:rsid w:val="00793915"/>
    <w:rsid w:val="0079593F"/>
    <w:rsid w:val="0079595E"/>
    <w:rsid w:val="0079627B"/>
    <w:rsid w:val="007972FB"/>
    <w:rsid w:val="0079771B"/>
    <w:rsid w:val="00797B2C"/>
    <w:rsid w:val="007A010D"/>
    <w:rsid w:val="007A01E7"/>
    <w:rsid w:val="007A0405"/>
    <w:rsid w:val="007A0F3E"/>
    <w:rsid w:val="007A180E"/>
    <w:rsid w:val="007A1FF6"/>
    <w:rsid w:val="007A2276"/>
    <w:rsid w:val="007A2A1A"/>
    <w:rsid w:val="007A2E59"/>
    <w:rsid w:val="007A373F"/>
    <w:rsid w:val="007A3876"/>
    <w:rsid w:val="007A52E0"/>
    <w:rsid w:val="007A69A8"/>
    <w:rsid w:val="007A705B"/>
    <w:rsid w:val="007A706C"/>
    <w:rsid w:val="007A7506"/>
    <w:rsid w:val="007A7935"/>
    <w:rsid w:val="007A7D1A"/>
    <w:rsid w:val="007A7FF3"/>
    <w:rsid w:val="007B01C6"/>
    <w:rsid w:val="007B07C1"/>
    <w:rsid w:val="007B122F"/>
    <w:rsid w:val="007B156D"/>
    <w:rsid w:val="007B16C1"/>
    <w:rsid w:val="007B18AF"/>
    <w:rsid w:val="007B2195"/>
    <w:rsid w:val="007B28BF"/>
    <w:rsid w:val="007B3284"/>
    <w:rsid w:val="007B32D0"/>
    <w:rsid w:val="007B3EE9"/>
    <w:rsid w:val="007B40D5"/>
    <w:rsid w:val="007B4E83"/>
    <w:rsid w:val="007B4FCC"/>
    <w:rsid w:val="007B5157"/>
    <w:rsid w:val="007B559F"/>
    <w:rsid w:val="007B670C"/>
    <w:rsid w:val="007B7D80"/>
    <w:rsid w:val="007C1843"/>
    <w:rsid w:val="007C1DBF"/>
    <w:rsid w:val="007C2A5D"/>
    <w:rsid w:val="007C34F9"/>
    <w:rsid w:val="007C3C02"/>
    <w:rsid w:val="007C4201"/>
    <w:rsid w:val="007C4C26"/>
    <w:rsid w:val="007C52B9"/>
    <w:rsid w:val="007C59FE"/>
    <w:rsid w:val="007C5FA0"/>
    <w:rsid w:val="007C6949"/>
    <w:rsid w:val="007C7257"/>
    <w:rsid w:val="007C742E"/>
    <w:rsid w:val="007C7D94"/>
    <w:rsid w:val="007D0246"/>
    <w:rsid w:val="007D0C84"/>
    <w:rsid w:val="007D0D82"/>
    <w:rsid w:val="007D1AC4"/>
    <w:rsid w:val="007D1EC8"/>
    <w:rsid w:val="007D2525"/>
    <w:rsid w:val="007D2D50"/>
    <w:rsid w:val="007D3EC5"/>
    <w:rsid w:val="007D4B87"/>
    <w:rsid w:val="007D4DA5"/>
    <w:rsid w:val="007D5905"/>
    <w:rsid w:val="007D5C26"/>
    <w:rsid w:val="007D5D77"/>
    <w:rsid w:val="007D7113"/>
    <w:rsid w:val="007D7157"/>
    <w:rsid w:val="007D78D2"/>
    <w:rsid w:val="007D7DF6"/>
    <w:rsid w:val="007D7EF8"/>
    <w:rsid w:val="007E030B"/>
    <w:rsid w:val="007E0A6B"/>
    <w:rsid w:val="007E0B5E"/>
    <w:rsid w:val="007E11F9"/>
    <w:rsid w:val="007E14CA"/>
    <w:rsid w:val="007E457F"/>
    <w:rsid w:val="007E48D1"/>
    <w:rsid w:val="007E4989"/>
    <w:rsid w:val="007E5275"/>
    <w:rsid w:val="007E645A"/>
    <w:rsid w:val="007E6961"/>
    <w:rsid w:val="007E6B3D"/>
    <w:rsid w:val="007E6F6A"/>
    <w:rsid w:val="007E74C6"/>
    <w:rsid w:val="007E76EE"/>
    <w:rsid w:val="007E7EA4"/>
    <w:rsid w:val="007F06B0"/>
    <w:rsid w:val="007F0826"/>
    <w:rsid w:val="007F10E6"/>
    <w:rsid w:val="007F1EDC"/>
    <w:rsid w:val="007F2C9D"/>
    <w:rsid w:val="007F30BC"/>
    <w:rsid w:val="007F368A"/>
    <w:rsid w:val="007F3794"/>
    <w:rsid w:val="007F464A"/>
    <w:rsid w:val="007F54DC"/>
    <w:rsid w:val="007F5876"/>
    <w:rsid w:val="007F7188"/>
    <w:rsid w:val="007F7293"/>
    <w:rsid w:val="007F7D2C"/>
    <w:rsid w:val="008005A8"/>
    <w:rsid w:val="008013F3"/>
    <w:rsid w:val="0080144B"/>
    <w:rsid w:val="0080187C"/>
    <w:rsid w:val="00802A9E"/>
    <w:rsid w:val="00802DC1"/>
    <w:rsid w:val="0080309F"/>
    <w:rsid w:val="00803400"/>
    <w:rsid w:val="00803A85"/>
    <w:rsid w:val="00803B3A"/>
    <w:rsid w:val="0080404E"/>
    <w:rsid w:val="00804C20"/>
    <w:rsid w:val="0080577A"/>
    <w:rsid w:val="008058B4"/>
    <w:rsid w:val="00805C7A"/>
    <w:rsid w:val="00806006"/>
    <w:rsid w:val="0080788D"/>
    <w:rsid w:val="00810537"/>
    <w:rsid w:val="00811B5F"/>
    <w:rsid w:val="008136F6"/>
    <w:rsid w:val="008138AF"/>
    <w:rsid w:val="008143F2"/>
    <w:rsid w:val="00815709"/>
    <w:rsid w:val="00815A35"/>
    <w:rsid w:val="00815FEA"/>
    <w:rsid w:val="008160CA"/>
    <w:rsid w:val="00816EDE"/>
    <w:rsid w:val="00817724"/>
    <w:rsid w:val="00817E0D"/>
    <w:rsid w:val="00821065"/>
    <w:rsid w:val="008219FB"/>
    <w:rsid w:val="00821D20"/>
    <w:rsid w:val="008228EF"/>
    <w:rsid w:val="00822D22"/>
    <w:rsid w:val="008234D4"/>
    <w:rsid w:val="00824878"/>
    <w:rsid w:val="008248AA"/>
    <w:rsid w:val="00824CD4"/>
    <w:rsid w:val="0082511B"/>
    <w:rsid w:val="0082534A"/>
    <w:rsid w:val="00827E53"/>
    <w:rsid w:val="00827F14"/>
    <w:rsid w:val="008304ED"/>
    <w:rsid w:val="00830584"/>
    <w:rsid w:val="008307D8"/>
    <w:rsid w:val="00830FC8"/>
    <w:rsid w:val="00831535"/>
    <w:rsid w:val="00831ACD"/>
    <w:rsid w:val="00831CF0"/>
    <w:rsid w:val="00831FB1"/>
    <w:rsid w:val="00832695"/>
    <w:rsid w:val="008337E6"/>
    <w:rsid w:val="00834505"/>
    <w:rsid w:val="00834B05"/>
    <w:rsid w:val="00835704"/>
    <w:rsid w:val="00835E16"/>
    <w:rsid w:val="008364F4"/>
    <w:rsid w:val="008365D7"/>
    <w:rsid w:val="00836BDD"/>
    <w:rsid w:val="00836D90"/>
    <w:rsid w:val="00836EF6"/>
    <w:rsid w:val="008372F0"/>
    <w:rsid w:val="0083793D"/>
    <w:rsid w:val="00837949"/>
    <w:rsid w:val="0084071E"/>
    <w:rsid w:val="00840BD5"/>
    <w:rsid w:val="00841404"/>
    <w:rsid w:val="00841B48"/>
    <w:rsid w:val="00842653"/>
    <w:rsid w:val="00842C6E"/>
    <w:rsid w:val="008436FC"/>
    <w:rsid w:val="008438AF"/>
    <w:rsid w:val="00843DE7"/>
    <w:rsid w:val="00843E4D"/>
    <w:rsid w:val="008448E1"/>
    <w:rsid w:val="00844CC5"/>
    <w:rsid w:val="0084591A"/>
    <w:rsid w:val="0084593C"/>
    <w:rsid w:val="00847293"/>
    <w:rsid w:val="008506DC"/>
    <w:rsid w:val="0085168D"/>
    <w:rsid w:val="00851797"/>
    <w:rsid w:val="008526F1"/>
    <w:rsid w:val="00853A53"/>
    <w:rsid w:val="00854E53"/>
    <w:rsid w:val="0085530D"/>
    <w:rsid w:val="0085535D"/>
    <w:rsid w:val="008556D8"/>
    <w:rsid w:val="00855C28"/>
    <w:rsid w:val="008562B2"/>
    <w:rsid w:val="00856821"/>
    <w:rsid w:val="00857D86"/>
    <w:rsid w:val="00857EE8"/>
    <w:rsid w:val="00860CD4"/>
    <w:rsid w:val="00860D02"/>
    <w:rsid w:val="00861819"/>
    <w:rsid w:val="00861C52"/>
    <w:rsid w:val="00861FCF"/>
    <w:rsid w:val="00862FB6"/>
    <w:rsid w:val="00863ED5"/>
    <w:rsid w:val="00864447"/>
    <w:rsid w:val="0086448D"/>
    <w:rsid w:val="00864571"/>
    <w:rsid w:val="00864903"/>
    <w:rsid w:val="00865238"/>
    <w:rsid w:val="00870AD7"/>
    <w:rsid w:val="008714FE"/>
    <w:rsid w:val="008715C7"/>
    <w:rsid w:val="00871DC2"/>
    <w:rsid w:val="008725D3"/>
    <w:rsid w:val="00872775"/>
    <w:rsid w:val="0087278A"/>
    <w:rsid w:val="00872BE8"/>
    <w:rsid w:val="00873019"/>
    <w:rsid w:val="00873274"/>
    <w:rsid w:val="00875AB2"/>
    <w:rsid w:val="00875E7E"/>
    <w:rsid w:val="00876185"/>
    <w:rsid w:val="0087665D"/>
    <w:rsid w:val="00877899"/>
    <w:rsid w:val="00877EA1"/>
    <w:rsid w:val="00880E31"/>
    <w:rsid w:val="00880E59"/>
    <w:rsid w:val="00882350"/>
    <w:rsid w:val="0088262F"/>
    <w:rsid w:val="00883DE5"/>
    <w:rsid w:val="0088421D"/>
    <w:rsid w:val="008842A7"/>
    <w:rsid w:val="00885068"/>
    <w:rsid w:val="00885213"/>
    <w:rsid w:val="0088559A"/>
    <w:rsid w:val="00885ADE"/>
    <w:rsid w:val="00885E88"/>
    <w:rsid w:val="00885F2D"/>
    <w:rsid w:val="00887800"/>
    <w:rsid w:val="00887BD9"/>
    <w:rsid w:val="00887CB5"/>
    <w:rsid w:val="00890F77"/>
    <w:rsid w:val="008914ED"/>
    <w:rsid w:val="0089268A"/>
    <w:rsid w:val="008955AC"/>
    <w:rsid w:val="00895C02"/>
    <w:rsid w:val="00895DAD"/>
    <w:rsid w:val="008963EE"/>
    <w:rsid w:val="008973B9"/>
    <w:rsid w:val="00897A56"/>
    <w:rsid w:val="008A008C"/>
    <w:rsid w:val="008A17AD"/>
    <w:rsid w:val="008A18FC"/>
    <w:rsid w:val="008A30B4"/>
    <w:rsid w:val="008A338B"/>
    <w:rsid w:val="008A44C6"/>
    <w:rsid w:val="008A4E7A"/>
    <w:rsid w:val="008A5843"/>
    <w:rsid w:val="008A595A"/>
    <w:rsid w:val="008A5B7F"/>
    <w:rsid w:val="008A5F9C"/>
    <w:rsid w:val="008A62C5"/>
    <w:rsid w:val="008A684B"/>
    <w:rsid w:val="008A75EB"/>
    <w:rsid w:val="008A7D60"/>
    <w:rsid w:val="008B0832"/>
    <w:rsid w:val="008B1489"/>
    <w:rsid w:val="008B1504"/>
    <w:rsid w:val="008B1C5E"/>
    <w:rsid w:val="008B1D54"/>
    <w:rsid w:val="008B1DF7"/>
    <w:rsid w:val="008B20BE"/>
    <w:rsid w:val="008B20F6"/>
    <w:rsid w:val="008B2ED5"/>
    <w:rsid w:val="008B3C90"/>
    <w:rsid w:val="008B40D9"/>
    <w:rsid w:val="008B42DD"/>
    <w:rsid w:val="008B54CF"/>
    <w:rsid w:val="008B5523"/>
    <w:rsid w:val="008B57C6"/>
    <w:rsid w:val="008B5B47"/>
    <w:rsid w:val="008B63BD"/>
    <w:rsid w:val="008B661A"/>
    <w:rsid w:val="008C0341"/>
    <w:rsid w:val="008C0C98"/>
    <w:rsid w:val="008C1273"/>
    <w:rsid w:val="008C17ED"/>
    <w:rsid w:val="008C1FE9"/>
    <w:rsid w:val="008C2029"/>
    <w:rsid w:val="008C23C1"/>
    <w:rsid w:val="008C265F"/>
    <w:rsid w:val="008C26F3"/>
    <w:rsid w:val="008C2795"/>
    <w:rsid w:val="008C361B"/>
    <w:rsid w:val="008C480B"/>
    <w:rsid w:val="008C622C"/>
    <w:rsid w:val="008C635D"/>
    <w:rsid w:val="008C6B4C"/>
    <w:rsid w:val="008C6C18"/>
    <w:rsid w:val="008D0166"/>
    <w:rsid w:val="008D0A10"/>
    <w:rsid w:val="008D0EE1"/>
    <w:rsid w:val="008D148F"/>
    <w:rsid w:val="008D1FAD"/>
    <w:rsid w:val="008D2675"/>
    <w:rsid w:val="008D2899"/>
    <w:rsid w:val="008D3301"/>
    <w:rsid w:val="008D388A"/>
    <w:rsid w:val="008D44D3"/>
    <w:rsid w:val="008D4D0C"/>
    <w:rsid w:val="008D5AA7"/>
    <w:rsid w:val="008D70D0"/>
    <w:rsid w:val="008D7F79"/>
    <w:rsid w:val="008D7F8B"/>
    <w:rsid w:val="008E07CB"/>
    <w:rsid w:val="008E1730"/>
    <w:rsid w:val="008E18CC"/>
    <w:rsid w:val="008E1DED"/>
    <w:rsid w:val="008E2777"/>
    <w:rsid w:val="008E2F52"/>
    <w:rsid w:val="008E32ED"/>
    <w:rsid w:val="008E335A"/>
    <w:rsid w:val="008E3409"/>
    <w:rsid w:val="008E4169"/>
    <w:rsid w:val="008E4182"/>
    <w:rsid w:val="008E43A7"/>
    <w:rsid w:val="008E4ABA"/>
    <w:rsid w:val="008E4B7F"/>
    <w:rsid w:val="008E4F39"/>
    <w:rsid w:val="008E5642"/>
    <w:rsid w:val="008E62A2"/>
    <w:rsid w:val="008E641E"/>
    <w:rsid w:val="008E68F7"/>
    <w:rsid w:val="008E76CA"/>
    <w:rsid w:val="008E7FC3"/>
    <w:rsid w:val="008F028C"/>
    <w:rsid w:val="008F0858"/>
    <w:rsid w:val="008F0EB2"/>
    <w:rsid w:val="008F1ADB"/>
    <w:rsid w:val="008F245C"/>
    <w:rsid w:val="008F3431"/>
    <w:rsid w:val="008F42A9"/>
    <w:rsid w:val="008F482E"/>
    <w:rsid w:val="008F5629"/>
    <w:rsid w:val="008F60B0"/>
    <w:rsid w:val="008F69CC"/>
    <w:rsid w:val="008F7283"/>
    <w:rsid w:val="008F7437"/>
    <w:rsid w:val="008F7514"/>
    <w:rsid w:val="008F798C"/>
    <w:rsid w:val="008F7CBE"/>
    <w:rsid w:val="009004BA"/>
    <w:rsid w:val="00901331"/>
    <w:rsid w:val="00902238"/>
    <w:rsid w:val="0090441B"/>
    <w:rsid w:val="0090475A"/>
    <w:rsid w:val="0090489A"/>
    <w:rsid w:val="00904984"/>
    <w:rsid w:val="00905818"/>
    <w:rsid w:val="00905931"/>
    <w:rsid w:val="00905968"/>
    <w:rsid w:val="00905BC1"/>
    <w:rsid w:val="00906177"/>
    <w:rsid w:val="009062F1"/>
    <w:rsid w:val="00906EAC"/>
    <w:rsid w:val="00907C09"/>
    <w:rsid w:val="009103FB"/>
    <w:rsid w:val="00911C2C"/>
    <w:rsid w:val="009125E8"/>
    <w:rsid w:val="00912A41"/>
    <w:rsid w:val="00912A6E"/>
    <w:rsid w:val="00913210"/>
    <w:rsid w:val="00913353"/>
    <w:rsid w:val="0091344A"/>
    <w:rsid w:val="00915624"/>
    <w:rsid w:val="00915833"/>
    <w:rsid w:val="00915B55"/>
    <w:rsid w:val="00915FD5"/>
    <w:rsid w:val="0091641B"/>
    <w:rsid w:val="00916C6C"/>
    <w:rsid w:val="009172C9"/>
    <w:rsid w:val="009172D9"/>
    <w:rsid w:val="009172E4"/>
    <w:rsid w:val="009178A6"/>
    <w:rsid w:val="0091795A"/>
    <w:rsid w:val="00917A7F"/>
    <w:rsid w:val="00921AAF"/>
    <w:rsid w:val="00923709"/>
    <w:rsid w:val="00924A09"/>
    <w:rsid w:val="00924FD8"/>
    <w:rsid w:val="00926A8E"/>
    <w:rsid w:val="0092749F"/>
    <w:rsid w:val="009279D5"/>
    <w:rsid w:val="00927BEA"/>
    <w:rsid w:val="009313E1"/>
    <w:rsid w:val="00931F03"/>
    <w:rsid w:val="009325DA"/>
    <w:rsid w:val="00933E29"/>
    <w:rsid w:val="00934329"/>
    <w:rsid w:val="00934762"/>
    <w:rsid w:val="00934ADB"/>
    <w:rsid w:val="00935E37"/>
    <w:rsid w:val="00935F30"/>
    <w:rsid w:val="00936CE7"/>
    <w:rsid w:val="00937424"/>
    <w:rsid w:val="00937902"/>
    <w:rsid w:val="00937EE7"/>
    <w:rsid w:val="0094166E"/>
    <w:rsid w:val="009419D9"/>
    <w:rsid w:val="00941EBC"/>
    <w:rsid w:val="009426FC"/>
    <w:rsid w:val="00943ACB"/>
    <w:rsid w:val="00944715"/>
    <w:rsid w:val="00944F49"/>
    <w:rsid w:val="009450CB"/>
    <w:rsid w:val="00945640"/>
    <w:rsid w:val="00945902"/>
    <w:rsid w:val="00945BE3"/>
    <w:rsid w:val="0094684C"/>
    <w:rsid w:val="00947D1C"/>
    <w:rsid w:val="00947F08"/>
    <w:rsid w:val="00947F09"/>
    <w:rsid w:val="009506FF"/>
    <w:rsid w:val="00950EDA"/>
    <w:rsid w:val="009511B6"/>
    <w:rsid w:val="009511F5"/>
    <w:rsid w:val="0095175E"/>
    <w:rsid w:val="00951B0E"/>
    <w:rsid w:val="009531D4"/>
    <w:rsid w:val="00953C56"/>
    <w:rsid w:val="009541E5"/>
    <w:rsid w:val="0095434F"/>
    <w:rsid w:val="00955557"/>
    <w:rsid w:val="00955C0C"/>
    <w:rsid w:val="00955E24"/>
    <w:rsid w:val="0095648D"/>
    <w:rsid w:val="00957523"/>
    <w:rsid w:val="0095764F"/>
    <w:rsid w:val="0096013A"/>
    <w:rsid w:val="009603FC"/>
    <w:rsid w:val="00960750"/>
    <w:rsid w:val="00961183"/>
    <w:rsid w:val="00961402"/>
    <w:rsid w:val="0096191F"/>
    <w:rsid w:val="00961FB9"/>
    <w:rsid w:val="00961FE0"/>
    <w:rsid w:val="009625EC"/>
    <w:rsid w:val="00962FAA"/>
    <w:rsid w:val="00963499"/>
    <w:rsid w:val="00963BC5"/>
    <w:rsid w:val="00964CD4"/>
    <w:rsid w:val="00965E1A"/>
    <w:rsid w:val="009665A1"/>
    <w:rsid w:val="009665CD"/>
    <w:rsid w:val="0096665E"/>
    <w:rsid w:val="00966FE0"/>
    <w:rsid w:val="00970292"/>
    <w:rsid w:val="009719A5"/>
    <w:rsid w:val="00972B3E"/>
    <w:rsid w:val="00972C4E"/>
    <w:rsid w:val="00972F42"/>
    <w:rsid w:val="009730EA"/>
    <w:rsid w:val="0097378E"/>
    <w:rsid w:val="00974AEB"/>
    <w:rsid w:val="00974C3D"/>
    <w:rsid w:val="009759E4"/>
    <w:rsid w:val="00975B2F"/>
    <w:rsid w:val="00976845"/>
    <w:rsid w:val="00976965"/>
    <w:rsid w:val="00976DA0"/>
    <w:rsid w:val="009778CD"/>
    <w:rsid w:val="00977AF6"/>
    <w:rsid w:val="00977B2D"/>
    <w:rsid w:val="00980502"/>
    <w:rsid w:val="009807F1"/>
    <w:rsid w:val="009817A0"/>
    <w:rsid w:val="0098411B"/>
    <w:rsid w:val="00984294"/>
    <w:rsid w:val="009846A7"/>
    <w:rsid w:val="00984890"/>
    <w:rsid w:val="00984D3D"/>
    <w:rsid w:val="00984D3E"/>
    <w:rsid w:val="00984E2E"/>
    <w:rsid w:val="00984E62"/>
    <w:rsid w:val="00984EA9"/>
    <w:rsid w:val="0098527E"/>
    <w:rsid w:val="0098569C"/>
    <w:rsid w:val="00985B71"/>
    <w:rsid w:val="009866A3"/>
    <w:rsid w:val="00987203"/>
    <w:rsid w:val="00987451"/>
    <w:rsid w:val="009877AB"/>
    <w:rsid w:val="00987B53"/>
    <w:rsid w:val="009911F2"/>
    <w:rsid w:val="00991E88"/>
    <w:rsid w:val="009925A7"/>
    <w:rsid w:val="00992DAE"/>
    <w:rsid w:val="00992ECB"/>
    <w:rsid w:val="009933DD"/>
    <w:rsid w:val="009936B4"/>
    <w:rsid w:val="00995364"/>
    <w:rsid w:val="009959EF"/>
    <w:rsid w:val="00995EE0"/>
    <w:rsid w:val="00996552"/>
    <w:rsid w:val="0099685F"/>
    <w:rsid w:val="00996ECF"/>
    <w:rsid w:val="0099716A"/>
    <w:rsid w:val="0099729F"/>
    <w:rsid w:val="009A03BC"/>
    <w:rsid w:val="009A04D3"/>
    <w:rsid w:val="009A08C7"/>
    <w:rsid w:val="009A0DE0"/>
    <w:rsid w:val="009A1B6F"/>
    <w:rsid w:val="009A1CB5"/>
    <w:rsid w:val="009A2CC6"/>
    <w:rsid w:val="009A4510"/>
    <w:rsid w:val="009A558B"/>
    <w:rsid w:val="009A5BAC"/>
    <w:rsid w:val="009A5E61"/>
    <w:rsid w:val="009A733D"/>
    <w:rsid w:val="009A76F6"/>
    <w:rsid w:val="009A779C"/>
    <w:rsid w:val="009A7A68"/>
    <w:rsid w:val="009A7B85"/>
    <w:rsid w:val="009A7C75"/>
    <w:rsid w:val="009B0585"/>
    <w:rsid w:val="009B0ADD"/>
    <w:rsid w:val="009B0F8D"/>
    <w:rsid w:val="009B13D1"/>
    <w:rsid w:val="009B1436"/>
    <w:rsid w:val="009B1C57"/>
    <w:rsid w:val="009B24CA"/>
    <w:rsid w:val="009B3DC1"/>
    <w:rsid w:val="009B53D4"/>
    <w:rsid w:val="009B56A0"/>
    <w:rsid w:val="009B6261"/>
    <w:rsid w:val="009B79B5"/>
    <w:rsid w:val="009B7B80"/>
    <w:rsid w:val="009C06B4"/>
    <w:rsid w:val="009C0AC7"/>
    <w:rsid w:val="009C0B27"/>
    <w:rsid w:val="009C1630"/>
    <w:rsid w:val="009C24F3"/>
    <w:rsid w:val="009C252A"/>
    <w:rsid w:val="009C33B5"/>
    <w:rsid w:val="009C48A0"/>
    <w:rsid w:val="009C4BB5"/>
    <w:rsid w:val="009C55B9"/>
    <w:rsid w:val="009C5774"/>
    <w:rsid w:val="009C63CE"/>
    <w:rsid w:val="009C7AA2"/>
    <w:rsid w:val="009C7AE3"/>
    <w:rsid w:val="009C7D9C"/>
    <w:rsid w:val="009D0F29"/>
    <w:rsid w:val="009D1057"/>
    <w:rsid w:val="009D2C6D"/>
    <w:rsid w:val="009D3187"/>
    <w:rsid w:val="009D3350"/>
    <w:rsid w:val="009D3378"/>
    <w:rsid w:val="009D359B"/>
    <w:rsid w:val="009D374C"/>
    <w:rsid w:val="009D3E05"/>
    <w:rsid w:val="009D3E59"/>
    <w:rsid w:val="009D3F7B"/>
    <w:rsid w:val="009D48EC"/>
    <w:rsid w:val="009D64B8"/>
    <w:rsid w:val="009D6525"/>
    <w:rsid w:val="009D6BB5"/>
    <w:rsid w:val="009D756D"/>
    <w:rsid w:val="009D7711"/>
    <w:rsid w:val="009D789D"/>
    <w:rsid w:val="009D7B68"/>
    <w:rsid w:val="009E03C5"/>
    <w:rsid w:val="009E0434"/>
    <w:rsid w:val="009E0D38"/>
    <w:rsid w:val="009E0FF3"/>
    <w:rsid w:val="009E26EB"/>
    <w:rsid w:val="009E2E4C"/>
    <w:rsid w:val="009E321F"/>
    <w:rsid w:val="009E331E"/>
    <w:rsid w:val="009E33D5"/>
    <w:rsid w:val="009E3F56"/>
    <w:rsid w:val="009E4985"/>
    <w:rsid w:val="009E6D64"/>
    <w:rsid w:val="009E72E3"/>
    <w:rsid w:val="009E7B3A"/>
    <w:rsid w:val="009F2C0F"/>
    <w:rsid w:val="009F3041"/>
    <w:rsid w:val="009F378E"/>
    <w:rsid w:val="009F5159"/>
    <w:rsid w:val="009F52E8"/>
    <w:rsid w:val="009F5936"/>
    <w:rsid w:val="009F682A"/>
    <w:rsid w:val="009F7B65"/>
    <w:rsid w:val="009F7FAA"/>
    <w:rsid w:val="00A00997"/>
    <w:rsid w:val="00A00B48"/>
    <w:rsid w:val="00A021CD"/>
    <w:rsid w:val="00A02E10"/>
    <w:rsid w:val="00A03CBA"/>
    <w:rsid w:val="00A04796"/>
    <w:rsid w:val="00A0483B"/>
    <w:rsid w:val="00A0534E"/>
    <w:rsid w:val="00A0553B"/>
    <w:rsid w:val="00A058AE"/>
    <w:rsid w:val="00A058AF"/>
    <w:rsid w:val="00A07B51"/>
    <w:rsid w:val="00A11459"/>
    <w:rsid w:val="00A12D7F"/>
    <w:rsid w:val="00A13BC7"/>
    <w:rsid w:val="00A14239"/>
    <w:rsid w:val="00A1479F"/>
    <w:rsid w:val="00A14DDA"/>
    <w:rsid w:val="00A15019"/>
    <w:rsid w:val="00A15432"/>
    <w:rsid w:val="00A156DE"/>
    <w:rsid w:val="00A15EE6"/>
    <w:rsid w:val="00A16AC3"/>
    <w:rsid w:val="00A1723F"/>
    <w:rsid w:val="00A17972"/>
    <w:rsid w:val="00A212BA"/>
    <w:rsid w:val="00A22319"/>
    <w:rsid w:val="00A22EE1"/>
    <w:rsid w:val="00A2379D"/>
    <w:rsid w:val="00A2385D"/>
    <w:rsid w:val="00A24193"/>
    <w:rsid w:val="00A24901"/>
    <w:rsid w:val="00A24BD2"/>
    <w:rsid w:val="00A302FC"/>
    <w:rsid w:val="00A30507"/>
    <w:rsid w:val="00A30BD8"/>
    <w:rsid w:val="00A30F7C"/>
    <w:rsid w:val="00A31706"/>
    <w:rsid w:val="00A31D0E"/>
    <w:rsid w:val="00A3233A"/>
    <w:rsid w:val="00A3293D"/>
    <w:rsid w:val="00A34BBC"/>
    <w:rsid w:val="00A34F8D"/>
    <w:rsid w:val="00A35195"/>
    <w:rsid w:val="00A355BF"/>
    <w:rsid w:val="00A35C73"/>
    <w:rsid w:val="00A35E4B"/>
    <w:rsid w:val="00A362D4"/>
    <w:rsid w:val="00A3764F"/>
    <w:rsid w:val="00A377EE"/>
    <w:rsid w:val="00A37D52"/>
    <w:rsid w:val="00A37D5E"/>
    <w:rsid w:val="00A40097"/>
    <w:rsid w:val="00A4101D"/>
    <w:rsid w:val="00A41D41"/>
    <w:rsid w:val="00A4225F"/>
    <w:rsid w:val="00A4265A"/>
    <w:rsid w:val="00A42757"/>
    <w:rsid w:val="00A429FE"/>
    <w:rsid w:val="00A432DA"/>
    <w:rsid w:val="00A43DDF"/>
    <w:rsid w:val="00A448D5"/>
    <w:rsid w:val="00A44F1E"/>
    <w:rsid w:val="00A45AB4"/>
    <w:rsid w:val="00A46509"/>
    <w:rsid w:val="00A46E9B"/>
    <w:rsid w:val="00A478A0"/>
    <w:rsid w:val="00A5047F"/>
    <w:rsid w:val="00A507AC"/>
    <w:rsid w:val="00A50AFA"/>
    <w:rsid w:val="00A50C4A"/>
    <w:rsid w:val="00A51B05"/>
    <w:rsid w:val="00A51B07"/>
    <w:rsid w:val="00A52AE6"/>
    <w:rsid w:val="00A535A8"/>
    <w:rsid w:val="00A53D5E"/>
    <w:rsid w:val="00A53DAA"/>
    <w:rsid w:val="00A53EF8"/>
    <w:rsid w:val="00A54363"/>
    <w:rsid w:val="00A544CE"/>
    <w:rsid w:val="00A54F8E"/>
    <w:rsid w:val="00A5605A"/>
    <w:rsid w:val="00A56DEA"/>
    <w:rsid w:val="00A57B3B"/>
    <w:rsid w:val="00A57F88"/>
    <w:rsid w:val="00A6051B"/>
    <w:rsid w:val="00A60992"/>
    <w:rsid w:val="00A62151"/>
    <w:rsid w:val="00A62B7D"/>
    <w:rsid w:val="00A64485"/>
    <w:rsid w:val="00A64FD4"/>
    <w:rsid w:val="00A661F7"/>
    <w:rsid w:val="00A6684D"/>
    <w:rsid w:val="00A702DF"/>
    <w:rsid w:val="00A71873"/>
    <w:rsid w:val="00A7278C"/>
    <w:rsid w:val="00A728A6"/>
    <w:rsid w:val="00A72BDA"/>
    <w:rsid w:val="00A73ADE"/>
    <w:rsid w:val="00A74480"/>
    <w:rsid w:val="00A74F88"/>
    <w:rsid w:val="00A754D8"/>
    <w:rsid w:val="00A75E99"/>
    <w:rsid w:val="00A760D4"/>
    <w:rsid w:val="00A76E7C"/>
    <w:rsid w:val="00A76EC5"/>
    <w:rsid w:val="00A80287"/>
    <w:rsid w:val="00A809CA"/>
    <w:rsid w:val="00A80E8A"/>
    <w:rsid w:val="00A81713"/>
    <w:rsid w:val="00A82D3E"/>
    <w:rsid w:val="00A831E3"/>
    <w:rsid w:val="00A841F3"/>
    <w:rsid w:val="00A84533"/>
    <w:rsid w:val="00A849FE"/>
    <w:rsid w:val="00A8739E"/>
    <w:rsid w:val="00A91391"/>
    <w:rsid w:val="00A91676"/>
    <w:rsid w:val="00A91FFB"/>
    <w:rsid w:val="00A92158"/>
    <w:rsid w:val="00A9221A"/>
    <w:rsid w:val="00A92411"/>
    <w:rsid w:val="00A92B36"/>
    <w:rsid w:val="00A948ED"/>
    <w:rsid w:val="00A94D91"/>
    <w:rsid w:val="00A96200"/>
    <w:rsid w:val="00A962FA"/>
    <w:rsid w:val="00A96487"/>
    <w:rsid w:val="00A9654D"/>
    <w:rsid w:val="00A976B0"/>
    <w:rsid w:val="00A97AAE"/>
    <w:rsid w:val="00AA1A87"/>
    <w:rsid w:val="00AA1B37"/>
    <w:rsid w:val="00AA251F"/>
    <w:rsid w:val="00AA2932"/>
    <w:rsid w:val="00AA2A5D"/>
    <w:rsid w:val="00AA4FC2"/>
    <w:rsid w:val="00AA5F9C"/>
    <w:rsid w:val="00AA70F0"/>
    <w:rsid w:val="00AA7BD9"/>
    <w:rsid w:val="00AA7BF6"/>
    <w:rsid w:val="00AB038A"/>
    <w:rsid w:val="00AB03F2"/>
    <w:rsid w:val="00AB0F1B"/>
    <w:rsid w:val="00AB14AF"/>
    <w:rsid w:val="00AB15DB"/>
    <w:rsid w:val="00AB21E4"/>
    <w:rsid w:val="00AB37D4"/>
    <w:rsid w:val="00AB3A9E"/>
    <w:rsid w:val="00AB3DC1"/>
    <w:rsid w:val="00AB4906"/>
    <w:rsid w:val="00AB5A03"/>
    <w:rsid w:val="00AB6EE6"/>
    <w:rsid w:val="00AB73F0"/>
    <w:rsid w:val="00AB7FD2"/>
    <w:rsid w:val="00AC02A8"/>
    <w:rsid w:val="00AC11DD"/>
    <w:rsid w:val="00AC1F66"/>
    <w:rsid w:val="00AC20A1"/>
    <w:rsid w:val="00AC26D6"/>
    <w:rsid w:val="00AC3D79"/>
    <w:rsid w:val="00AC40F6"/>
    <w:rsid w:val="00AC421C"/>
    <w:rsid w:val="00AC4248"/>
    <w:rsid w:val="00AC52DF"/>
    <w:rsid w:val="00AC56AB"/>
    <w:rsid w:val="00AD0E28"/>
    <w:rsid w:val="00AD1852"/>
    <w:rsid w:val="00AD1D57"/>
    <w:rsid w:val="00AD20BD"/>
    <w:rsid w:val="00AD2153"/>
    <w:rsid w:val="00AD22F2"/>
    <w:rsid w:val="00AD2E74"/>
    <w:rsid w:val="00AD33F5"/>
    <w:rsid w:val="00AD409C"/>
    <w:rsid w:val="00AD4364"/>
    <w:rsid w:val="00AD476E"/>
    <w:rsid w:val="00AD4C12"/>
    <w:rsid w:val="00AD55AF"/>
    <w:rsid w:val="00AD5B3F"/>
    <w:rsid w:val="00AD6151"/>
    <w:rsid w:val="00AD650A"/>
    <w:rsid w:val="00AD7BB5"/>
    <w:rsid w:val="00AE0963"/>
    <w:rsid w:val="00AE102D"/>
    <w:rsid w:val="00AE12B8"/>
    <w:rsid w:val="00AE168B"/>
    <w:rsid w:val="00AE17F2"/>
    <w:rsid w:val="00AE2850"/>
    <w:rsid w:val="00AE3081"/>
    <w:rsid w:val="00AE3DEA"/>
    <w:rsid w:val="00AE4FE0"/>
    <w:rsid w:val="00AE54C8"/>
    <w:rsid w:val="00AE7413"/>
    <w:rsid w:val="00AF07AC"/>
    <w:rsid w:val="00AF1AE0"/>
    <w:rsid w:val="00AF25F1"/>
    <w:rsid w:val="00AF366D"/>
    <w:rsid w:val="00AF4413"/>
    <w:rsid w:val="00AF593F"/>
    <w:rsid w:val="00AF5C94"/>
    <w:rsid w:val="00AF5D57"/>
    <w:rsid w:val="00AF640A"/>
    <w:rsid w:val="00AF6761"/>
    <w:rsid w:val="00AF7E72"/>
    <w:rsid w:val="00B004F2"/>
    <w:rsid w:val="00B00D93"/>
    <w:rsid w:val="00B0129F"/>
    <w:rsid w:val="00B01B60"/>
    <w:rsid w:val="00B02996"/>
    <w:rsid w:val="00B03788"/>
    <w:rsid w:val="00B03CFA"/>
    <w:rsid w:val="00B04909"/>
    <w:rsid w:val="00B04F35"/>
    <w:rsid w:val="00B05B01"/>
    <w:rsid w:val="00B05C22"/>
    <w:rsid w:val="00B05D2F"/>
    <w:rsid w:val="00B06325"/>
    <w:rsid w:val="00B069ED"/>
    <w:rsid w:val="00B06E21"/>
    <w:rsid w:val="00B06F4C"/>
    <w:rsid w:val="00B076CD"/>
    <w:rsid w:val="00B079BA"/>
    <w:rsid w:val="00B07AE4"/>
    <w:rsid w:val="00B102E1"/>
    <w:rsid w:val="00B1031E"/>
    <w:rsid w:val="00B112B3"/>
    <w:rsid w:val="00B11628"/>
    <w:rsid w:val="00B116F6"/>
    <w:rsid w:val="00B12992"/>
    <w:rsid w:val="00B129AA"/>
    <w:rsid w:val="00B12CB5"/>
    <w:rsid w:val="00B13133"/>
    <w:rsid w:val="00B1376F"/>
    <w:rsid w:val="00B1491B"/>
    <w:rsid w:val="00B149D6"/>
    <w:rsid w:val="00B16247"/>
    <w:rsid w:val="00B1680A"/>
    <w:rsid w:val="00B16DFA"/>
    <w:rsid w:val="00B16E65"/>
    <w:rsid w:val="00B172C5"/>
    <w:rsid w:val="00B179E2"/>
    <w:rsid w:val="00B17CAE"/>
    <w:rsid w:val="00B2082D"/>
    <w:rsid w:val="00B2106A"/>
    <w:rsid w:val="00B22596"/>
    <w:rsid w:val="00B228E6"/>
    <w:rsid w:val="00B22D09"/>
    <w:rsid w:val="00B23EC4"/>
    <w:rsid w:val="00B24151"/>
    <w:rsid w:val="00B24D58"/>
    <w:rsid w:val="00B27017"/>
    <w:rsid w:val="00B2704F"/>
    <w:rsid w:val="00B2747D"/>
    <w:rsid w:val="00B276FC"/>
    <w:rsid w:val="00B27C5D"/>
    <w:rsid w:val="00B27FE7"/>
    <w:rsid w:val="00B3019D"/>
    <w:rsid w:val="00B309A2"/>
    <w:rsid w:val="00B312A1"/>
    <w:rsid w:val="00B31BAA"/>
    <w:rsid w:val="00B324AA"/>
    <w:rsid w:val="00B32984"/>
    <w:rsid w:val="00B329A6"/>
    <w:rsid w:val="00B33EEB"/>
    <w:rsid w:val="00B342FC"/>
    <w:rsid w:val="00B34C07"/>
    <w:rsid w:val="00B351B5"/>
    <w:rsid w:val="00B35225"/>
    <w:rsid w:val="00B36AC2"/>
    <w:rsid w:val="00B37462"/>
    <w:rsid w:val="00B405AF"/>
    <w:rsid w:val="00B40768"/>
    <w:rsid w:val="00B40BEA"/>
    <w:rsid w:val="00B410E5"/>
    <w:rsid w:val="00B419E7"/>
    <w:rsid w:val="00B41ABE"/>
    <w:rsid w:val="00B41AE3"/>
    <w:rsid w:val="00B42912"/>
    <w:rsid w:val="00B45066"/>
    <w:rsid w:val="00B451C1"/>
    <w:rsid w:val="00B4579C"/>
    <w:rsid w:val="00B46A33"/>
    <w:rsid w:val="00B47654"/>
    <w:rsid w:val="00B479ED"/>
    <w:rsid w:val="00B47EA6"/>
    <w:rsid w:val="00B50432"/>
    <w:rsid w:val="00B51C71"/>
    <w:rsid w:val="00B529A9"/>
    <w:rsid w:val="00B529B3"/>
    <w:rsid w:val="00B5305E"/>
    <w:rsid w:val="00B53445"/>
    <w:rsid w:val="00B54B9C"/>
    <w:rsid w:val="00B5543F"/>
    <w:rsid w:val="00B554E0"/>
    <w:rsid w:val="00B56502"/>
    <w:rsid w:val="00B57059"/>
    <w:rsid w:val="00B5726A"/>
    <w:rsid w:val="00B6013F"/>
    <w:rsid w:val="00B616A7"/>
    <w:rsid w:val="00B61C0A"/>
    <w:rsid w:val="00B61D45"/>
    <w:rsid w:val="00B62746"/>
    <w:rsid w:val="00B63C4C"/>
    <w:rsid w:val="00B6479D"/>
    <w:rsid w:val="00B656D0"/>
    <w:rsid w:val="00B6653C"/>
    <w:rsid w:val="00B66C0F"/>
    <w:rsid w:val="00B66C7F"/>
    <w:rsid w:val="00B6763A"/>
    <w:rsid w:val="00B70624"/>
    <w:rsid w:val="00B70A10"/>
    <w:rsid w:val="00B71829"/>
    <w:rsid w:val="00B71B9C"/>
    <w:rsid w:val="00B71CA7"/>
    <w:rsid w:val="00B71E76"/>
    <w:rsid w:val="00B71F24"/>
    <w:rsid w:val="00B72784"/>
    <w:rsid w:val="00B733AC"/>
    <w:rsid w:val="00B737DD"/>
    <w:rsid w:val="00B73878"/>
    <w:rsid w:val="00B741BE"/>
    <w:rsid w:val="00B7426D"/>
    <w:rsid w:val="00B757A0"/>
    <w:rsid w:val="00B759F7"/>
    <w:rsid w:val="00B75FDD"/>
    <w:rsid w:val="00B76056"/>
    <w:rsid w:val="00B76F8A"/>
    <w:rsid w:val="00B77263"/>
    <w:rsid w:val="00B77300"/>
    <w:rsid w:val="00B80021"/>
    <w:rsid w:val="00B804BE"/>
    <w:rsid w:val="00B80AA9"/>
    <w:rsid w:val="00B80EFC"/>
    <w:rsid w:val="00B8174B"/>
    <w:rsid w:val="00B81C19"/>
    <w:rsid w:val="00B8349B"/>
    <w:rsid w:val="00B83E44"/>
    <w:rsid w:val="00B849CB"/>
    <w:rsid w:val="00B84A23"/>
    <w:rsid w:val="00B86EB6"/>
    <w:rsid w:val="00B87D05"/>
    <w:rsid w:val="00B9035F"/>
    <w:rsid w:val="00B90628"/>
    <w:rsid w:val="00B90707"/>
    <w:rsid w:val="00B90C00"/>
    <w:rsid w:val="00B91289"/>
    <w:rsid w:val="00B91B7C"/>
    <w:rsid w:val="00B922D0"/>
    <w:rsid w:val="00B92456"/>
    <w:rsid w:val="00B92D9B"/>
    <w:rsid w:val="00B93A92"/>
    <w:rsid w:val="00B944D6"/>
    <w:rsid w:val="00B9459E"/>
    <w:rsid w:val="00B94BE1"/>
    <w:rsid w:val="00B94EF3"/>
    <w:rsid w:val="00B95553"/>
    <w:rsid w:val="00B957E4"/>
    <w:rsid w:val="00B962E0"/>
    <w:rsid w:val="00B963B3"/>
    <w:rsid w:val="00B971AC"/>
    <w:rsid w:val="00BA0173"/>
    <w:rsid w:val="00BA25FD"/>
    <w:rsid w:val="00BA2641"/>
    <w:rsid w:val="00BA2C76"/>
    <w:rsid w:val="00BA2C84"/>
    <w:rsid w:val="00BA401A"/>
    <w:rsid w:val="00BA5485"/>
    <w:rsid w:val="00BA5C90"/>
    <w:rsid w:val="00BA65A0"/>
    <w:rsid w:val="00BA67F8"/>
    <w:rsid w:val="00BA793A"/>
    <w:rsid w:val="00BA7A3A"/>
    <w:rsid w:val="00BA7C85"/>
    <w:rsid w:val="00BB0B21"/>
    <w:rsid w:val="00BB19F7"/>
    <w:rsid w:val="00BB1F99"/>
    <w:rsid w:val="00BB2395"/>
    <w:rsid w:val="00BB35F5"/>
    <w:rsid w:val="00BB3988"/>
    <w:rsid w:val="00BB3ED7"/>
    <w:rsid w:val="00BB6720"/>
    <w:rsid w:val="00BB6DF5"/>
    <w:rsid w:val="00BB73A1"/>
    <w:rsid w:val="00BB7B0A"/>
    <w:rsid w:val="00BB7DEB"/>
    <w:rsid w:val="00BC0209"/>
    <w:rsid w:val="00BC02B9"/>
    <w:rsid w:val="00BC09D2"/>
    <w:rsid w:val="00BC0C20"/>
    <w:rsid w:val="00BC0CCC"/>
    <w:rsid w:val="00BC130B"/>
    <w:rsid w:val="00BC14D6"/>
    <w:rsid w:val="00BC1C9B"/>
    <w:rsid w:val="00BC28BF"/>
    <w:rsid w:val="00BC320F"/>
    <w:rsid w:val="00BC48AC"/>
    <w:rsid w:val="00BC4A43"/>
    <w:rsid w:val="00BC56F5"/>
    <w:rsid w:val="00BC5722"/>
    <w:rsid w:val="00BC5977"/>
    <w:rsid w:val="00BC5A00"/>
    <w:rsid w:val="00BC5A5F"/>
    <w:rsid w:val="00BC5F4B"/>
    <w:rsid w:val="00BC7772"/>
    <w:rsid w:val="00BC79AE"/>
    <w:rsid w:val="00BD07AC"/>
    <w:rsid w:val="00BD1134"/>
    <w:rsid w:val="00BD123F"/>
    <w:rsid w:val="00BD14AA"/>
    <w:rsid w:val="00BD1733"/>
    <w:rsid w:val="00BD289E"/>
    <w:rsid w:val="00BD29B6"/>
    <w:rsid w:val="00BD396C"/>
    <w:rsid w:val="00BD3C2C"/>
    <w:rsid w:val="00BD40DE"/>
    <w:rsid w:val="00BD46AD"/>
    <w:rsid w:val="00BD5DC5"/>
    <w:rsid w:val="00BD5E1F"/>
    <w:rsid w:val="00BD645E"/>
    <w:rsid w:val="00BD646F"/>
    <w:rsid w:val="00BD702E"/>
    <w:rsid w:val="00BD739C"/>
    <w:rsid w:val="00BD74B7"/>
    <w:rsid w:val="00BE04C6"/>
    <w:rsid w:val="00BE0B57"/>
    <w:rsid w:val="00BE1713"/>
    <w:rsid w:val="00BE18D3"/>
    <w:rsid w:val="00BE2701"/>
    <w:rsid w:val="00BE27CA"/>
    <w:rsid w:val="00BE3396"/>
    <w:rsid w:val="00BE3497"/>
    <w:rsid w:val="00BE392A"/>
    <w:rsid w:val="00BE3A22"/>
    <w:rsid w:val="00BE3A67"/>
    <w:rsid w:val="00BE3ED9"/>
    <w:rsid w:val="00BE4A12"/>
    <w:rsid w:val="00BE5B4F"/>
    <w:rsid w:val="00BE64C8"/>
    <w:rsid w:val="00BE64E5"/>
    <w:rsid w:val="00BE67DC"/>
    <w:rsid w:val="00BE70B3"/>
    <w:rsid w:val="00BE7E18"/>
    <w:rsid w:val="00BE7FA2"/>
    <w:rsid w:val="00BF05AD"/>
    <w:rsid w:val="00BF0D8A"/>
    <w:rsid w:val="00BF2276"/>
    <w:rsid w:val="00BF261B"/>
    <w:rsid w:val="00BF3EF0"/>
    <w:rsid w:val="00BF4BBF"/>
    <w:rsid w:val="00BF5951"/>
    <w:rsid w:val="00BF5B43"/>
    <w:rsid w:val="00BF6B11"/>
    <w:rsid w:val="00BF7537"/>
    <w:rsid w:val="00BF7567"/>
    <w:rsid w:val="00C0095B"/>
    <w:rsid w:val="00C027CA"/>
    <w:rsid w:val="00C0296A"/>
    <w:rsid w:val="00C02996"/>
    <w:rsid w:val="00C02D47"/>
    <w:rsid w:val="00C03445"/>
    <w:rsid w:val="00C038D6"/>
    <w:rsid w:val="00C03C8C"/>
    <w:rsid w:val="00C03DDE"/>
    <w:rsid w:val="00C044CD"/>
    <w:rsid w:val="00C04D6F"/>
    <w:rsid w:val="00C064D0"/>
    <w:rsid w:val="00C06AA6"/>
    <w:rsid w:val="00C07879"/>
    <w:rsid w:val="00C109A0"/>
    <w:rsid w:val="00C10D4F"/>
    <w:rsid w:val="00C137B0"/>
    <w:rsid w:val="00C142B4"/>
    <w:rsid w:val="00C14B77"/>
    <w:rsid w:val="00C14BB5"/>
    <w:rsid w:val="00C14FC6"/>
    <w:rsid w:val="00C156F9"/>
    <w:rsid w:val="00C161D5"/>
    <w:rsid w:val="00C1661B"/>
    <w:rsid w:val="00C16A62"/>
    <w:rsid w:val="00C171B0"/>
    <w:rsid w:val="00C177F7"/>
    <w:rsid w:val="00C21479"/>
    <w:rsid w:val="00C21B1A"/>
    <w:rsid w:val="00C2234E"/>
    <w:rsid w:val="00C22499"/>
    <w:rsid w:val="00C2361E"/>
    <w:rsid w:val="00C23662"/>
    <w:rsid w:val="00C23850"/>
    <w:rsid w:val="00C23CEF"/>
    <w:rsid w:val="00C246E5"/>
    <w:rsid w:val="00C25674"/>
    <w:rsid w:val="00C25770"/>
    <w:rsid w:val="00C27B47"/>
    <w:rsid w:val="00C3080A"/>
    <w:rsid w:val="00C32318"/>
    <w:rsid w:val="00C324A5"/>
    <w:rsid w:val="00C32C85"/>
    <w:rsid w:val="00C32D03"/>
    <w:rsid w:val="00C33C2D"/>
    <w:rsid w:val="00C33EA0"/>
    <w:rsid w:val="00C34C11"/>
    <w:rsid w:val="00C3507D"/>
    <w:rsid w:val="00C3559D"/>
    <w:rsid w:val="00C374A9"/>
    <w:rsid w:val="00C40300"/>
    <w:rsid w:val="00C40F26"/>
    <w:rsid w:val="00C40F83"/>
    <w:rsid w:val="00C4168D"/>
    <w:rsid w:val="00C4194B"/>
    <w:rsid w:val="00C41A3A"/>
    <w:rsid w:val="00C42D99"/>
    <w:rsid w:val="00C42EAC"/>
    <w:rsid w:val="00C4362E"/>
    <w:rsid w:val="00C4487E"/>
    <w:rsid w:val="00C44E2F"/>
    <w:rsid w:val="00C4556A"/>
    <w:rsid w:val="00C45931"/>
    <w:rsid w:val="00C46A49"/>
    <w:rsid w:val="00C46C6F"/>
    <w:rsid w:val="00C46CF7"/>
    <w:rsid w:val="00C47A98"/>
    <w:rsid w:val="00C50D03"/>
    <w:rsid w:val="00C50F0C"/>
    <w:rsid w:val="00C50FCF"/>
    <w:rsid w:val="00C512A2"/>
    <w:rsid w:val="00C519AE"/>
    <w:rsid w:val="00C520D3"/>
    <w:rsid w:val="00C52144"/>
    <w:rsid w:val="00C538DF"/>
    <w:rsid w:val="00C552AB"/>
    <w:rsid w:val="00C5576F"/>
    <w:rsid w:val="00C55EB4"/>
    <w:rsid w:val="00C5687B"/>
    <w:rsid w:val="00C56914"/>
    <w:rsid w:val="00C56D79"/>
    <w:rsid w:val="00C57688"/>
    <w:rsid w:val="00C60626"/>
    <w:rsid w:val="00C6081D"/>
    <w:rsid w:val="00C60E95"/>
    <w:rsid w:val="00C61D4D"/>
    <w:rsid w:val="00C624E6"/>
    <w:rsid w:val="00C62EA9"/>
    <w:rsid w:val="00C62FE0"/>
    <w:rsid w:val="00C637F6"/>
    <w:rsid w:val="00C63E34"/>
    <w:rsid w:val="00C64597"/>
    <w:rsid w:val="00C6485D"/>
    <w:rsid w:val="00C64E44"/>
    <w:rsid w:val="00C64E53"/>
    <w:rsid w:val="00C65348"/>
    <w:rsid w:val="00C66AE9"/>
    <w:rsid w:val="00C66CE7"/>
    <w:rsid w:val="00C67063"/>
    <w:rsid w:val="00C672BD"/>
    <w:rsid w:val="00C6752F"/>
    <w:rsid w:val="00C67CE5"/>
    <w:rsid w:val="00C701FF"/>
    <w:rsid w:val="00C711DD"/>
    <w:rsid w:val="00C7153B"/>
    <w:rsid w:val="00C71A84"/>
    <w:rsid w:val="00C7213A"/>
    <w:rsid w:val="00C72AE3"/>
    <w:rsid w:val="00C72EA1"/>
    <w:rsid w:val="00C733FE"/>
    <w:rsid w:val="00C7483D"/>
    <w:rsid w:val="00C75C3D"/>
    <w:rsid w:val="00C75E8B"/>
    <w:rsid w:val="00C7648F"/>
    <w:rsid w:val="00C767DB"/>
    <w:rsid w:val="00C80241"/>
    <w:rsid w:val="00C808CF"/>
    <w:rsid w:val="00C812BE"/>
    <w:rsid w:val="00C81838"/>
    <w:rsid w:val="00C82367"/>
    <w:rsid w:val="00C823C1"/>
    <w:rsid w:val="00C82712"/>
    <w:rsid w:val="00C828E9"/>
    <w:rsid w:val="00C83314"/>
    <w:rsid w:val="00C8345D"/>
    <w:rsid w:val="00C844EB"/>
    <w:rsid w:val="00C84B61"/>
    <w:rsid w:val="00C84C56"/>
    <w:rsid w:val="00C85753"/>
    <w:rsid w:val="00C85C0E"/>
    <w:rsid w:val="00C86155"/>
    <w:rsid w:val="00C866B8"/>
    <w:rsid w:val="00C873CE"/>
    <w:rsid w:val="00C8770C"/>
    <w:rsid w:val="00C9020E"/>
    <w:rsid w:val="00C90C3C"/>
    <w:rsid w:val="00C90F5F"/>
    <w:rsid w:val="00C91AD3"/>
    <w:rsid w:val="00C939E2"/>
    <w:rsid w:val="00C9482E"/>
    <w:rsid w:val="00C96C76"/>
    <w:rsid w:val="00C96E36"/>
    <w:rsid w:val="00C97B60"/>
    <w:rsid w:val="00CA0ABA"/>
    <w:rsid w:val="00CA1551"/>
    <w:rsid w:val="00CA16C3"/>
    <w:rsid w:val="00CA1873"/>
    <w:rsid w:val="00CA1E4E"/>
    <w:rsid w:val="00CA3811"/>
    <w:rsid w:val="00CA3E8A"/>
    <w:rsid w:val="00CA4007"/>
    <w:rsid w:val="00CA55B0"/>
    <w:rsid w:val="00CA58FD"/>
    <w:rsid w:val="00CA5FCD"/>
    <w:rsid w:val="00CA6E74"/>
    <w:rsid w:val="00CA701A"/>
    <w:rsid w:val="00CA70F6"/>
    <w:rsid w:val="00CA7E56"/>
    <w:rsid w:val="00CB023E"/>
    <w:rsid w:val="00CB04BB"/>
    <w:rsid w:val="00CB0842"/>
    <w:rsid w:val="00CB0B7B"/>
    <w:rsid w:val="00CB1C86"/>
    <w:rsid w:val="00CB221A"/>
    <w:rsid w:val="00CB253D"/>
    <w:rsid w:val="00CB2909"/>
    <w:rsid w:val="00CB3658"/>
    <w:rsid w:val="00CB38B4"/>
    <w:rsid w:val="00CB3AF5"/>
    <w:rsid w:val="00CB4260"/>
    <w:rsid w:val="00CB461A"/>
    <w:rsid w:val="00CB4E6D"/>
    <w:rsid w:val="00CB5125"/>
    <w:rsid w:val="00CB54A8"/>
    <w:rsid w:val="00CB55C8"/>
    <w:rsid w:val="00CB5AC9"/>
    <w:rsid w:val="00CC0735"/>
    <w:rsid w:val="00CC0DE5"/>
    <w:rsid w:val="00CC0E2B"/>
    <w:rsid w:val="00CC1451"/>
    <w:rsid w:val="00CC1E46"/>
    <w:rsid w:val="00CC248C"/>
    <w:rsid w:val="00CC251C"/>
    <w:rsid w:val="00CC287D"/>
    <w:rsid w:val="00CC2903"/>
    <w:rsid w:val="00CC3673"/>
    <w:rsid w:val="00CC527E"/>
    <w:rsid w:val="00CC7B93"/>
    <w:rsid w:val="00CC7DB1"/>
    <w:rsid w:val="00CD148A"/>
    <w:rsid w:val="00CD1818"/>
    <w:rsid w:val="00CD1A80"/>
    <w:rsid w:val="00CD1CB3"/>
    <w:rsid w:val="00CD25B6"/>
    <w:rsid w:val="00CD2ED4"/>
    <w:rsid w:val="00CD450A"/>
    <w:rsid w:val="00CD4A8C"/>
    <w:rsid w:val="00CD539A"/>
    <w:rsid w:val="00CD566D"/>
    <w:rsid w:val="00CD5CB2"/>
    <w:rsid w:val="00CD616D"/>
    <w:rsid w:val="00CD63AF"/>
    <w:rsid w:val="00CD7487"/>
    <w:rsid w:val="00CD7A4C"/>
    <w:rsid w:val="00CE02D0"/>
    <w:rsid w:val="00CE067E"/>
    <w:rsid w:val="00CE0A0D"/>
    <w:rsid w:val="00CE153C"/>
    <w:rsid w:val="00CE19A6"/>
    <w:rsid w:val="00CE1B09"/>
    <w:rsid w:val="00CE4893"/>
    <w:rsid w:val="00CE4F42"/>
    <w:rsid w:val="00CE5442"/>
    <w:rsid w:val="00CE58BC"/>
    <w:rsid w:val="00CE5973"/>
    <w:rsid w:val="00CE6DB3"/>
    <w:rsid w:val="00CE76DC"/>
    <w:rsid w:val="00CF1207"/>
    <w:rsid w:val="00CF1F9B"/>
    <w:rsid w:val="00CF2671"/>
    <w:rsid w:val="00CF44D2"/>
    <w:rsid w:val="00CF4A83"/>
    <w:rsid w:val="00CF4B9A"/>
    <w:rsid w:val="00CF4E6E"/>
    <w:rsid w:val="00CF53A2"/>
    <w:rsid w:val="00CF54FE"/>
    <w:rsid w:val="00CF6EEC"/>
    <w:rsid w:val="00D0018B"/>
    <w:rsid w:val="00D00426"/>
    <w:rsid w:val="00D00996"/>
    <w:rsid w:val="00D02F3F"/>
    <w:rsid w:val="00D03BE1"/>
    <w:rsid w:val="00D03C22"/>
    <w:rsid w:val="00D03DFC"/>
    <w:rsid w:val="00D03F96"/>
    <w:rsid w:val="00D04AE6"/>
    <w:rsid w:val="00D0525D"/>
    <w:rsid w:val="00D055EE"/>
    <w:rsid w:val="00D05A3B"/>
    <w:rsid w:val="00D06210"/>
    <w:rsid w:val="00D076F6"/>
    <w:rsid w:val="00D07860"/>
    <w:rsid w:val="00D1141F"/>
    <w:rsid w:val="00D11AD7"/>
    <w:rsid w:val="00D123A7"/>
    <w:rsid w:val="00D12B88"/>
    <w:rsid w:val="00D130C0"/>
    <w:rsid w:val="00D13431"/>
    <w:rsid w:val="00D13B40"/>
    <w:rsid w:val="00D1446B"/>
    <w:rsid w:val="00D17C0F"/>
    <w:rsid w:val="00D17E04"/>
    <w:rsid w:val="00D2052D"/>
    <w:rsid w:val="00D20641"/>
    <w:rsid w:val="00D20870"/>
    <w:rsid w:val="00D20B0B"/>
    <w:rsid w:val="00D21261"/>
    <w:rsid w:val="00D21D02"/>
    <w:rsid w:val="00D22BA4"/>
    <w:rsid w:val="00D22D74"/>
    <w:rsid w:val="00D23690"/>
    <w:rsid w:val="00D23931"/>
    <w:rsid w:val="00D23C53"/>
    <w:rsid w:val="00D24972"/>
    <w:rsid w:val="00D24D23"/>
    <w:rsid w:val="00D25946"/>
    <w:rsid w:val="00D259FA"/>
    <w:rsid w:val="00D2667E"/>
    <w:rsid w:val="00D268D6"/>
    <w:rsid w:val="00D27A2A"/>
    <w:rsid w:val="00D30742"/>
    <w:rsid w:val="00D30827"/>
    <w:rsid w:val="00D30E60"/>
    <w:rsid w:val="00D313DD"/>
    <w:rsid w:val="00D31800"/>
    <w:rsid w:val="00D31BD7"/>
    <w:rsid w:val="00D31D4C"/>
    <w:rsid w:val="00D321FD"/>
    <w:rsid w:val="00D32519"/>
    <w:rsid w:val="00D33AB1"/>
    <w:rsid w:val="00D347A5"/>
    <w:rsid w:val="00D34BAA"/>
    <w:rsid w:val="00D34C49"/>
    <w:rsid w:val="00D34CEF"/>
    <w:rsid w:val="00D35238"/>
    <w:rsid w:val="00D36330"/>
    <w:rsid w:val="00D363C3"/>
    <w:rsid w:val="00D3708D"/>
    <w:rsid w:val="00D373D2"/>
    <w:rsid w:val="00D37E29"/>
    <w:rsid w:val="00D4049A"/>
    <w:rsid w:val="00D41FD5"/>
    <w:rsid w:val="00D42151"/>
    <w:rsid w:val="00D42A28"/>
    <w:rsid w:val="00D433B4"/>
    <w:rsid w:val="00D4462E"/>
    <w:rsid w:val="00D4483B"/>
    <w:rsid w:val="00D44BFE"/>
    <w:rsid w:val="00D45EEE"/>
    <w:rsid w:val="00D461AF"/>
    <w:rsid w:val="00D465CF"/>
    <w:rsid w:val="00D4791A"/>
    <w:rsid w:val="00D47BC1"/>
    <w:rsid w:val="00D50002"/>
    <w:rsid w:val="00D501CE"/>
    <w:rsid w:val="00D510FE"/>
    <w:rsid w:val="00D51E8D"/>
    <w:rsid w:val="00D526CF"/>
    <w:rsid w:val="00D52B7F"/>
    <w:rsid w:val="00D53008"/>
    <w:rsid w:val="00D53CE8"/>
    <w:rsid w:val="00D542FC"/>
    <w:rsid w:val="00D54915"/>
    <w:rsid w:val="00D54B5E"/>
    <w:rsid w:val="00D566CE"/>
    <w:rsid w:val="00D56F7E"/>
    <w:rsid w:val="00D57028"/>
    <w:rsid w:val="00D6105A"/>
    <w:rsid w:val="00D61808"/>
    <w:rsid w:val="00D62EE0"/>
    <w:rsid w:val="00D63433"/>
    <w:rsid w:val="00D63E91"/>
    <w:rsid w:val="00D65121"/>
    <w:rsid w:val="00D6550B"/>
    <w:rsid w:val="00D662EF"/>
    <w:rsid w:val="00D677E3"/>
    <w:rsid w:val="00D67C54"/>
    <w:rsid w:val="00D67D22"/>
    <w:rsid w:val="00D70039"/>
    <w:rsid w:val="00D7066A"/>
    <w:rsid w:val="00D70889"/>
    <w:rsid w:val="00D70CC9"/>
    <w:rsid w:val="00D71791"/>
    <w:rsid w:val="00D71871"/>
    <w:rsid w:val="00D7197E"/>
    <w:rsid w:val="00D71B09"/>
    <w:rsid w:val="00D722FF"/>
    <w:rsid w:val="00D72312"/>
    <w:rsid w:val="00D72B04"/>
    <w:rsid w:val="00D72B5A"/>
    <w:rsid w:val="00D72F7C"/>
    <w:rsid w:val="00D7308B"/>
    <w:rsid w:val="00D7340E"/>
    <w:rsid w:val="00D73738"/>
    <w:rsid w:val="00D73B9C"/>
    <w:rsid w:val="00D73C73"/>
    <w:rsid w:val="00D75D69"/>
    <w:rsid w:val="00D7709B"/>
    <w:rsid w:val="00D77D36"/>
    <w:rsid w:val="00D77E11"/>
    <w:rsid w:val="00D800F2"/>
    <w:rsid w:val="00D81F71"/>
    <w:rsid w:val="00D82043"/>
    <w:rsid w:val="00D822AB"/>
    <w:rsid w:val="00D82FD5"/>
    <w:rsid w:val="00D84DE7"/>
    <w:rsid w:val="00D850F7"/>
    <w:rsid w:val="00D8574A"/>
    <w:rsid w:val="00D8599B"/>
    <w:rsid w:val="00D867C8"/>
    <w:rsid w:val="00D867E3"/>
    <w:rsid w:val="00D9087D"/>
    <w:rsid w:val="00D913B4"/>
    <w:rsid w:val="00D91456"/>
    <w:rsid w:val="00D93B1E"/>
    <w:rsid w:val="00D93E56"/>
    <w:rsid w:val="00D94438"/>
    <w:rsid w:val="00D9457E"/>
    <w:rsid w:val="00D968F6"/>
    <w:rsid w:val="00D96A82"/>
    <w:rsid w:val="00D974C0"/>
    <w:rsid w:val="00D97B25"/>
    <w:rsid w:val="00DA1092"/>
    <w:rsid w:val="00DA2FD6"/>
    <w:rsid w:val="00DA4293"/>
    <w:rsid w:val="00DA5580"/>
    <w:rsid w:val="00DA5FA9"/>
    <w:rsid w:val="00DA6194"/>
    <w:rsid w:val="00DA6601"/>
    <w:rsid w:val="00DA6C37"/>
    <w:rsid w:val="00DB08B0"/>
    <w:rsid w:val="00DB1450"/>
    <w:rsid w:val="00DB1570"/>
    <w:rsid w:val="00DB18DE"/>
    <w:rsid w:val="00DB1932"/>
    <w:rsid w:val="00DB1B4C"/>
    <w:rsid w:val="00DB1C90"/>
    <w:rsid w:val="00DB25A9"/>
    <w:rsid w:val="00DB2A51"/>
    <w:rsid w:val="00DB69AE"/>
    <w:rsid w:val="00DB7240"/>
    <w:rsid w:val="00DC16F5"/>
    <w:rsid w:val="00DC29CA"/>
    <w:rsid w:val="00DC32E7"/>
    <w:rsid w:val="00DC3DEB"/>
    <w:rsid w:val="00DC41BF"/>
    <w:rsid w:val="00DC425E"/>
    <w:rsid w:val="00DC478E"/>
    <w:rsid w:val="00DC4987"/>
    <w:rsid w:val="00DC53BF"/>
    <w:rsid w:val="00DC53EA"/>
    <w:rsid w:val="00DC61E2"/>
    <w:rsid w:val="00DC6BF4"/>
    <w:rsid w:val="00DC6C36"/>
    <w:rsid w:val="00DC7281"/>
    <w:rsid w:val="00DD02C9"/>
    <w:rsid w:val="00DD0444"/>
    <w:rsid w:val="00DD0661"/>
    <w:rsid w:val="00DD0BB8"/>
    <w:rsid w:val="00DD0E29"/>
    <w:rsid w:val="00DD0EE3"/>
    <w:rsid w:val="00DD1A75"/>
    <w:rsid w:val="00DD1C20"/>
    <w:rsid w:val="00DD2BA5"/>
    <w:rsid w:val="00DD30F3"/>
    <w:rsid w:val="00DD3633"/>
    <w:rsid w:val="00DD431F"/>
    <w:rsid w:val="00DD536C"/>
    <w:rsid w:val="00DD5F01"/>
    <w:rsid w:val="00DD6651"/>
    <w:rsid w:val="00DD696A"/>
    <w:rsid w:val="00DD6F3F"/>
    <w:rsid w:val="00DD7C7A"/>
    <w:rsid w:val="00DE0785"/>
    <w:rsid w:val="00DE08D6"/>
    <w:rsid w:val="00DE14C5"/>
    <w:rsid w:val="00DE1E9A"/>
    <w:rsid w:val="00DE316D"/>
    <w:rsid w:val="00DE3537"/>
    <w:rsid w:val="00DE39DB"/>
    <w:rsid w:val="00DE3F72"/>
    <w:rsid w:val="00DE42F4"/>
    <w:rsid w:val="00DE474F"/>
    <w:rsid w:val="00DE542B"/>
    <w:rsid w:val="00DE599A"/>
    <w:rsid w:val="00DE5D6A"/>
    <w:rsid w:val="00DE5FC8"/>
    <w:rsid w:val="00DE6D17"/>
    <w:rsid w:val="00DE6F6D"/>
    <w:rsid w:val="00DE74D7"/>
    <w:rsid w:val="00DF0382"/>
    <w:rsid w:val="00DF093D"/>
    <w:rsid w:val="00DF3611"/>
    <w:rsid w:val="00DF3EBE"/>
    <w:rsid w:val="00DF4010"/>
    <w:rsid w:val="00DF6183"/>
    <w:rsid w:val="00DF63DB"/>
    <w:rsid w:val="00DF6EDC"/>
    <w:rsid w:val="00DF733D"/>
    <w:rsid w:val="00E0005B"/>
    <w:rsid w:val="00E00BFE"/>
    <w:rsid w:val="00E013F6"/>
    <w:rsid w:val="00E0188F"/>
    <w:rsid w:val="00E02A3E"/>
    <w:rsid w:val="00E0324E"/>
    <w:rsid w:val="00E0357D"/>
    <w:rsid w:val="00E035E6"/>
    <w:rsid w:val="00E038FC"/>
    <w:rsid w:val="00E0391B"/>
    <w:rsid w:val="00E03B90"/>
    <w:rsid w:val="00E03FFD"/>
    <w:rsid w:val="00E0565F"/>
    <w:rsid w:val="00E057D4"/>
    <w:rsid w:val="00E065E7"/>
    <w:rsid w:val="00E06EF9"/>
    <w:rsid w:val="00E07AD7"/>
    <w:rsid w:val="00E1028A"/>
    <w:rsid w:val="00E10B90"/>
    <w:rsid w:val="00E1141B"/>
    <w:rsid w:val="00E12BF5"/>
    <w:rsid w:val="00E13C11"/>
    <w:rsid w:val="00E143DF"/>
    <w:rsid w:val="00E1480E"/>
    <w:rsid w:val="00E14CCF"/>
    <w:rsid w:val="00E14ED7"/>
    <w:rsid w:val="00E1540D"/>
    <w:rsid w:val="00E16069"/>
    <w:rsid w:val="00E16690"/>
    <w:rsid w:val="00E17A8F"/>
    <w:rsid w:val="00E203B9"/>
    <w:rsid w:val="00E206E3"/>
    <w:rsid w:val="00E2080A"/>
    <w:rsid w:val="00E2184D"/>
    <w:rsid w:val="00E23360"/>
    <w:rsid w:val="00E24AA4"/>
    <w:rsid w:val="00E24DC1"/>
    <w:rsid w:val="00E2501E"/>
    <w:rsid w:val="00E250C6"/>
    <w:rsid w:val="00E253DD"/>
    <w:rsid w:val="00E256D3"/>
    <w:rsid w:val="00E261A6"/>
    <w:rsid w:val="00E263D8"/>
    <w:rsid w:val="00E2686F"/>
    <w:rsid w:val="00E272E1"/>
    <w:rsid w:val="00E276C1"/>
    <w:rsid w:val="00E3064D"/>
    <w:rsid w:val="00E30A07"/>
    <w:rsid w:val="00E30D7D"/>
    <w:rsid w:val="00E31D36"/>
    <w:rsid w:val="00E32476"/>
    <w:rsid w:val="00E325F5"/>
    <w:rsid w:val="00E327A4"/>
    <w:rsid w:val="00E32C36"/>
    <w:rsid w:val="00E33BC1"/>
    <w:rsid w:val="00E3406F"/>
    <w:rsid w:val="00E35392"/>
    <w:rsid w:val="00E361C4"/>
    <w:rsid w:val="00E3652D"/>
    <w:rsid w:val="00E367DE"/>
    <w:rsid w:val="00E36807"/>
    <w:rsid w:val="00E36E81"/>
    <w:rsid w:val="00E36FCF"/>
    <w:rsid w:val="00E37011"/>
    <w:rsid w:val="00E37402"/>
    <w:rsid w:val="00E4081C"/>
    <w:rsid w:val="00E409B1"/>
    <w:rsid w:val="00E40DAD"/>
    <w:rsid w:val="00E420AB"/>
    <w:rsid w:val="00E420DA"/>
    <w:rsid w:val="00E42238"/>
    <w:rsid w:val="00E4230B"/>
    <w:rsid w:val="00E42634"/>
    <w:rsid w:val="00E42682"/>
    <w:rsid w:val="00E42FEC"/>
    <w:rsid w:val="00E43E7B"/>
    <w:rsid w:val="00E4475A"/>
    <w:rsid w:val="00E44979"/>
    <w:rsid w:val="00E44FF9"/>
    <w:rsid w:val="00E4602F"/>
    <w:rsid w:val="00E4659B"/>
    <w:rsid w:val="00E466BC"/>
    <w:rsid w:val="00E46747"/>
    <w:rsid w:val="00E47D9F"/>
    <w:rsid w:val="00E51112"/>
    <w:rsid w:val="00E5196B"/>
    <w:rsid w:val="00E51BCB"/>
    <w:rsid w:val="00E51DAE"/>
    <w:rsid w:val="00E52E1D"/>
    <w:rsid w:val="00E533CE"/>
    <w:rsid w:val="00E53DC6"/>
    <w:rsid w:val="00E5436C"/>
    <w:rsid w:val="00E55C51"/>
    <w:rsid w:val="00E56B02"/>
    <w:rsid w:val="00E56B99"/>
    <w:rsid w:val="00E570A2"/>
    <w:rsid w:val="00E5746E"/>
    <w:rsid w:val="00E574A1"/>
    <w:rsid w:val="00E57A99"/>
    <w:rsid w:val="00E60711"/>
    <w:rsid w:val="00E60FA5"/>
    <w:rsid w:val="00E615D3"/>
    <w:rsid w:val="00E61A77"/>
    <w:rsid w:val="00E62677"/>
    <w:rsid w:val="00E632E6"/>
    <w:rsid w:val="00E63D50"/>
    <w:rsid w:val="00E63DDF"/>
    <w:rsid w:val="00E654A4"/>
    <w:rsid w:val="00E65A1A"/>
    <w:rsid w:val="00E6665A"/>
    <w:rsid w:val="00E705B9"/>
    <w:rsid w:val="00E712D2"/>
    <w:rsid w:val="00E71A68"/>
    <w:rsid w:val="00E72BC4"/>
    <w:rsid w:val="00E73402"/>
    <w:rsid w:val="00E73467"/>
    <w:rsid w:val="00E74892"/>
    <w:rsid w:val="00E74CD1"/>
    <w:rsid w:val="00E75626"/>
    <w:rsid w:val="00E7564D"/>
    <w:rsid w:val="00E75DEA"/>
    <w:rsid w:val="00E769AB"/>
    <w:rsid w:val="00E7744B"/>
    <w:rsid w:val="00E77460"/>
    <w:rsid w:val="00E77577"/>
    <w:rsid w:val="00E77FCC"/>
    <w:rsid w:val="00E800B0"/>
    <w:rsid w:val="00E80612"/>
    <w:rsid w:val="00E80CE8"/>
    <w:rsid w:val="00E80DE2"/>
    <w:rsid w:val="00E81586"/>
    <w:rsid w:val="00E83448"/>
    <w:rsid w:val="00E859FB"/>
    <w:rsid w:val="00E85A2A"/>
    <w:rsid w:val="00E8650F"/>
    <w:rsid w:val="00E86750"/>
    <w:rsid w:val="00E919C2"/>
    <w:rsid w:val="00E920FC"/>
    <w:rsid w:val="00E92EB4"/>
    <w:rsid w:val="00E93089"/>
    <w:rsid w:val="00E93279"/>
    <w:rsid w:val="00E934B1"/>
    <w:rsid w:val="00E9393C"/>
    <w:rsid w:val="00E93AC2"/>
    <w:rsid w:val="00E941DA"/>
    <w:rsid w:val="00E9487A"/>
    <w:rsid w:val="00E957EA"/>
    <w:rsid w:val="00E95DDF"/>
    <w:rsid w:val="00E96F1C"/>
    <w:rsid w:val="00E971CA"/>
    <w:rsid w:val="00E9751B"/>
    <w:rsid w:val="00EA0676"/>
    <w:rsid w:val="00EA0AFE"/>
    <w:rsid w:val="00EA0EA7"/>
    <w:rsid w:val="00EA1342"/>
    <w:rsid w:val="00EA1C27"/>
    <w:rsid w:val="00EA1E69"/>
    <w:rsid w:val="00EA22F7"/>
    <w:rsid w:val="00EA2579"/>
    <w:rsid w:val="00EA316F"/>
    <w:rsid w:val="00EA3E95"/>
    <w:rsid w:val="00EA40B2"/>
    <w:rsid w:val="00EA4516"/>
    <w:rsid w:val="00EA4538"/>
    <w:rsid w:val="00EA4922"/>
    <w:rsid w:val="00EA4E09"/>
    <w:rsid w:val="00EA59F5"/>
    <w:rsid w:val="00EB089D"/>
    <w:rsid w:val="00EB0CB6"/>
    <w:rsid w:val="00EB10EF"/>
    <w:rsid w:val="00EB241A"/>
    <w:rsid w:val="00EB29D8"/>
    <w:rsid w:val="00EB3774"/>
    <w:rsid w:val="00EB4614"/>
    <w:rsid w:val="00EB4E0C"/>
    <w:rsid w:val="00EB4EDF"/>
    <w:rsid w:val="00EB6830"/>
    <w:rsid w:val="00EC079E"/>
    <w:rsid w:val="00EC0CC1"/>
    <w:rsid w:val="00EC0FF9"/>
    <w:rsid w:val="00EC1492"/>
    <w:rsid w:val="00EC20E7"/>
    <w:rsid w:val="00EC21AC"/>
    <w:rsid w:val="00EC2841"/>
    <w:rsid w:val="00EC43E6"/>
    <w:rsid w:val="00EC5129"/>
    <w:rsid w:val="00EC5307"/>
    <w:rsid w:val="00EC5650"/>
    <w:rsid w:val="00EC579B"/>
    <w:rsid w:val="00EC6724"/>
    <w:rsid w:val="00EC683A"/>
    <w:rsid w:val="00EC757C"/>
    <w:rsid w:val="00EC7DB4"/>
    <w:rsid w:val="00ED0223"/>
    <w:rsid w:val="00ED030C"/>
    <w:rsid w:val="00ED0A48"/>
    <w:rsid w:val="00ED100A"/>
    <w:rsid w:val="00ED10FC"/>
    <w:rsid w:val="00ED5289"/>
    <w:rsid w:val="00ED5D45"/>
    <w:rsid w:val="00ED6922"/>
    <w:rsid w:val="00ED6DB0"/>
    <w:rsid w:val="00ED7204"/>
    <w:rsid w:val="00ED762F"/>
    <w:rsid w:val="00EE0473"/>
    <w:rsid w:val="00EE1DD8"/>
    <w:rsid w:val="00EE21CE"/>
    <w:rsid w:val="00EE3916"/>
    <w:rsid w:val="00EE40B7"/>
    <w:rsid w:val="00EE4D94"/>
    <w:rsid w:val="00EE544E"/>
    <w:rsid w:val="00EE63AD"/>
    <w:rsid w:val="00EE6911"/>
    <w:rsid w:val="00EE7FE4"/>
    <w:rsid w:val="00EF0348"/>
    <w:rsid w:val="00EF19FB"/>
    <w:rsid w:val="00EF2EE9"/>
    <w:rsid w:val="00EF35AE"/>
    <w:rsid w:val="00EF38BF"/>
    <w:rsid w:val="00EF4359"/>
    <w:rsid w:val="00EF5222"/>
    <w:rsid w:val="00EF52B0"/>
    <w:rsid w:val="00EF537B"/>
    <w:rsid w:val="00EF63F8"/>
    <w:rsid w:val="00F001FB"/>
    <w:rsid w:val="00F00CA1"/>
    <w:rsid w:val="00F010CB"/>
    <w:rsid w:val="00F01598"/>
    <w:rsid w:val="00F01689"/>
    <w:rsid w:val="00F01825"/>
    <w:rsid w:val="00F01E11"/>
    <w:rsid w:val="00F02414"/>
    <w:rsid w:val="00F026FB"/>
    <w:rsid w:val="00F031B0"/>
    <w:rsid w:val="00F03DAE"/>
    <w:rsid w:val="00F0469B"/>
    <w:rsid w:val="00F04DA2"/>
    <w:rsid w:val="00F06367"/>
    <w:rsid w:val="00F071A5"/>
    <w:rsid w:val="00F07672"/>
    <w:rsid w:val="00F07D52"/>
    <w:rsid w:val="00F07FD5"/>
    <w:rsid w:val="00F105CC"/>
    <w:rsid w:val="00F10875"/>
    <w:rsid w:val="00F11510"/>
    <w:rsid w:val="00F12A71"/>
    <w:rsid w:val="00F138F1"/>
    <w:rsid w:val="00F13BB0"/>
    <w:rsid w:val="00F13C9D"/>
    <w:rsid w:val="00F1462C"/>
    <w:rsid w:val="00F1483A"/>
    <w:rsid w:val="00F157D4"/>
    <w:rsid w:val="00F15C62"/>
    <w:rsid w:val="00F15E3F"/>
    <w:rsid w:val="00F15ED3"/>
    <w:rsid w:val="00F16A14"/>
    <w:rsid w:val="00F16A20"/>
    <w:rsid w:val="00F16F86"/>
    <w:rsid w:val="00F171C3"/>
    <w:rsid w:val="00F1792D"/>
    <w:rsid w:val="00F17B36"/>
    <w:rsid w:val="00F20180"/>
    <w:rsid w:val="00F2043D"/>
    <w:rsid w:val="00F20ED2"/>
    <w:rsid w:val="00F20F92"/>
    <w:rsid w:val="00F2222A"/>
    <w:rsid w:val="00F227F8"/>
    <w:rsid w:val="00F2398A"/>
    <w:rsid w:val="00F24996"/>
    <w:rsid w:val="00F249B3"/>
    <w:rsid w:val="00F24CB9"/>
    <w:rsid w:val="00F26027"/>
    <w:rsid w:val="00F275C4"/>
    <w:rsid w:val="00F3015C"/>
    <w:rsid w:val="00F30254"/>
    <w:rsid w:val="00F3068C"/>
    <w:rsid w:val="00F30799"/>
    <w:rsid w:val="00F30EB2"/>
    <w:rsid w:val="00F31328"/>
    <w:rsid w:val="00F31786"/>
    <w:rsid w:val="00F32152"/>
    <w:rsid w:val="00F336ED"/>
    <w:rsid w:val="00F34162"/>
    <w:rsid w:val="00F3543B"/>
    <w:rsid w:val="00F36093"/>
    <w:rsid w:val="00F36636"/>
    <w:rsid w:val="00F3669A"/>
    <w:rsid w:val="00F36796"/>
    <w:rsid w:val="00F36A05"/>
    <w:rsid w:val="00F371D4"/>
    <w:rsid w:val="00F37972"/>
    <w:rsid w:val="00F40218"/>
    <w:rsid w:val="00F408E9"/>
    <w:rsid w:val="00F40EB6"/>
    <w:rsid w:val="00F410A7"/>
    <w:rsid w:val="00F4314E"/>
    <w:rsid w:val="00F432B2"/>
    <w:rsid w:val="00F432D8"/>
    <w:rsid w:val="00F4340A"/>
    <w:rsid w:val="00F44986"/>
    <w:rsid w:val="00F45191"/>
    <w:rsid w:val="00F45FC8"/>
    <w:rsid w:val="00F461FF"/>
    <w:rsid w:val="00F46331"/>
    <w:rsid w:val="00F4640C"/>
    <w:rsid w:val="00F46552"/>
    <w:rsid w:val="00F47711"/>
    <w:rsid w:val="00F47750"/>
    <w:rsid w:val="00F47891"/>
    <w:rsid w:val="00F514DA"/>
    <w:rsid w:val="00F52086"/>
    <w:rsid w:val="00F5235E"/>
    <w:rsid w:val="00F53A9A"/>
    <w:rsid w:val="00F53FC5"/>
    <w:rsid w:val="00F54754"/>
    <w:rsid w:val="00F54B23"/>
    <w:rsid w:val="00F54BED"/>
    <w:rsid w:val="00F55136"/>
    <w:rsid w:val="00F55B0A"/>
    <w:rsid w:val="00F560A0"/>
    <w:rsid w:val="00F561E1"/>
    <w:rsid w:val="00F57B60"/>
    <w:rsid w:val="00F60B78"/>
    <w:rsid w:val="00F620A2"/>
    <w:rsid w:val="00F62801"/>
    <w:rsid w:val="00F62CD1"/>
    <w:rsid w:val="00F64856"/>
    <w:rsid w:val="00F64BA4"/>
    <w:rsid w:val="00F650CE"/>
    <w:rsid w:val="00F65869"/>
    <w:rsid w:val="00F6685D"/>
    <w:rsid w:val="00F67D2C"/>
    <w:rsid w:val="00F67E37"/>
    <w:rsid w:val="00F70A4A"/>
    <w:rsid w:val="00F70D97"/>
    <w:rsid w:val="00F713F7"/>
    <w:rsid w:val="00F7150D"/>
    <w:rsid w:val="00F71D06"/>
    <w:rsid w:val="00F724A8"/>
    <w:rsid w:val="00F7302F"/>
    <w:rsid w:val="00F736CE"/>
    <w:rsid w:val="00F73F08"/>
    <w:rsid w:val="00F74174"/>
    <w:rsid w:val="00F75775"/>
    <w:rsid w:val="00F75FE8"/>
    <w:rsid w:val="00F76C9C"/>
    <w:rsid w:val="00F7718E"/>
    <w:rsid w:val="00F77AF9"/>
    <w:rsid w:val="00F801D3"/>
    <w:rsid w:val="00F80BDE"/>
    <w:rsid w:val="00F80C9D"/>
    <w:rsid w:val="00F81320"/>
    <w:rsid w:val="00F81C06"/>
    <w:rsid w:val="00F824F9"/>
    <w:rsid w:val="00F830C5"/>
    <w:rsid w:val="00F83585"/>
    <w:rsid w:val="00F8407C"/>
    <w:rsid w:val="00F855E1"/>
    <w:rsid w:val="00F867ED"/>
    <w:rsid w:val="00F86825"/>
    <w:rsid w:val="00F86F54"/>
    <w:rsid w:val="00F917C4"/>
    <w:rsid w:val="00F91E4B"/>
    <w:rsid w:val="00F92341"/>
    <w:rsid w:val="00F92629"/>
    <w:rsid w:val="00F92E80"/>
    <w:rsid w:val="00F94382"/>
    <w:rsid w:val="00F94511"/>
    <w:rsid w:val="00F948B4"/>
    <w:rsid w:val="00F94D1A"/>
    <w:rsid w:val="00F95C47"/>
    <w:rsid w:val="00F95F34"/>
    <w:rsid w:val="00F96613"/>
    <w:rsid w:val="00F97E75"/>
    <w:rsid w:val="00FA0F57"/>
    <w:rsid w:val="00FA1923"/>
    <w:rsid w:val="00FA1EE1"/>
    <w:rsid w:val="00FA20B4"/>
    <w:rsid w:val="00FA2867"/>
    <w:rsid w:val="00FA3332"/>
    <w:rsid w:val="00FA476A"/>
    <w:rsid w:val="00FA4876"/>
    <w:rsid w:val="00FA4E3E"/>
    <w:rsid w:val="00FA59EB"/>
    <w:rsid w:val="00FA65B4"/>
    <w:rsid w:val="00FA666F"/>
    <w:rsid w:val="00FA66CE"/>
    <w:rsid w:val="00FA6BDD"/>
    <w:rsid w:val="00FA6DF8"/>
    <w:rsid w:val="00FA7C4F"/>
    <w:rsid w:val="00FA7D22"/>
    <w:rsid w:val="00FB050B"/>
    <w:rsid w:val="00FB0F0A"/>
    <w:rsid w:val="00FB169D"/>
    <w:rsid w:val="00FB38A5"/>
    <w:rsid w:val="00FB398A"/>
    <w:rsid w:val="00FB4293"/>
    <w:rsid w:val="00FB5611"/>
    <w:rsid w:val="00FB5B57"/>
    <w:rsid w:val="00FB7A5B"/>
    <w:rsid w:val="00FB7D27"/>
    <w:rsid w:val="00FC0318"/>
    <w:rsid w:val="00FC0602"/>
    <w:rsid w:val="00FC0EF5"/>
    <w:rsid w:val="00FC17FC"/>
    <w:rsid w:val="00FC1C30"/>
    <w:rsid w:val="00FC1F6F"/>
    <w:rsid w:val="00FC20FD"/>
    <w:rsid w:val="00FC3F14"/>
    <w:rsid w:val="00FC4074"/>
    <w:rsid w:val="00FC452B"/>
    <w:rsid w:val="00FC4F83"/>
    <w:rsid w:val="00FC52BF"/>
    <w:rsid w:val="00FC5844"/>
    <w:rsid w:val="00FC5993"/>
    <w:rsid w:val="00FC675A"/>
    <w:rsid w:val="00FC6848"/>
    <w:rsid w:val="00FC69C6"/>
    <w:rsid w:val="00FC75E2"/>
    <w:rsid w:val="00FC79B5"/>
    <w:rsid w:val="00FC7DC2"/>
    <w:rsid w:val="00FC7F21"/>
    <w:rsid w:val="00FD0175"/>
    <w:rsid w:val="00FD02DF"/>
    <w:rsid w:val="00FD06E1"/>
    <w:rsid w:val="00FD157E"/>
    <w:rsid w:val="00FD15E3"/>
    <w:rsid w:val="00FD1FD1"/>
    <w:rsid w:val="00FD25B7"/>
    <w:rsid w:val="00FD2D38"/>
    <w:rsid w:val="00FD2E0B"/>
    <w:rsid w:val="00FD3577"/>
    <w:rsid w:val="00FD4398"/>
    <w:rsid w:val="00FD4FD3"/>
    <w:rsid w:val="00FD5241"/>
    <w:rsid w:val="00FD555B"/>
    <w:rsid w:val="00FD5ED3"/>
    <w:rsid w:val="00FD7539"/>
    <w:rsid w:val="00FD754B"/>
    <w:rsid w:val="00FD7586"/>
    <w:rsid w:val="00FD76DF"/>
    <w:rsid w:val="00FE0220"/>
    <w:rsid w:val="00FE098E"/>
    <w:rsid w:val="00FE2750"/>
    <w:rsid w:val="00FE2D75"/>
    <w:rsid w:val="00FE37C5"/>
    <w:rsid w:val="00FE3AC5"/>
    <w:rsid w:val="00FE44C2"/>
    <w:rsid w:val="00FE5318"/>
    <w:rsid w:val="00FE6680"/>
    <w:rsid w:val="00FE7603"/>
    <w:rsid w:val="00FE7903"/>
    <w:rsid w:val="00FF06EA"/>
    <w:rsid w:val="00FF07E4"/>
    <w:rsid w:val="00FF09E8"/>
    <w:rsid w:val="00FF0BB4"/>
    <w:rsid w:val="00FF123E"/>
    <w:rsid w:val="00FF1AFA"/>
    <w:rsid w:val="00FF310D"/>
    <w:rsid w:val="00FF4359"/>
    <w:rsid w:val="00FF46CF"/>
    <w:rsid w:val="00FF532B"/>
    <w:rsid w:val="00FF5769"/>
    <w:rsid w:val="00FF5995"/>
    <w:rsid w:val="00FF5C2A"/>
    <w:rsid w:val="00FF5CDC"/>
    <w:rsid w:val="00FF684C"/>
    <w:rsid w:val="00FF76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1ADF7A3F-B7FA-42D6-9D74-99D9EADB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586"/>
    <w:pPr>
      <w:widowControl w:val="0"/>
    </w:pPr>
    <w:rPr>
      <w:snapToGrid w:val="0"/>
      <w:kern w:val="28"/>
      <w:sz w:val="22"/>
    </w:rPr>
  </w:style>
  <w:style w:type="paragraph" w:styleId="Heading1">
    <w:name w:val="heading 1"/>
    <w:basedOn w:val="Normal"/>
    <w:next w:val="ParaNum"/>
    <w:link w:val="Heading1Char"/>
    <w:qFormat/>
    <w:rsid w:val="0057358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73586"/>
    <w:pPr>
      <w:keepNext/>
      <w:numPr>
        <w:ilvl w:val="1"/>
        <w:numId w:val="2"/>
      </w:numPr>
      <w:spacing w:after="120"/>
      <w:outlineLvl w:val="1"/>
    </w:pPr>
    <w:rPr>
      <w:b/>
    </w:rPr>
  </w:style>
  <w:style w:type="paragraph" w:styleId="Heading3">
    <w:name w:val="heading 3"/>
    <w:basedOn w:val="Normal"/>
    <w:next w:val="ParaNum"/>
    <w:link w:val="Heading3Char"/>
    <w:qFormat/>
    <w:rsid w:val="0057358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57358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7358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57358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57358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57358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7358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735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3586"/>
  </w:style>
  <w:style w:type="character" w:customStyle="1" w:styleId="Heading1Char">
    <w:name w:val="Heading 1 Char"/>
    <w:basedOn w:val="DefaultParagraphFont"/>
    <w:link w:val="Heading1"/>
    <w:locked/>
    <w:rsid w:val="004A1AB3"/>
    <w:rPr>
      <w:rFonts w:ascii="Times New Roman Bold" w:hAnsi="Times New Roman Bold"/>
      <w:b/>
      <w:caps/>
      <w:snapToGrid w:val="0"/>
      <w:kern w:val="28"/>
      <w:sz w:val="22"/>
    </w:rPr>
  </w:style>
  <w:style w:type="character" w:customStyle="1" w:styleId="Heading2Char">
    <w:name w:val="Heading 2 Char"/>
    <w:basedOn w:val="DefaultParagraphFont"/>
    <w:link w:val="Heading2"/>
    <w:rsid w:val="00C27B47"/>
    <w:rPr>
      <w:b/>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paragraph" w:customStyle="1" w:styleId="ParaNum">
    <w:name w:val="ParaNum"/>
    <w:basedOn w:val="Normal"/>
    <w:link w:val="ParaNumCharChar1"/>
    <w:rsid w:val="00573586"/>
    <w:pPr>
      <w:numPr>
        <w:numId w:val="1"/>
      </w:numPr>
      <w:tabs>
        <w:tab w:val="clear" w:pos="1080"/>
        <w:tab w:val="num" w:pos="1440"/>
      </w:tabs>
      <w:spacing w:after="120"/>
    </w:pPr>
  </w:style>
  <w:style w:type="paragraph" w:styleId="EndnoteText">
    <w:name w:val="endnote text"/>
    <w:basedOn w:val="Normal"/>
    <w:link w:val="EndnoteTextChar"/>
    <w:semiHidden/>
    <w:rsid w:val="00573586"/>
    <w:rPr>
      <w:sz w:val="20"/>
    </w:rPr>
  </w:style>
  <w:style w:type="character" w:customStyle="1" w:styleId="EndnoteTextChar">
    <w:name w:val="Endnote Text Char"/>
    <w:basedOn w:val="DefaultParagraphFont"/>
    <w:link w:val="EndnoteText"/>
    <w:semiHidden/>
    <w:rPr>
      <w:snapToGrid w:val="0"/>
      <w:kern w:val="28"/>
    </w:rPr>
  </w:style>
  <w:style w:type="character" w:styleId="EndnoteReference">
    <w:name w:val="endnote reference"/>
    <w:semiHidden/>
    <w:rsid w:val="00573586"/>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
    <w:link w:val="FootnoteTextChar2"/>
    <w:rsid w:val="00573586"/>
    <w:pPr>
      <w:spacing w:after="120"/>
    </w:p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basedOn w:val="DefaultParagraphFont"/>
    <w:link w:val="FootnoteText"/>
    <w:locked/>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73586"/>
    <w:rPr>
      <w:rFonts w:ascii="Times New Roman" w:hAnsi="Times New Roman"/>
      <w:dstrike w:val="0"/>
      <w:color w:val="auto"/>
      <w:sz w:val="20"/>
      <w:vertAlign w:val="superscript"/>
    </w:rPr>
  </w:style>
  <w:style w:type="paragraph" w:styleId="TOC1">
    <w:name w:val="toc 1"/>
    <w:basedOn w:val="Normal"/>
    <w:next w:val="Normal"/>
    <w:semiHidden/>
    <w:rsid w:val="0057358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73586"/>
    <w:pPr>
      <w:tabs>
        <w:tab w:val="left" w:pos="720"/>
        <w:tab w:val="right" w:leader="dot" w:pos="9360"/>
      </w:tabs>
      <w:suppressAutoHyphens/>
      <w:ind w:left="720" w:right="720" w:hanging="360"/>
    </w:pPr>
    <w:rPr>
      <w:noProof/>
    </w:rPr>
  </w:style>
  <w:style w:type="paragraph" w:styleId="TOC3">
    <w:name w:val="toc 3"/>
    <w:basedOn w:val="Normal"/>
    <w:next w:val="Normal"/>
    <w:semiHidden/>
    <w:rsid w:val="0057358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7358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7358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7358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7358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7358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7358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73586"/>
    <w:pPr>
      <w:tabs>
        <w:tab w:val="right" w:pos="9360"/>
      </w:tabs>
      <w:suppressAutoHyphens/>
    </w:pPr>
  </w:style>
  <w:style w:type="character" w:customStyle="1" w:styleId="EquationCaption">
    <w:name w:val="_Equation Caption"/>
    <w:rsid w:val="00573586"/>
  </w:style>
  <w:style w:type="paragraph" w:styleId="Header">
    <w:name w:val="header"/>
    <w:basedOn w:val="Normal"/>
    <w:link w:val="HeaderChar"/>
    <w:autoRedefine/>
    <w:rsid w:val="00573586"/>
    <w:pPr>
      <w:tabs>
        <w:tab w:val="center" w:pos="4680"/>
        <w:tab w:val="right" w:pos="9360"/>
      </w:tabs>
    </w:pPr>
    <w:rPr>
      <w:b/>
    </w:rPr>
  </w:style>
  <w:style w:type="character" w:customStyle="1" w:styleId="HeaderChar">
    <w:name w:val="Header Char"/>
    <w:basedOn w:val="DefaultParagraphFont"/>
    <w:link w:val="Header"/>
    <w:rPr>
      <w:b/>
      <w:snapToGrid w:val="0"/>
      <w:kern w:val="28"/>
      <w:sz w:val="22"/>
    </w:rPr>
  </w:style>
  <w:style w:type="paragraph" w:styleId="Footer">
    <w:name w:val="footer"/>
    <w:basedOn w:val="Normal"/>
    <w:link w:val="FooterChar"/>
    <w:uiPriority w:val="99"/>
    <w:rsid w:val="00573586"/>
    <w:pPr>
      <w:tabs>
        <w:tab w:val="center" w:pos="4320"/>
        <w:tab w:val="right" w:pos="8640"/>
      </w:tabs>
    </w:pPr>
  </w:style>
  <w:style w:type="character" w:customStyle="1" w:styleId="FooterChar">
    <w:name w:val="Footer Char"/>
    <w:link w:val="Footer"/>
    <w:uiPriority w:val="99"/>
    <w:locked/>
    <w:rsid w:val="00573586"/>
    <w:rPr>
      <w:snapToGrid w:val="0"/>
      <w:kern w:val="28"/>
      <w:sz w:val="22"/>
    </w:rPr>
  </w:style>
  <w:style w:type="character" w:styleId="PageNumber">
    <w:name w:val="page number"/>
    <w:basedOn w:val="DefaultParagraphFont"/>
    <w:rsid w:val="00573586"/>
  </w:style>
  <w:style w:type="paragraph" w:styleId="BlockText">
    <w:name w:val="Block Text"/>
    <w:basedOn w:val="Normal"/>
    <w:rsid w:val="00573586"/>
    <w:pPr>
      <w:spacing w:after="240"/>
      <w:ind w:left="1440" w:right="1440"/>
    </w:pPr>
  </w:style>
  <w:style w:type="paragraph" w:customStyle="1" w:styleId="Paratitle">
    <w:name w:val="Para title"/>
    <w:basedOn w:val="Normal"/>
    <w:rsid w:val="00573586"/>
    <w:pPr>
      <w:tabs>
        <w:tab w:val="center" w:pos="9270"/>
      </w:tabs>
      <w:spacing w:after="240"/>
    </w:pPr>
    <w:rPr>
      <w:spacing w:val="-2"/>
    </w:rPr>
  </w:style>
  <w:style w:type="paragraph" w:customStyle="1" w:styleId="Bullet">
    <w:name w:val="Bullet"/>
    <w:basedOn w:val="Normal"/>
    <w:rsid w:val="00573586"/>
    <w:pPr>
      <w:tabs>
        <w:tab w:val="left" w:pos="2160"/>
      </w:tabs>
      <w:spacing w:after="220"/>
      <w:ind w:left="2160" w:hanging="720"/>
    </w:pPr>
  </w:style>
  <w:style w:type="paragraph" w:customStyle="1" w:styleId="TableFormat">
    <w:name w:val="TableFormat"/>
    <w:basedOn w:val="Bullet"/>
    <w:rsid w:val="00573586"/>
    <w:pPr>
      <w:tabs>
        <w:tab w:val="clear" w:pos="2160"/>
        <w:tab w:val="left" w:pos="5040"/>
      </w:tabs>
      <w:ind w:left="5040" w:hanging="3600"/>
    </w:pPr>
  </w:style>
  <w:style w:type="paragraph" w:customStyle="1" w:styleId="TOCTitle">
    <w:name w:val="TOC Title"/>
    <w:basedOn w:val="Normal"/>
    <w:rsid w:val="0057358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73586"/>
    <w:pPr>
      <w:jc w:val="center"/>
    </w:pPr>
    <w:rPr>
      <w:rFonts w:ascii="Times New Roman Bold" w:hAnsi="Times New Roman Bold"/>
      <w:b/>
      <w:bCs/>
      <w:caps/>
      <w:szCs w:val="22"/>
    </w:rPr>
  </w:style>
  <w:style w:type="character" w:styleId="Hyperlink">
    <w:name w:val="Hyperlink"/>
    <w:rsid w:val="00573586"/>
    <w:rPr>
      <w:color w:val="0000FF"/>
      <w:u w:val="single"/>
    </w:rPr>
  </w:style>
  <w:style w:type="character" w:customStyle="1" w:styleId="ParaNumCharChar1">
    <w:name w:val="ParaNum Char Char1"/>
    <w:link w:val="ParaNum"/>
    <w:locked/>
    <w:rPr>
      <w:snapToGrid w:val="0"/>
      <w:kern w:val="28"/>
      <w:sz w:val="22"/>
    </w:rPr>
  </w:style>
  <w:style w:type="character" w:customStyle="1" w:styleId="UnresolvedMention1">
    <w:name w:val="Unresolved Mention1"/>
    <w:basedOn w:val="DefaultParagraphFont"/>
    <w:uiPriority w:val="99"/>
    <w:semiHidden/>
    <w:unhideWhenUsed/>
    <w:rPr>
      <w:rFonts w:cs="Times New Roman"/>
      <w:color w:val="808080"/>
      <w:shd w:val="clear" w:color="auto" w:fill="E6E6E6"/>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locked/>
    <w:rPr>
      <w:rFonts w:ascii="Segoe UI" w:hAnsi="Segoe UI" w:cs="Segoe UI"/>
      <w:kern w:val="28"/>
      <w:sz w:val="18"/>
      <w:szCs w:val="18"/>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locked/>
    <w:rPr>
      <w:rFonts w:cs="Times New Roman"/>
      <w:kern w:val="28"/>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bCs/>
      <w:kern w:val="28"/>
    </w:rPr>
  </w:style>
  <w:style w:type="paragraph" w:styleId="Revision">
    <w:name w:val="Revision"/>
    <w:hidden/>
    <w:uiPriority w:val="99"/>
    <w:semiHidden/>
    <w:rPr>
      <w:kern w:val="28"/>
      <w:sz w:val="22"/>
    </w:rPr>
  </w:style>
  <w:style w:type="paragraph" w:styleId="PlainText">
    <w:name w:val="Plain Text"/>
    <w:basedOn w:val="Normal"/>
    <w:link w:val="PlainTextChar"/>
    <w:uiPriority w:val="99"/>
    <w:rsid w:val="00390EE6"/>
    <w:rPr>
      <w:rFonts w:ascii="Consolas" w:hAnsi="Consolas"/>
      <w:sz w:val="21"/>
      <w:szCs w:val="21"/>
    </w:rPr>
  </w:style>
  <w:style w:type="character" w:customStyle="1" w:styleId="PlainTextChar">
    <w:name w:val="Plain Text Char"/>
    <w:basedOn w:val="DefaultParagraphFont"/>
    <w:link w:val="PlainText"/>
    <w:uiPriority w:val="99"/>
    <w:locked/>
    <w:rsid w:val="00390EE6"/>
    <w:rPr>
      <w:rFonts w:ascii="Consolas" w:hAnsi="Consolas" w:cs="Times New Roman"/>
      <w:kern w:val="28"/>
      <w:sz w:val="21"/>
      <w:szCs w:val="21"/>
    </w:rPr>
  </w:style>
  <w:style w:type="paragraph" w:styleId="ListParagraph">
    <w:name w:val="List Paragraph"/>
    <w:basedOn w:val="Normal"/>
    <w:uiPriority w:val="34"/>
    <w:qFormat/>
    <w:rsid w:val="00E5436C"/>
    <w:pPr>
      <w:ind w:left="720"/>
      <w:contextualSpacing/>
    </w:pPr>
  </w:style>
  <w:style w:type="character" w:customStyle="1" w:styleId="UnresolvedMention">
    <w:name w:val="Unresolved Mention"/>
    <w:basedOn w:val="DefaultParagraphFont"/>
    <w:uiPriority w:val="99"/>
    <w:rsid w:val="0083793D"/>
    <w:rPr>
      <w:rFonts w:cs="Times New Roman"/>
      <w:color w:val="605E5C"/>
      <w:shd w:val="clear" w:color="auto" w:fill="E1DFDD"/>
    </w:rPr>
  </w:style>
  <w:style w:type="character" w:styleId="FollowedHyperlink">
    <w:name w:val="FollowedHyperlink"/>
    <w:basedOn w:val="DefaultParagraphFont"/>
    <w:rsid w:val="002F55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6&amp;cite=47USCAS202&amp;originatingDoc=I4a7a09402c2711db80c2e56cac103088&amp;refType=LQ&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