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560CD" w:rsidRPr="004F7405" w:rsidP="009560CD" w14:paraId="7A17B18F" w14:textId="2DF14936">
      <w:pPr>
        <w:widowControl/>
        <w:suppressAutoHyphens/>
        <w:jc w:val="right"/>
        <w:rPr>
          <w:b/>
          <w:color w:val="000000"/>
        </w:rPr>
      </w:pPr>
      <w:r>
        <w:rPr>
          <w:b/>
          <w:color w:val="000000"/>
        </w:rPr>
        <w:t xml:space="preserve"> </w:t>
      </w:r>
      <w:r w:rsidR="001F4EB1">
        <w:rPr>
          <w:b/>
          <w:color w:val="000000"/>
        </w:rPr>
        <w:t xml:space="preserve">DA </w:t>
      </w:r>
      <w:r w:rsidR="00110252">
        <w:rPr>
          <w:b/>
          <w:color w:val="000000"/>
        </w:rPr>
        <w:t>20</w:t>
      </w:r>
      <w:r w:rsidR="001F4EB1">
        <w:rPr>
          <w:b/>
          <w:color w:val="000000"/>
        </w:rPr>
        <w:t>-</w:t>
      </w:r>
      <w:r w:rsidR="002B101C">
        <w:rPr>
          <w:b/>
          <w:color w:val="000000"/>
        </w:rPr>
        <w:t>257</w:t>
      </w:r>
    </w:p>
    <w:p w:rsidR="009560CD" w:rsidRPr="004F7405" w:rsidP="009560CD" w14:paraId="7A03AF62" w14:textId="2CBB0591">
      <w:pPr>
        <w:widowControl/>
        <w:suppressAutoHyphens/>
        <w:spacing w:after="240"/>
        <w:jc w:val="right"/>
        <w:rPr>
          <w:b/>
          <w:color w:val="000000"/>
        </w:rPr>
      </w:pPr>
      <w:r>
        <w:rPr>
          <w:b/>
          <w:color w:val="000000"/>
        </w:rPr>
        <w:t xml:space="preserve"> Released: </w:t>
      </w:r>
      <w:r w:rsidR="00110252">
        <w:rPr>
          <w:b/>
          <w:color w:val="000000"/>
        </w:rPr>
        <w:t>March</w:t>
      </w:r>
      <w:r w:rsidR="00F11B64">
        <w:rPr>
          <w:b/>
          <w:color w:val="000000"/>
        </w:rPr>
        <w:t xml:space="preserve"> </w:t>
      </w:r>
      <w:r w:rsidR="002B101C">
        <w:rPr>
          <w:b/>
          <w:color w:val="000000"/>
        </w:rPr>
        <w:t>11</w:t>
      </w:r>
      <w:r>
        <w:rPr>
          <w:b/>
          <w:color w:val="000000"/>
        </w:rPr>
        <w:t>, 20</w:t>
      </w:r>
      <w:r w:rsidR="00110252">
        <w:rPr>
          <w:b/>
          <w:color w:val="000000"/>
        </w:rPr>
        <w:t>20</w:t>
      </w:r>
    </w:p>
    <w:p w:rsidR="009560CD" w:rsidRPr="004F7405" w:rsidP="009560CD" w14:paraId="7A6C4D4A" w14:textId="2DB0CD25">
      <w:pPr>
        <w:widowControl/>
        <w:suppressAutoHyphens/>
        <w:jc w:val="center"/>
        <w:rPr>
          <w:b/>
          <w:szCs w:val="22"/>
        </w:rPr>
      </w:pPr>
      <w:r w:rsidRPr="004F7405">
        <w:rPr>
          <w:b/>
          <w:szCs w:val="22"/>
        </w:rPr>
        <w:t>DOMESTIC SECTION 214 APPLICATION GRANTED</w:t>
      </w:r>
      <w:r>
        <w:rPr>
          <w:b/>
          <w:szCs w:val="22"/>
        </w:rPr>
        <w:t xml:space="preserve"> SUBJECT TO CONDITION</w:t>
      </w:r>
    </w:p>
    <w:p w:rsidR="009560CD" w:rsidRPr="004F7405" w:rsidP="009560CD" w14:paraId="27DE187B" w14:textId="77777777">
      <w:pPr>
        <w:widowControl/>
        <w:suppressAutoHyphens/>
        <w:jc w:val="center"/>
        <w:rPr>
          <w:b/>
          <w:color w:val="000000"/>
          <w:szCs w:val="22"/>
        </w:rPr>
      </w:pPr>
    </w:p>
    <w:p w:rsidR="009560CD" w:rsidRPr="001761B2" w:rsidP="009560CD" w14:paraId="0E5DDF42" w14:textId="4B7ED665">
      <w:pPr>
        <w:widowControl/>
        <w:suppressAutoHyphens/>
        <w:spacing w:after="240"/>
        <w:jc w:val="center"/>
        <w:rPr>
          <w:b/>
          <w:color w:val="000000"/>
          <w:szCs w:val="22"/>
        </w:rPr>
      </w:pPr>
      <w:r w:rsidRPr="004F7405">
        <w:rPr>
          <w:b/>
          <w:color w:val="000000"/>
          <w:szCs w:val="22"/>
        </w:rPr>
        <w:t xml:space="preserve">WC Docket No. </w:t>
      </w:r>
      <w:r>
        <w:rPr>
          <w:b/>
          <w:color w:val="000000"/>
          <w:szCs w:val="22"/>
        </w:rPr>
        <w:t>1</w:t>
      </w:r>
      <w:r w:rsidR="00827491">
        <w:rPr>
          <w:b/>
          <w:color w:val="000000"/>
          <w:szCs w:val="22"/>
        </w:rPr>
        <w:t>9</w:t>
      </w:r>
      <w:r>
        <w:rPr>
          <w:b/>
          <w:color w:val="000000"/>
          <w:szCs w:val="22"/>
        </w:rPr>
        <w:t>-</w:t>
      </w:r>
      <w:r w:rsidR="00110252">
        <w:rPr>
          <w:b/>
          <w:color w:val="000000"/>
          <w:szCs w:val="22"/>
        </w:rPr>
        <w:t>388</w:t>
      </w:r>
    </w:p>
    <w:p w:rsidR="007C69C8" w:rsidP="005C2671" w14:paraId="424A9FC6" w14:textId="7BD87EF9">
      <w:pPr>
        <w:widowControl/>
        <w:autoSpaceDE w:val="0"/>
        <w:autoSpaceDN w:val="0"/>
        <w:adjustRightInd w:val="0"/>
        <w:ind w:firstLine="720"/>
        <w:rPr>
          <w:snapToGrid/>
          <w:kern w:val="0"/>
          <w:szCs w:val="22"/>
        </w:rPr>
      </w:pPr>
      <w:r>
        <w:rPr>
          <w:snapToGrid/>
          <w:color w:val="231F20"/>
          <w:kern w:val="0"/>
          <w:szCs w:val="22"/>
        </w:rPr>
        <w:t xml:space="preserve">By this Public Notice, </w:t>
      </w:r>
      <w:r w:rsidRPr="005C2671" w:rsidR="005C2671">
        <w:rPr>
          <w:snapToGrid/>
          <w:kern w:val="0"/>
          <w:szCs w:val="22"/>
        </w:rPr>
        <w:t xml:space="preserve">the Wireline Competition Bureau </w:t>
      </w:r>
      <w:r w:rsidR="00AD017F">
        <w:rPr>
          <w:snapToGrid/>
          <w:kern w:val="0"/>
          <w:szCs w:val="22"/>
        </w:rPr>
        <w:t xml:space="preserve">(Bureau) </w:t>
      </w:r>
      <w:r w:rsidR="005C2671">
        <w:rPr>
          <w:snapToGrid/>
          <w:kern w:val="0"/>
          <w:szCs w:val="22"/>
        </w:rPr>
        <w:t xml:space="preserve">grants </w:t>
      </w:r>
      <w:r w:rsidRPr="005C2671" w:rsidR="005C2671">
        <w:rPr>
          <w:snapToGrid/>
          <w:kern w:val="0"/>
          <w:szCs w:val="22"/>
        </w:rPr>
        <w:t>an application filed by Buggs Island Co-operative d/b/a Buggs Island Telephone Cooperative (BIT), EMPOWER Broadband, Inc. (Broadband), and EMPOWER Telecom, Inc. (Telecom) (collectively, Applicants), pursuant to section 214 of the Communications Act of 1934, as amended, and sections 63.03-04 of the Commission’s rules, requesting approval for the transfer of assets of BIT to Telecom.</w:t>
      </w:r>
      <w:bookmarkStart w:id="0" w:name="_Hlk19805232"/>
      <w:r>
        <w:rPr>
          <w:snapToGrid/>
          <w:color w:val="231F20"/>
          <w:kern w:val="0"/>
          <w:szCs w:val="22"/>
          <w:vertAlign w:val="superscript"/>
        </w:rPr>
        <w:footnoteReference w:id="3"/>
      </w:r>
      <w:bookmarkEnd w:id="0"/>
      <w:r w:rsidR="00743A97">
        <w:rPr>
          <w:snapToGrid/>
          <w:kern w:val="0"/>
          <w:szCs w:val="22"/>
        </w:rPr>
        <w:t xml:space="preserve"> </w:t>
      </w:r>
      <w:r w:rsidRPr="005C2671" w:rsidR="005C2671">
        <w:rPr>
          <w:snapToGrid/>
          <w:color w:val="231F20"/>
          <w:kern w:val="0"/>
          <w:szCs w:val="22"/>
        </w:rPr>
        <w:t xml:space="preserve"> </w:t>
      </w:r>
      <w:r w:rsidR="00FC7A60">
        <w:rPr>
          <w:snapToGrid/>
          <w:color w:val="231F20"/>
          <w:kern w:val="0"/>
          <w:szCs w:val="22"/>
        </w:rPr>
        <w:t>On February 3, 2020, the Bureau released a Public Notice seeking comment on the Application.</w:t>
      </w:r>
      <w:r>
        <w:rPr>
          <w:rStyle w:val="FootnoteReference"/>
          <w:snapToGrid/>
          <w:kern w:val="0"/>
          <w:szCs w:val="22"/>
        </w:rPr>
        <w:footnoteReference w:id="4"/>
      </w:r>
      <w:r w:rsidR="00FC7A60">
        <w:rPr>
          <w:snapToGrid/>
          <w:color w:val="231F20"/>
          <w:kern w:val="0"/>
          <w:szCs w:val="22"/>
        </w:rPr>
        <w:t xml:space="preserve"> </w:t>
      </w:r>
      <w:r w:rsidR="00FC7A60">
        <w:rPr>
          <w:snapToGrid/>
          <w:kern w:val="0"/>
          <w:szCs w:val="22"/>
        </w:rPr>
        <w:t xml:space="preserve"> </w:t>
      </w:r>
      <w:r w:rsidR="005C2671">
        <w:rPr>
          <w:snapToGrid/>
          <w:kern w:val="0"/>
          <w:szCs w:val="22"/>
        </w:rPr>
        <w:t>The Bureau received no comments in opposition to a grant of the Application.</w:t>
      </w:r>
    </w:p>
    <w:p w:rsidR="006A65D3" w:rsidP="009560CD" w14:paraId="43E03CA1" w14:textId="77777777">
      <w:pPr>
        <w:widowControl/>
        <w:autoSpaceDE w:val="0"/>
        <w:autoSpaceDN w:val="0"/>
        <w:adjustRightInd w:val="0"/>
        <w:ind w:firstLine="720"/>
        <w:rPr>
          <w:szCs w:val="22"/>
        </w:rPr>
      </w:pPr>
    </w:p>
    <w:p w:rsidR="00C847FD" w:rsidP="00121DB7" w14:paraId="15359B8B" w14:textId="27212B9B">
      <w:pPr>
        <w:widowControl/>
        <w:autoSpaceDE w:val="0"/>
        <w:autoSpaceDN w:val="0"/>
        <w:adjustRightInd w:val="0"/>
        <w:ind w:firstLine="720"/>
        <w:rPr>
          <w:szCs w:val="22"/>
        </w:rPr>
      </w:pPr>
      <w:bookmarkStart w:id="1" w:name="_Hlk34207210"/>
      <w:r w:rsidRPr="00121DB7">
        <w:rPr>
          <w:snapToGrid/>
          <w:color w:val="231F20"/>
          <w:kern w:val="0"/>
          <w:szCs w:val="22"/>
        </w:rPr>
        <w:t>BIT, a Virginia telephone cooperative, provides telecommunications services and other services to approximately 3,000 access lines as an incumbent local exchange carrier (LEC) in Brunswick and Mecklenburg Counties in Virginia.</w:t>
      </w:r>
      <w:r>
        <w:rPr>
          <w:rStyle w:val="FootnoteReference"/>
          <w:snapToGrid/>
          <w:kern w:val="0"/>
          <w:szCs w:val="22"/>
        </w:rPr>
        <w:footnoteReference w:id="5"/>
      </w:r>
      <w:r w:rsidRPr="00121DB7">
        <w:rPr>
          <w:snapToGrid/>
          <w:color w:val="231F20"/>
          <w:kern w:val="0"/>
          <w:szCs w:val="22"/>
        </w:rPr>
        <w:t xml:space="preserve">  BIT is wholly owned by its approximately 2,830 customer-members.</w:t>
      </w:r>
      <w:bookmarkEnd w:id="1"/>
      <w:r>
        <w:rPr>
          <w:rStyle w:val="FootnoteReference"/>
          <w:snapToGrid/>
          <w:kern w:val="0"/>
          <w:szCs w:val="22"/>
        </w:rPr>
        <w:footnoteReference w:id="6"/>
      </w:r>
      <w:r>
        <w:rPr>
          <w:snapToGrid/>
          <w:color w:val="231F20"/>
          <w:kern w:val="0"/>
          <w:szCs w:val="22"/>
        </w:rPr>
        <w:t xml:space="preserve">  BIT</w:t>
      </w:r>
      <w:r w:rsidR="00E0389F">
        <w:rPr>
          <w:snapToGrid/>
          <w:color w:val="231F20"/>
          <w:kern w:val="0"/>
          <w:szCs w:val="22"/>
        </w:rPr>
        <w:t xml:space="preserve"> </w:t>
      </w:r>
      <w:r>
        <w:rPr>
          <w:snapToGrid/>
          <w:kern w:val="0"/>
          <w:szCs w:val="22"/>
        </w:rPr>
        <w:t xml:space="preserve">did not elect to receive </w:t>
      </w:r>
      <w:r w:rsidR="00064A57">
        <w:rPr>
          <w:snapToGrid/>
          <w:kern w:val="0"/>
          <w:szCs w:val="22"/>
        </w:rPr>
        <w:t xml:space="preserve">fixed </w:t>
      </w:r>
      <w:r>
        <w:rPr>
          <w:snapToGrid/>
          <w:kern w:val="0"/>
          <w:szCs w:val="22"/>
        </w:rPr>
        <w:t xml:space="preserve">support and </w:t>
      </w:r>
      <w:r>
        <w:rPr>
          <w:szCs w:val="22"/>
        </w:rPr>
        <w:t>receives cost-based universal service support for its incumbent LEC services.</w:t>
      </w:r>
      <w:r>
        <w:rPr>
          <w:rStyle w:val="FootnoteReference"/>
          <w:szCs w:val="22"/>
        </w:rPr>
        <w:footnoteReference w:id="7"/>
      </w:r>
      <w:r>
        <w:rPr>
          <w:szCs w:val="22"/>
        </w:rPr>
        <w:t xml:space="preserve">  </w:t>
      </w:r>
    </w:p>
    <w:p w:rsidR="00C847FD" w:rsidP="00121DB7" w14:paraId="51B60BB2" w14:textId="77777777">
      <w:pPr>
        <w:widowControl/>
        <w:autoSpaceDE w:val="0"/>
        <w:autoSpaceDN w:val="0"/>
        <w:adjustRightInd w:val="0"/>
        <w:ind w:firstLine="720"/>
        <w:rPr>
          <w:szCs w:val="22"/>
        </w:rPr>
      </w:pPr>
    </w:p>
    <w:p w:rsidR="0025269E" w:rsidRPr="0025269E" w:rsidP="00AC7A38" w14:paraId="0C82D431" w14:textId="7115E82E">
      <w:pPr>
        <w:widowControl/>
        <w:autoSpaceDE w:val="0"/>
        <w:autoSpaceDN w:val="0"/>
        <w:adjustRightInd w:val="0"/>
        <w:ind w:firstLine="720"/>
        <w:rPr>
          <w:snapToGrid/>
          <w:color w:val="231F20"/>
          <w:kern w:val="0"/>
          <w:szCs w:val="22"/>
        </w:rPr>
      </w:pPr>
      <w:r w:rsidRPr="00C847FD">
        <w:rPr>
          <w:snapToGrid/>
          <w:color w:val="231F20"/>
          <w:kern w:val="0"/>
          <w:szCs w:val="22"/>
        </w:rPr>
        <w:t>Telecom, a newly formed Virginia corporation, is organized as a public service corporation in the state and is a wholly owned subsidiary of Mecklenburg Electric Cooperative (MEC).</w:t>
      </w:r>
      <w:r>
        <w:rPr>
          <w:rStyle w:val="FootnoteReference"/>
          <w:snapToGrid/>
          <w:kern w:val="0"/>
          <w:szCs w:val="22"/>
        </w:rPr>
        <w:footnoteReference w:id="8"/>
      </w:r>
      <w:r w:rsidRPr="00C847FD">
        <w:rPr>
          <w:snapToGrid/>
          <w:color w:val="231F20"/>
          <w:kern w:val="0"/>
          <w:szCs w:val="22"/>
        </w:rPr>
        <w:t xml:space="preserve">  MEC is a not-for-</w:t>
      </w:r>
      <w:r w:rsidRPr="00C847FD">
        <w:rPr>
          <w:snapToGrid/>
          <w:color w:val="231F20"/>
          <w:kern w:val="0"/>
          <w:szCs w:val="22"/>
        </w:rPr>
        <w:t>profit Virginia utility consume</w:t>
      </w:r>
      <w:bookmarkStart w:id="2" w:name="_GoBack"/>
      <w:bookmarkEnd w:id="2"/>
      <w:r w:rsidRPr="00C847FD">
        <w:rPr>
          <w:snapToGrid/>
          <w:color w:val="231F20"/>
          <w:kern w:val="0"/>
          <w:szCs w:val="22"/>
        </w:rPr>
        <w:t xml:space="preserve">r services cooperative and a public utility supplying retail electric distribution services to member-consumers in </w:t>
      </w:r>
      <w:r w:rsidR="00DC3493">
        <w:rPr>
          <w:snapToGrid/>
          <w:color w:val="231F20"/>
          <w:kern w:val="0"/>
          <w:szCs w:val="22"/>
        </w:rPr>
        <w:t xml:space="preserve">Virginia and </w:t>
      </w:r>
      <w:r w:rsidRPr="00C847FD">
        <w:rPr>
          <w:snapToGrid/>
          <w:color w:val="231F20"/>
          <w:kern w:val="0"/>
          <w:szCs w:val="22"/>
        </w:rPr>
        <w:t>North Carolina.</w:t>
      </w:r>
      <w:r>
        <w:rPr>
          <w:snapToGrid/>
          <w:color w:val="231F20"/>
          <w:kern w:val="0"/>
          <w:szCs w:val="22"/>
          <w:vertAlign w:val="superscript"/>
        </w:rPr>
        <w:footnoteReference w:id="9"/>
      </w:r>
      <w:r w:rsidRPr="00C847FD">
        <w:rPr>
          <w:snapToGrid/>
          <w:color w:val="231F20"/>
          <w:kern w:val="0"/>
          <w:szCs w:val="22"/>
        </w:rPr>
        <w:t xml:space="preserve">  Broadband, a Virginia corporation and subsidiary of MEC, offers middle mile capacity and broadband services to southern Virginia over its fiber optic cable network.</w:t>
      </w:r>
      <w:r>
        <w:rPr>
          <w:rStyle w:val="FootnoteReference"/>
          <w:snapToGrid/>
          <w:kern w:val="0"/>
          <w:szCs w:val="22"/>
        </w:rPr>
        <w:footnoteReference w:id="10"/>
      </w:r>
      <w:r w:rsidRPr="00C847FD">
        <w:rPr>
          <w:snapToGrid/>
          <w:color w:val="231F20"/>
          <w:kern w:val="0"/>
          <w:szCs w:val="22"/>
        </w:rPr>
        <w:t xml:space="preserve">  MEC is owned by its approximately 31,000 customer-members with no individual owning a 10</w:t>
      </w:r>
      <w:r w:rsidR="00DC3493">
        <w:rPr>
          <w:snapToGrid/>
          <w:color w:val="231F20"/>
          <w:kern w:val="0"/>
          <w:szCs w:val="22"/>
        </w:rPr>
        <w:t>%</w:t>
      </w:r>
      <w:r w:rsidRPr="00C847FD">
        <w:rPr>
          <w:snapToGrid/>
          <w:color w:val="231F20"/>
          <w:kern w:val="0"/>
          <w:szCs w:val="22"/>
        </w:rPr>
        <w:t xml:space="preserve"> or greater interest.</w:t>
      </w:r>
      <w:r>
        <w:rPr>
          <w:rStyle w:val="FootnoteReference"/>
          <w:snapToGrid/>
          <w:kern w:val="0"/>
          <w:szCs w:val="22"/>
        </w:rPr>
        <w:footnoteReference w:id="11"/>
      </w:r>
      <w:r w:rsidRPr="00C847FD">
        <w:rPr>
          <w:snapToGrid/>
          <w:color w:val="231F20"/>
          <w:kern w:val="0"/>
          <w:szCs w:val="22"/>
        </w:rPr>
        <w:t xml:space="preserve">  The Applicants state that, after the proposed transaction is consummated, Telecom will provide the same incumbent LEC services currently offered by BIT.</w:t>
      </w:r>
      <w:r>
        <w:rPr>
          <w:rStyle w:val="FootnoteReference"/>
          <w:snapToGrid/>
          <w:kern w:val="0"/>
          <w:szCs w:val="22"/>
        </w:rPr>
        <w:footnoteReference w:id="12"/>
      </w:r>
      <w:r w:rsidRPr="00C847FD">
        <w:rPr>
          <w:snapToGrid/>
          <w:color w:val="231F20"/>
          <w:kern w:val="0"/>
          <w:szCs w:val="22"/>
        </w:rPr>
        <w:t xml:space="preserve">  </w:t>
      </w:r>
      <w:r w:rsidR="001503AE">
        <w:rPr>
          <w:snapToGrid/>
          <w:color w:val="231F20"/>
          <w:kern w:val="0"/>
          <w:szCs w:val="22"/>
        </w:rPr>
        <w:t>Broadband</w:t>
      </w:r>
      <w:r w:rsidR="00AC7A38">
        <w:rPr>
          <w:snapToGrid/>
          <w:color w:val="231F20"/>
          <w:kern w:val="0"/>
          <w:szCs w:val="22"/>
        </w:rPr>
        <w:t xml:space="preserve"> </w:t>
      </w:r>
      <w:r w:rsidR="00335DC9">
        <w:rPr>
          <w:snapToGrid/>
          <w:kern w:val="0"/>
          <w:szCs w:val="22"/>
        </w:rPr>
        <w:t>receive</w:t>
      </w:r>
      <w:r w:rsidR="002350C2">
        <w:rPr>
          <w:snapToGrid/>
          <w:kern w:val="0"/>
          <w:szCs w:val="22"/>
        </w:rPr>
        <w:t xml:space="preserve">s </w:t>
      </w:r>
      <w:r w:rsidR="00064A57">
        <w:rPr>
          <w:snapToGrid/>
          <w:kern w:val="0"/>
          <w:szCs w:val="22"/>
        </w:rPr>
        <w:t>fixed</w:t>
      </w:r>
      <w:r w:rsidR="002350C2">
        <w:rPr>
          <w:snapToGrid/>
          <w:kern w:val="0"/>
          <w:szCs w:val="22"/>
        </w:rPr>
        <w:t xml:space="preserve"> support through the Connect America Fund Phase II (Auction 903)</w:t>
      </w:r>
      <w:r w:rsidR="00335DC9">
        <w:rPr>
          <w:snapToGrid/>
          <w:kern w:val="0"/>
          <w:szCs w:val="22"/>
        </w:rPr>
        <w:t>.</w:t>
      </w:r>
      <w:r>
        <w:rPr>
          <w:rStyle w:val="FootnoteReference"/>
          <w:snapToGrid/>
          <w:kern w:val="0"/>
          <w:szCs w:val="22"/>
        </w:rPr>
        <w:footnoteReference w:id="13"/>
      </w:r>
      <w:r w:rsidR="00E0389F">
        <w:rPr>
          <w:szCs w:val="22"/>
        </w:rPr>
        <w:t xml:space="preserve"> </w:t>
      </w:r>
      <w:r w:rsidR="00121DB7">
        <w:rPr>
          <w:szCs w:val="22"/>
        </w:rPr>
        <w:t xml:space="preserve"> </w:t>
      </w:r>
    </w:p>
    <w:p w:rsidR="007C02C8" w:rsidRPr="007C02C8" w:rsidP="0068256F" w14:paraId="66E2A64C" w14:textId="14279218">
      <w:pPr>
        <w:autoSpaceDE w:val="0"/>
        <w:autoSpaceDN w:val="0"/>
        <w:adjustRightInd w:val="0"/>
        <w:rPr>
          <w:bCs/>
          <w:snapToGrid/>
          <w:kern w:val="0"/>
          <w:szCs w:val="22"/>
        </w:rPr>
      </w:pPr>
      <w:r>
        <w:rPr>
          <w:b/>
        </w:rPr>
        <w:br/>
      </w:r>
      <w:r>
        <w:rPr>
          <w:b/>
        </w:rPr>
        <w:tab/>
      </w:r>
      <w:r w:rsidRPr="007C02C8">
        <w:rPr>
          <w:snapToGrid/>
          <w:kern w:val="0"/>
          <w:szCs w:val="22"/>
        </w:rPr>
        <w:t>Pursuant to the terms of the proposed Asset Purchase Agreement (the Agreement), Broadband will purchase substantially all of the assets and business operations of BIT.</w:t>
      </w:r>
      <w:r>
        <w:rPr>
          <w:rStyle w:val="FootnoteReference"/>
          <w:snapToGrid/>
          <w:kern w:val="0"/>
          <w:szCs w:val="22"/>
        </w:rPr>
        <w:footnoteReference w:id="14"/>
      </w:r>
      <w:r w:rsidRPr="007C02C8">
        <w:rPr>
          <w:snapToGrid/>
          <w:kern w:val="0"/>
          <w:szCs w:val="22"/>
        </w:rPr>
        <w:t xml:space="preserve">  Prior to the consummation of the proposed transaction, Broadband will exercise its right under the Agreement to transfer the acquired facilities to Telecom.</w:t>
      </w:r>
      <w:r>
        <w:rPr>
          <w:rStyle w:val="FootnoteReference"/>
          <w:snapToGrid/>
          <w:kern w:val="0"/>
          <w:szCs w:val="22"/>
        </w:rPr>
        <w:footnoteReference w:id="15"/>
      </w:r>
      <w:r w:rsidRPr="007C02C8">
        <w:rPr>
          <w:snapToGrid/>
          <w:kern w:val="0"/>
          <w:szCs w:val="22"/>
        </w:rPr>
        <w:t xml:space="preserve">  Upon consummation of the Agreement, Broadband will redeem BIT’s membership interests, and BIT will cease to exist thereafter.</w:t>
      </w:r>
      <w:r>
        <w:rPr>
          <w:rStyle w:val="FootnoteReference"/>
          <w:snapToGrid/>
          <w:kern w:val="0"/>
          <w:szCs w:val="22"/>
        </w:rPr>
        <w:footnoteReference w:id="16"/>
      </w:r>
      <w:r w:rsidRPr="007C02C8">
        <w:rPr>
          <w:snapToGrid/>
          <w:kern w:val="0"/>
          <w:szCs w:val="22"/>
        </w:rPr>
        <w:t xml:space="preserve">  Control of the facilities will transfer directly from BIT to Telecom.</w:t>
      </w:r>
      <w:r>
        <w:rPr>
          <w:rStyle w:val="FootnoteReference"/>
          <w:snapToGrid/>
          <w:kern w:val="0"/>
          <w:szCs w:val="22"/>
        </w:rPr>
        <w:footnoteReference w:id="17"/>
      </w:r>
      <w:r w:rsidRPr="007C02C8">
        <w:rPr>
          <w:snapToGrid/>
          <w:kern w:val="0"/>
          <w:szCs w:val="22"/>
        </w:rPr>
        <w:t xml:space="preserve">  This would allow for the continued availability of all of the existing services in BIT’s service area without interruption.</w:t>
      </w:r>
      <w:r>
        <w:rPr>
          <w:rStyle w:val="FootnoteReference"/>
          <w:snapToGrid/>
          <w:kern w:val="0"/>
          <w:szCs w:val="22"/>
        </w:rPr>
        <w:footnoteReference w:id="18"/>
      </w:r>
      <w:r w:rsidRPr="007C02C8">
        <w:rPr>
          <w:snapToGrid/>
          <w:kern w:val="0"/>
          <w:szCs w:val="22"/>
        </w:rPr>
        <w:t xml:space="preserve">  </w:t>
      </w:r>
    </w:p>
    <w:p w:rsidR="006D2EA5" w:rsidP="008C7AD1" w14:paraId="6F11B174" w14:textId="77777777">
      <w:pPr>
        <w:rPr>
          <w:szCs w:val="22"/>
        </w:rPr>
      </w:pPr>
    </w:p>
    <w:p w:rsidR="0047633D" w:rsidRPr="00A530A3" w:rsidP="0047633D" w14:paraId="48DAE04A" w14:textId="04F869A1">
      <w:pPr>
        <w:tabs>
          <w:tab w:val="left" w:pos="3210"/>
        </w:tabs>
        <w:ind w:firstLine="720"/>
        <w:rPr>
          <w:snapToGrid/>
          <w:kern w:val="0"/>
          <w:szCs w:val="22"/>
        </w:rPr>
      </w:pPr>
      <w:r w:rsidRPr="00034BE8">
        <w:rPr>
          <w:rFonts w:ascii="TimesNewRomanPSMT" w:hAnsi="TimesNewRomanPSMT" w:cs="TimesNewRomanPSMT"/>
          <w:i/>
          <w:szCs w:val="22"/>
          <w:u w:val="single"/>
        </w:rPr>
        <w:t>Discussion</w:t>
      </w:r>
      <w:r>
        <w:rPr>
          <w:rFonts w:ascii="TimesNewRomanPSMT" w:hAnsi="TimesNewRomanPSMT" w:cs="TimesNewRomanPSMT"/>
          <w:szCs w:val="22"/>
        </w:rPr>
        <w:t xml:space="preserve">.  </w:t>
      </w:r>
      <w:r w:rsidRPr="00A530A3">
        <w:rPr>
          <w:szCs w:val="22"/>
        </w:rPr>
        <w:t xml:space="preserve">The Applicants request approval to consummate </w:t>
      </w:r>
      <w:r w:rsidR="007C02C8">
        <w:rPr>
          <w:szCs w:val="22"/>
        </w:rPr>
        <w:t xml:space="preserve">a </w:t>
      </w:r>
      <w:r w:rsidRPr="00A530A3">
        <w:rPr>
          <w:szCs w:val="22"/>
        </w:rPr>
        <w:t>transaction involving companies that receive high-cost universal service support under the different mechanisms of fixed</w:t>
      </w:r>
      <w:r w:rsidR="00064A57">
        <w:rPr>
          <w:szCs w:val="22"/>
        </w:rPr>
        <w:t xml:space="preserve"> </w:t>
      </w:r>
      <w:r w:rsidRPr="00A530A3">
        <w:rPr>
          <w:szCs w:val="22"/>
        </w:rPr>
        <w:t>support and cost-based support.  The Commission has found that th</w:t>
      </w:r>
      <w:r w:rsidR="00714BDA">
        <w:rPr>
          <w:szCs w:val="22"/>
        </w:rPr>
        <w:t>i</w:t>
      </w:r>
      <w:r w:rsidRPr="00A530A3">
        <w:rPr>
          <w:szCs w:val="22"/>
        </w:rPr>
        <w:t>s type of mixed support transaction could result in potential harm to its goal of ensuring that limited universal service funding is distributed efficiently and effectively.</w:t>
      </w:r>
      <w:r>
        <w:rPr>
          <w:szCs w:val="22"/>
          <w:vertAlign w:val="superscript"/>
        </w:rPr>
        <w:footnoteReference w:id="19"/>
      </w:r>
      <w:r w:rsidRPr="00A530A3">
        <w:rPr>
          <w:szCs w:val="22"/>
        </w:rPr>
        <w:t xml:space="preserve">  </w:t>
      </w:r>
      <w:r w:rsidRPr="00A530A3">
        <w:t xml:space="preserve">When a company receiving a fixed level of support acquires or is acquired by a company receiving support based on its costs, the combined companies could, and in some instances might have an economic incentive to, shift certain shared or common costs from the </w:t>
      </w:r>
      <w:r w:rsidR="00064A57">
        <w:t>fixed</w:t>
      </w:r>
      <w:r w:rsidRPr="00A530A3">
        <w:t xml:space="preserve"> support company to the cost-based support company.</w:t>
      </w:r>
      <w:r>
        <w:rPr>
          <w:rStyle w:val="FootnoteReference"/>
        </w:rPr>
        <w:footnoteReference w:id="20"/>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 xml:space="preserve">not </w:t>
      </w:r>
      <w:r w:rsidRPr="00A530A3">
        <w:rPr>
          <w:snapToGrid/>
          <w:kern w:val="0"/>
          <w:szCs w:val="22"/>
        </w:rPr>
        <w:t>because of any new investment, expense, or buildout, but rather solely because of the application of accounting procedures.</w:t>
      </w:r>
      <w:r>
        <w:rPr>
          <w:rStyle w:val="FootnoteReference"/>
          <w:snapToGrid/>
          <w:kern w:val="0"/>
          <w:szCs w:val="22"/>
        </w:rPr>
        <w:footnoteReference w:id="21"/>
      </w:r>
      <w:r w:rsidRPr="00A530A3">
        <w:rPr>
          <w:snapToGrid/>
          <w:kern w:val="0"/>
          <w:szCs w:val="22"/>
        </w:rPr>
        <w:t xml:space="preserve">  Such an outcome is inconsistent with the Commission’s general expectation that transactions generate efficiencies that reduce the combined company’s costs.</w:t>
      </w:r>
      <w:r>
        <w:rPr>
          <w:rStyle w:val="FootnoteReference"/>
          <w:snapToGrid/>
          <w:kern w:val="0"/>
          <w:szCs w:val="22"/>
        </w:rPr>
        <w:footnoteReference w:id="22"/>
      </w:r>
      <w:r w:rsidRPr="00A530A3">
        <w:rPr>
          <w:snapToGrid/>
          <w:kern w:val="0"/>
          <w:sz w:val="13"/>
          <w:szCs w:val="13"/>
        </w:rPr>
        <w:t xml:space="preserve">  </w:t>
      </w:r>
      <w:r w:rsidRPr="00A530A3">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23"/>
      </w:r>
    </w:p>
    <w:p w:rsidR="0047633D" w:rsidP="0047633D" w14:paraId="0FDB5140" w14:textId="77777777">
      <w:pPr>
        <w:widowControl/>
        <w:autoSpaceDE w:val="0"/>
        <w:autoSpaceDN w:val="0"/>
        <w:adjustRightInd w:val="0"/>
        <w:rPr>
          <w:rFonts w:ascii="TimesNewRomanPSMT" w:hAnsi="TimesNewRomanPSMT" w:cs="TimesNewRomanPSMT"/>
          <w:snapToGrid/>
          <w:kern w:val="0"/>
          <w:szCs w:val="22"/>
        </w:rPr>
      </w:pPr>
    </w:p>
    <w:p w:rsidR="003F2288" w:rsidP="003F2288" w14:paraId="6BC8B9F9" w14:textId="77777777">
      <w:pPr>
        <w:tabs>
          <w:tab w:val="left" w:pos="3210"/>
        </w:tabs>
        <w:ind w:firstLine="720"/>
        <w:rPr>
          <w:szCs w:val="22"/>
        </w:rPr>
      </w:pPr>
      <w:r>
        <w:rPr>
          <w:szCs w:val="22"/>
        </w:rPr>
        <w:t xml:space="preserve">In the </w:t>
      </w:r>
      <w:r w:rsidRPr="00496424">
        <w:rPr>
          <w:i/>
          <w:szCs w:val="22"/>
        </w:rPr>
        <w:t>Hargray</w:t>
      </w:r>
      <w:r w:rsidRPr="00496424">
        <w:rPr>
          <w:i/>
          <w:szCs w:val="22"/>
        </w:rPr>
        <w:t>/</w:t>
      </w:r>
      <w:r w:rsidRPr="00496424">
        <w:rPr>
          <w:i/>
          <w:szCs w:val="22"/>
        </w:rPr>
        <w:t>ComSouth</w:t>
      </w:r>
      <w:r w:rsidRPr="00496424">
        <w:rPr>
          <w:i/>
          <w:szCs w:val="22"/>
        </w:rPr>
        <w:t xml:space="preserve"> Order</w:t>
      </w:r>
      <w:r>
        <w:rPr>
          <w:szCs w:val="22"/>
        </w:rPr>
        <w:t xml:space="preserve">, in which the Commission approved a mixed support transaction, it sought to </w:t>
      </w:r>
      <w:r w:rsidRPr="008B3790">
        <w:rPr>
          <w:szCs w:val="22"/>
        </w:rPr>
        <w:t>pr</w:t>
      </w:r>
      <w:r>
        <w:rPr>
          <w:szCs w:val="22"/>
        </w:rPr>
        <w:t>event cost shifting and to pr</w:t>
      </w:r>
      <w:r w:rsidRPr="008B3790">
        <w:rPr>
          <w:szCs w:val="22"/>
        </w:rPr>
        <w:t xml:space="preserve">otect the </w:t>
      </w:r>
      <w:r>
        <w:rPr>
          <w:szCs w:val="22"/>
        </w:rPr>
        <w:t>finite resources of the high-cost universal service fund by imposing a limited condition that capped high-cost universal service support based on the operating expenses of the entity receiving cost-based support.</w:t>
      </w:r>
      <w:r>
        <w:rPr>
          <w:rStyle w:val="FootnoteReference"/>
          <w:szCs w:val="22"/>
        </w:rPr>
        <w:footnoteReference w:id="24"/>
      </w:r>
      <w:r>
        <w:rPr>
          <w:szCs w:val="22"/>
        </w:rPr>
        <w:t xml:space="preserve">  The Commission also </w:t>
      </w:r>
      <w:r w:rsidRPr="008B3790">
        <w:rPr>
          <w:szCs w:val="22"/>
        </w:rPr>
        <w:t xml:space="preserve">directed the Bureau to </w:t>
      </w:r>
      <w:r>
        <w:rPr>
          <w:szCs w:val="22"/>
        </w:rPr>
        <w:t>impose the same limited condition on future transactions between parties receiving different types of high-cost universal service support.</w:t>
      </w:r>
      <w:r>
        <w:rPr>
          <w:szCs w:val="22"/>
          <w:vertAlign w:val="superscript"/>
        </w:rPr>
        <w:footnoteReference w:id="25"/>
      </w:r>
      <w:r w:rsidRPr="008B3790">
        <w:rPr>
          <w:szCs w:val="22"/>
        </w:rPr>
        <w:t xml:space="preserve">  </w:t>
      </w:r>
    </w:p>
    <w:p w:rsidR="003F2288" w:rsidP="003F2288" w14:paraId="0E93685E" w14:textId="77777777">
      <w:pPr>
        <w:tabs>
          <w:tab w:val="left" w:pos="3210"/>
        </w:tabs>
        <w:ind w:firstLine="720"/>
        <w:rPr>
          <w:szCs w:val="22"/>
        </w:rPr>
      </w:pPr>
    </w:p>
    <w:p w:rsidR="003F2288" w:rsidP="003F2288" w14:paraId="481788A2" w14:textId="48BD8AEB">
      <w:pPr>
        <w:tabs>
          <w:tab w:val="left" w:pos="3210"/>
        </w:tabs>
        <w:ind w:firstLine="720"/>
      </w:pPr>
      <w:r>
        <w:rPr>
          <w:szCs w:val="22"/>
        </w:rPr>
        <w:t>Telecom, which is</w:t>
      </w:r>
      <w:r w:rsidR="00423648">
        <w:rPr>
          <w:szCs w:val="22"/>
        </w:rPr>
        <w:t xml:space="preserve"> affiliated with Broadband</w:t>
      </w:r>
      <w:r w:rsidR="007069DD">
        <w:rPr>
          <w:szCs w:val="22"/>
        </w:rPr>
        <w:t>,</w:t>
      </w:r>
      <w:r>
        <w:rPr>
          <w:szCs w:val="22"/>
        </w:rPr>
        <w:t xml:space="preserve"> a fixed support company, </w:t>
      </w:r>
      <w:r w:rsidR="007069DD">
        <w:rPr>
          <w:szCs w:val="22"/>
        </w:rPr>
        <w:t xml:space="preserve">seeks to acquire </w:t>
      </w:r>
      <w:r w:rsidR="00777263">
        <w:rPr>
          <w:szCs w:val="22"/>
        </w:rPr>
        <w:t xml:space="preserve">the operations of </w:t>
      </w:r>
      <w:r>
        <w:rPr>
          <w:szCs w:val="22"/>
        </w:rPr>
        <w:t>BIT</w:t>
      </w:r>
      <w:r w:rsidR="007069DD">
        <w:rPr>
          <w:szCs w:val="22"/>
        </w:rPr>
        <w:t xml:space="preserve">, a </w:t>
      </w:r>
      <w:r>
        <w:rPr>
          <w:szCs w:val="22"/>
        </w:rPr>
        <w:t>cost</w:t>
      </w:r>
      <w:r w:rsidR="007069DD">
        <w:rPr>
          <w:szCs w:val="22"/>
        </w:rPr>
        <w:t>-based support company.  T</w:t>
      </w:r>
      <w:r w:rsidR="00AB2ED7">
        <w:rPr>
          <w:szCs w:val="22"/>
        </w:rPr>
        <w:t>he</w:t>
      </w:r>
      <w:r w:rsidR="007069DD">
        <w:rPr>
          <w:szCs w:val="22"/>
        </w:rPr>
        <w:t>refore, the</w:t>
      </w:r>
      <w:r w:rsidR="00AB2ED7">
        <w:rPr>
          <w:szCs w:val="22"/>
        </w:rPr>
        <w:t xml:space="preserve"> potential for harm caused by cost-shifting is </w:t>
      </w:r>
      <w:r w:rsidR="00423648">
        <w:rPr>
          <w:szCs w:val="22"/>
        </w:rPr>
        <w:t xml:space="preserve">a </w:t>
      </w:r>
      <w:r w:rsidR="00AB2ED7">
        <w:rPr>
          <w:szCs w:val="22"/>
        </w:rPr>
        <w:t>transaction</w:t>
      </w:r>
      <w:r w:rsidR="00423648">
        <w:rPr>
          <w:szCs w:val="22"/>
        </w:rPr>
        <w:t>-specific harm</w:t>
      </w:r>
      <w:r w:rsidR="00AB2ED7">
        <w:rPr>
          <w:szCs w:val="22"/>
        </w:rPr>
        <w:t xml:space="preserve">.  </w:t>
      </w:r>
      <w:r w:rsidRPr="00C0281C" w:rsidR="00AB2ED7">
        <w:rPr>
          <w:szCs w:val="22"/>
        </w:rPr>
        <w:t>Accordingly, to mitigate the potential for cost shifting, we grant the Application</w:t>
      </w:r>
      <w:r w:rsidR="00E556AA">
        <w:rPr>
          <w:szCs w:val="22"/>
        </w:rPr>
        <w:t xml:space="preserve"> </w:t>
      </w:r>
      <w:r w:rsidRPr="00C0281C" w:rsidR="00AB2ED7">
        <w:rPr>
          <w:szCs w:val="22"/>
        </w:rPr>
        <w:t xml:space="preserve">subject to the condition adopted in the </w:t>
      </w:r>
      <w:r w:rsidRPr="00C0281C" w:rsidR="00AB2ED7">
        <w:rPr>
          <w:i/>
          <w:szCs w:val="22"/>
        </w:rPr>
        <w:t>Hargray</w:t>
      </w:r>
      <w:r w:rsidRPr="00C0281C" w:rsidR="00AB2ED7">
        <w:rPr>
          <w:i/>
          <w:szCs w:val="22"/>
        </w:rPr>
        <w:t>/</w:t>
      </w:r>
      <w:r w:rsidRPr="00C0281C" w:rsidR="00AB2ED7">
        <w:rPr>
          <w:i/>
          <w:szCs w:val="22"/>
        </w:rPr>
        <w:t>ComSouth</w:t>
      </w:r>
      <w:r w:rsidRPr="00C0281C" w:rsidR="00AB2ED7">
        <w:rPr>
          <w:i/>
          <w:szCs w:val="22"/>
        </w:rPr>
        <w:t xml:space="preserve"> Order</w:t>
      </w:r>
      <w:r w:rsidRPr="00C0281C" w:rsidR="00AB2ED7">
        <w:rPr>
          <w:szCs w:val="22"/>
        </w:rPr>
        <w:t>.</w:t>
      </w:r>
      <w:r>
        <w:rPr>
          <w:rStyle w:val="FootnoteReference"/>
        </w:rPr>
        <w:footnoteReference w:id="26"/>
      </w:r>
      <w:r w:rsidRPr="00C0281C" w:rsidR="00AB2ED7">
        <w:t xml:space="preserve">  </w:t>
      </w:r>
      <w:r w:rsidRPr="00C0281C" w:rsidR="00AB2ED7">
        <w:rPr>
          <w:szCs w:val="22"/>
        </w:rPr>
        <w:t>The combined operating expense</w:t>
      </w:r>
      <w:r w:rsidR="00AB2ED7">
        <w:rPr>
          <w:szCs w:val="22"/>
        </w:rPr>
        <w:t>s</w:t>
      </w:r>
      <w:r w:rsidRPr="00C0281C" w:rsidR="00AB2ED7">
        <w:rPr>
          <w:szCs w:val="22"/>
        </w:rPr>
        <w:t xml:space="preserve"> of </w:t>
      </w:r>
      <w:r w:rsidR="00DC3493">
        <w:rPr>
          <w:szCs w:val="22"/>
        </w:rPr>
        <w:t>the</w:t>
      </w:r>
      <w:r w:rsidR="00AB2ED7">
        <w:rPr>
          <w:szCs w:val="22"/>
        </w:rPr>
        <w:t xml:space="preserve"> post-consummation company’s </w:t>
      </w:r>
      <w:r w:rsidRPr="00C0281C" w:rsidR="00AB2ED7">
        <w:rPr>
          <w:szCs w:val="22"/>
        </w:rPr>
        <w:t xml:space="preserve">rate-of-return </w:t>
      </w:r>
      <w:r w:rsidR="00AB2ED7">
        <w:rPr>
          <w:szCs w:val="22"/>
        </w:rPr>
        <w:t>affiliates</w:t>
      </w:r>
      <w:r>
        <w:rPr>
          <w:rStyle w:val="FootnoteReference"/>
          <w:szCs w:val="22"/>
        </w:rPr>
        <w:footnoteReference w:id="27"/>
      </w:r>
      <w:r w:rsidRPr="00C0281C" w:rsidR="00AB2ED7">
        <w:rPr>
          <w:szCs w:val="22"/>
        </w:rPr>
        <w:t xml:space="preserve"> shall be capped</w:t>
      </w:r>
      <w:r w:rsidRPr="00647A6E" w:rsidR="00AB2ED7">
        <w:rPr>
          <w:szCs w:val="22"/>
        </w:rPr>
        <w:t xml:space="preserve"> at the averaged combined operating expense</w:t>
      </w:r>
      <w:r w:rsidR="00AB2ED7">
        <w:rPr>
          <w:szCs w:val="22"/>
        </w:rPr>
        <w:t>s</w:t>
      </w:r>
      <w:r w:rsidRPr="00647A6E" w:rsidR="00AB2ED7">
        <w:rPr>
          <w:szCs w:val="22"/>
        </w:rPr>
        <w:t xml:space="preserve"> of the three calendar years preceding the transaction</w:t>
      </w:r>
      <w:r w:rsidR="00DC3493">
        <w:rPr>
          <w:szCs w:val="22"/>
        </w:rPr>
        <w:t>’</w:t>
      </w:r>
      <w:r w:rsidR="001D1964">
        <w:rPr>
          <w:szCs w:val="22"/>
        </w:rPr>
        <w:t>s</w:t>
      </w:r>
      <w:r w:rsidRPr="00647A6E" w:rsidR="00AB2ED7">
        <w:rPr>
          <w:szCs w:val="22"/>
        </w:rPr>
        <w:t xml:space="preserve"> closing date for which the operating expense data are available</w:t>
      </w:r>
      <w:r w:rsidRPr="00C0281C" w:rsidR="00AB2ED7">
        <w:t>.</w:t>
      </w:r>
      <w:r>
        <w:rPr>
          <w:rStyle w:val="FootnoteReference"/>
        </w:rPr>
        <w:footnoteReference w:id="28"/>
      </w:r>
      <w:r w:rsidRPr="00C0281C" w:rsidR="00AB2ED7">
        <w:t xml:space="preserve">  </w:t>
      </w:r>
    </w:p>
    <w:p w:rsidR="003F2288" w:rsidP="003F2288" w14:paraId="49E18851" w14:textId="77777777">
      <w:pPr>
        <w:tabs>
          <w:tab w:val="left" w:pos="3210"/>
        </w:tabs>
        <w:ind w:firstLine="720"/>
      </w:pPr>
    </w:p>
    <w:p w:rsidR="003F2288" w:rsidRPr="00A530A3" w:rsidP="003F2288" w14:paraId="6C37609E" w14:textId="216DDD27">
      <w:pPr>
        <w:autoSpaceDE w:val="0"/>
        <w:autoSpaceDN w:val="0"/>
        <w:adjustRightInd w:val="0"/>
        <w:ind w:firstLine="720"/>
      </w:pPr>
      <w:r w:rsidRPr="00A530A3">
        <w:t>The cap will apply to cost recovery under both HCLS and CAF-BLS and will be applied proportionately to each affiliate’s accounts used to determine the affiliate’s eligible operating expense for HCLS and CAF-BLS.</w:t>
      </w:r>
      <w:r>
        <w:rPr>
          <w:rStyle w:val="FootnoteReference"/>
        </w:rPr>
        <w:footnoteReference w:id="29"/>
      </w:r>
      <w:r w:rsidRPr="00A530A3">
        <w:t xml:space="preserve">  For example, if the cap requires that a post-consummation </w:t>
      </w:r>
      <w:r w:rsidRPr="00A530A3">
        <w:rPr>
          <w:szCs w:val="22"/>
        </w:rPr>
        <w:t>company’s</w:t>
      </w:r>
      <w:r w:rsidRPr="00A530A3">
        <w:t xml:space="preserve"> eligible operating expense be reduced by 10</w:t>
      </w:r>
      <w:r w:rsidR="00534B0C">
        <w:t>%</w:t>
      </w:r>
      <w:r w:rsidRPr="00A530A3">
        <w:t xml:space="preserve">, then each account used to determine each rate-of-return affiliate’s </w:t>
      </w:r>
      <w:r w:rsidRPr="00A530A3">
        <w:t>eligible operating expense</w:t>
      </w:r>
      <w:r>
        <w:t>s</w:t>
      </w:r>
      <w:r w:rsidRPr="00A530A3">
        <w:t xml:space="preserve"> shall be reduced by 10</w:t>
      </w:r>
      <w:r w:rsidR="00534B0C">
        <w:t>%</w:t>
      </w:r>
      <w:r w:rsidRPr="00A530A3">
        <w:t>.</w:t>
      </w:r>
      <w:r>
        <w:rPr>
          <w:rStyle w:val="FootnoteReference"/>
        </w:rPr>
        <w:footnoteReference w:id="30"/>
      </w:r>
      <w:r w:rsidRPr="00A530A3">
        <w:t xml:space="preserve">  For purposes of this cap, operating expense</w:t>
      </w:r>
      <w:r>
        <w:t>s</w:t>
      </w:r>
      <w:r w:rsidRPr="00A530A3">
        <w:t xml:space="preserve"> shall include maintenance, network support/network operations/general, benefits, rent expenses, and corporate operations, while depreciation, return on investment, and taxes shall be excluded.</w:t>
      </w:r>
      <w:r>
        <w:rPr>
          <w:rStyle w:val="FootnoteReference"/>
        </w:rPr>
        <w:footnoteReference w:id="31"/>
      </w:r>
    </w:p>
    <w:p w:rsidR="003F2288" w:rsidP="003F2288" w14:paraId="23827B65" w14:textId="77777777">
      <w:pPr>
        <w:autoSpaceDE w:val="0"/>
        <w:autoSpaceDN w:val="0"/>
        <w:adjustRightInd w:val="0"/>
        <w:ind w:firstLine="720"/>
      </w:pPr>
    </w:p>
    <w:p w:rsidR="003F2288" w:rsidP="003F2288" w14:paraId="5FC49E0B" w14:textId="0EC9D818">
      <w:pPr>
        <w:autoSpaceDE w:val="0"/>
        <w:autoSpaceDN w:val="0"/>
        <w:adjustRightInd w:val="0"/>
        <w:ind w:firstLine="720"/>
      </w:pPr>
      <w:r>
        <w:t>For all covered entities,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32"/>
      </w:r>
      <w:r w:rsidRPr="00A44430">
        <w:t xml:space="preserve">  </w:t>
      </w:r>
      <w:r w:rsidRPr="006650A4">
        <w:t>This cap shall remain in effect for seven years from the consummation of the transaction.</w:t>
      </w:r>
      <w:r>
        <w:rPr>
          <w:rStyle w:val="FootnoteReference"/>
        </w:rPr>
        <w:footnoteReference w:id="33"/>
      </w:r>
      <w:r w:rsidRPr="006650A4">
        <w:t xml:space="preserve">  The condition will </w:t>
      </w:r>
      <w:r>
        <w:t xml:space="preserve">also </w:t>
      </w:r>
      <w:r w:rsidRPr="006650A4">
        <w:t>sunset if</w:t>
      </w:r>
      <w:r>
        <w:t xml:space="preserve"> all of a post-consummation company’s </w:t>
      </w:r>
      <w:r w:rsidRPr="006650A4">
        <w:t xml:space="preserve">rate-of-return </w:t>
      </w:r>
      <w:r>
        <w:t>affiliates</w:t>
      </w:r>
      <w:r w:rsidRPr="006650A4">
        <w:t xml:space="preserve"> become </w:t>
      </w:r>
      <w:r w:rsidR="00064A57">
        <w:t>fixed</w:t>
      </w:r>
      <w:r w:rsidRPr="006650A4">
        <w:t xml:space="preserve"> support companies at any point during the seven-year period.</w:t>
      </w:r>
      <w:r>
        <w:rPr>
          <w:rStyle w:val="FootnoteReference"/>
        </w:rPr>
        <w:footnoteReference w:id="34"/>
      </w:r>
    </w:p>
    <w:p w:rsidR="003F2288" w:rsidP="003F2288" w14:paraId="14EFE95C" w14:textId="77777777">
      <w:pPr>
        <w:ind w:firstLine="720"/>
        <w:rPr>
          <w:color w:val="000000"/>
          <w:szCs w:val="22"/>
        </w:rPr>
      </w:pPr>
    </w:p>
    <w:p w:rsidR="003F2288" w:rsidRPr="00E415F4" w:rsidP="003F2288" w14:paraId="52D82E56" w14:textId="67C3086B">
      <w:pPr>
        <w:ind w:firstLine="720"/>
        <w:rPr>
          <w:color w:val="000000"/>
          <w:szCs w:val="22"/>
        </w:rPr>
      </w:pPr>
      <w:r>
        <w:rPr>
          <w:color w:val="000000"/>
          <w:szCs w:val="22"/>
        </w:rPr>
        <w:t xml:space="preserve">We </w:t>
      </w:r>
      <w:r w:rsidRPr="00E415F4">
        <w:rPr>
          <w:color w:val="000000"/>
          <w:szCs w:val="22"/>
        </w:rPr>
        <w:t xml:space="preserve">find, upon consideration of the record, that grant of the </w:t>
      </w:r>
      <w:r>
        <w:rPr>
          <w:color w:val="000000"/>
          <w:szCs w:val="22"/>
        </w:rPr>
        <w:t>A</w:t>
      </w:r>
      <w:r w:rsidRPr="00E415F4">
        <w:rPr>
          <w:color w:val="000000"/>
          <w:szCs w:val="22"/>
        </w:rPr>
        <w:t>pplication</w:t>
      </w:r>
      <w:r>
        <w:rPr>
          <w:color w:val="000000"/>
          <w:szCs w:val="22"/>
        </w:rPr>
        <w:t xml:space="preserve"> listed above</w:t>
      </w:r>
      <w:r w:rsidRPr="00E415F4">
        <w:rPr>
          <w:color w:val="000000"/>
          <w:szCs w:val="22"/>
        </w:rPr>
        <w:t>, subject to compliance with the</w:t>
      </w:r>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35"/>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 xml:space="preserve">pplication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36"/>
      </w:r>
      <w:r w:rsidRPr="00E415F4">
        <w:rPr>
          <w:color w:val="000000"/>
          <w:szCs w:val="22"/>
        </w:rPr>
        <w:t xml:space="preserve">  </w:t>
      </w:r>
    </w:p>
    <w:p w:rsidR="003F2288" w:rsidRPr="004F7405" w:rsidP="003F2288" w14:paraId="4A7670C2" w14:textId="77777777">
      <w:pPr>
        <w:rPr>
          <w:color w:val="000000"/>
          <w:szCs w:val="22"/>
        </w:rPr>
      </w:pPr>
    </w:p>
    <w:p w:rsidR="003F2288" w:rsidP="003F2288" w14:paraId="3CD0A24F" w14:textId="77777777">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r>
        <w:rPr>
          <w:color w:val="000000"/>
          <w:szCs w:val="22"/>
        </w:rPr>
        <w:t xml:space="preserve">  </w:t>
      </w:r>
      <w:r w:rsidRPr="00834342">
        <w:rPr>
          <w:color w:val="000000"/>
          <w:szCs w:val="22"/>
        </w:rPr>
        <w:t xml:space="preserve">For further information, please contact </w:t>
      </w:r>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p w:rsidR="003F2288" w:rsidP="003F2288" w14:paraId="2AEF96C1" w14:textId="77777777">
      <w:pPr>
        <w:ind w:firstLine="720"/>
        <w:rPr>
          <w:color w:val="000000"/>
          <w:szCs w:val="22"/>
        </w:rPr>
      </w:pPr>
    </w:p>
    <w:p w:rsidR="009560CD" w:rsidRPr="0073741A" w:rsidP="009560CD" w14:paraId="44772CB9" w14:textId="77777777">
      <w:pPr>
        <w:jc w:val="center"/>
        <w:rPr>
          <w:color w:val="000000"/>
          <w:szCs w:val="22"/>
        </w:rPr>
      </w:pPr>
      <w:r>
        <w:rPr>
          <w:color w:val="000000"/>
          <w:szCs w:val="22"/>
        </w:rPr>
        <w:t>-FCC-</w:t>
      </w:r>
    </w:p>
    <w:p w:rsidR="009560CD" w:rsidRPr="00930ECF" w:rsidP="009560CD" w14:paraId="2AFBA168" w14:textId="77777777">
      <w:pPr>
        <w:jc w:val="right"/>
        <w:rPr>
          <w:sz w:val="24"/>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261D6C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9560CD" w14:paraId="51D108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3CC8068D"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14:paraId="02FBE4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2ED7" w14:paraId="176185AA" w14:textId="77777777">
      <w:r>
        <w:separator/>
      </w:r>
    </w:p>
  </w:footnote>
  <w:footnote w:type="continuationSeparator" w:id="1">
    <w:p w:rsidR="00AB2ED7" w14:paraId="3BA35018" w14:textId="77777777">
      <w:pPr>
        <w:rPr>
          <w:sz w:val="20"/>
        </w:rPr>
      </w:pPr>
      <w:r>
        <w:rPr>
          <w:sz w:val="20"/>
        </w:rPr>
        <w:t xml:space="preserve">(Continued from previous page)  </w:t>
      </w:r>
      <w:r>
        <w:rPr>
          <w:sz w:val="20"/>
        </w:rPr>
        <w:separator/>
      </w:r>
    </w:p>
  </w:footnote>
  <w:footnote w:type="continuationNotice" w:id="2">
    <w:p w:rsidR="00AB2ED7" w:rsidP="009560CD" w14:paraId="75FE1D5E" w14:textId="77777777">
      <w:pPr>
        <w:jc w:val="right"/>
        <w:rPr>
          <w:sz w:val="20"/>
        </w:rPr>
      </w:pPr>
      <w:r>
        <w:rPr>
          <w:sz w:val="20"/>
        </w:rPr>
        <w:t>(continued….)</w:t>
      </w:r>
    </w:p>
  </w:footnote>
  <w:footnote w:id="3">
    <w:p w:rsidR="005C2671" w:rsidRPr="00743A97" w:rsidP="005C2671" w14:paraId="001A5545" w14:textId="4026DD38">
      <w:pPr>
        <w:rPr>
          <w:sz w:val="20"/>
        </w:rPr>
      </w:pPr>
      <w:r w:rsidRPr="00743A97">
        <w:rPr>
          <w:rStyle w:val="FootnoteReference"/>
          <w:sz w:val="20"/>
        </w:rPr>
        <w:footnoteRef/>
      </w:r>
      <w:r w:rsidRPr="00743A97">
        <w:rPr>
          <w:sz w:val="20"/>
        </w:rPr>
        <w:t xml:space="preserve"> </w:t>
      </w:r>
      <w:r w:rsidRPr="00743A97">
        <w:rPr>
          <w:i/>
          <w:sz w:val="20"/>
        </w:rPr>
        <w:t>See</w:t>
      </w:r>
      <w:r w:rsidRPr="00743A97">
        <w:rPr>
          <w:sz w:val="20"/>
        </w:rPr>
        <w:t xml:space="preserve"> 47 U.S.C. § 214; 47 CFR §§ 63.03-04.  </w:t>
      </w:r>
      <w:r w:rsidRPr="00743A97" w:rsidR="00743A97">
        <w:rPr>
          <w:sz w:val="20"/>
        </w:rPr>
        <w:t xml:space="preserve">Applicants filed an amended application on January 22, 2020. </w:t>
      </w:r>
      <w:r w:rsidRPr="00743A97" w:rsidR="003C4042">
        <w:rPr>
          <w:sz w:val="20"/>
        </w:rPr>
        <w:t xml:space="preserve">Amended </w:t>
      </w:r>
      <w:r w:rsidRPr="00743A97">
        <w:rPr>
          <w:sz w:val="20"/>
        </w:rPr>
        <w:t xml:space="preserve">Application </w:t>
      </w:r>
      <w:r w:rsidRPr="00743A97" w:rsidR="003C4042">
        <w:rPr>
          <w:sz w:val="20"/>
        </w:rPr>
        <w:t>for Consent to Transfer of Control of Domestic Section 214 Authorization</w:t>
      </w:r>
      <w:r w:rsidRPr="00743A97">
        <w:rPr>
          <w:sz w:val="20"/>
        </w:rPr>
        <w:t>, WC Docket No. 19-3</w:t>
      </w:r>
      <w:r w:rsidRPr="00743A97" w:rsidR="00743A97">
        <w:rPr>
          <w:sz w:val="20"/>
        </w:rPr>
        <w:t>88</w:t>
      </w:r>
      <w:r w:rsidRPr="00743A97">
        <w:rPr>
          <w:sz w:val="20"/>
        </w:rPr>
        <w:t xml:space="preserve"> (filed </w:t>
      </w:r>
      <w:r w:rsidRPr="00743A97" w:rsidR="00743A97">
        <w:rPr>
          <w:sz w:val="20"/>
        </w:rPr>
        <w:t>Jan</w:t>
      </w:r>
      <w:r w:rsidRPr="00743A97">
        <w:rPr>
          <w:sz w:val="20"/>
        </w:rPr>
        <w:t>. 2</w:t>
      </w:r>
      <w:r w:rsidRPr="00743A97" w:rsidR="00743A97">
        <w:rPr>
          <w:sz w:val="20"/>
        </w:rPr>
        <w:t>2</w:t>
      </w:r>
      <w:r w:rsidRPr="00743A97">
        <w:rPr>
          <w:sz w:val="20"/>
        </w:rPr>
        <w:t>, 20</w:t>
      </w:r>
      <w:r w:rsidRPr="00743A97" w:rsidR="00743A97">
        <w:rPr>
          <w:sz w:val="20"/>
        </w:rPr>
        <w:t>20</w:t>
      </w:r>
      <w:r w:rsidRPr="00743A97">
        <w:rPr>
          <w:sz w:val="20"/>
        </w:rPr>
        <w:t xml:space="preserve">) (Application).  Applicants filed a supplement to the amended application on January 31, 2020.  Letter from John C. Lee, Jr., President and CEO, EMPOWER Broadband, Inc. and EMPOWER Telecom, Inc., to Marlene H. Dortch, Secretary, FCC (Jan. 31, 2020) (on file in WC Docket No. 19-388) (EMPOWER Letter). </w:t>
      </w:r>
    </w:p>
    <w:p w:rsidR="005C2671" w:rsidRPr="00204D99" w:rsidP="005C2671" w14:paraId="0D45E33B" w14:textId="77777777">
      <w:pPr>
        <w:rPr>
          <w:sz w:val="20"/>
        </w:rPr>
      </w:pPr>
    </w:p>
  </w:footnote>
  <w:footnote w:id="4">
    <w:p w:rsidR="00FC7A60" w14:paraId="4FDE4ADD" w14:textId="7073C9A9">
      <w:pPr>
        <w:pStyle w:val="FootnoteText"/>
      </w:pPr>
      <w:r>
        <w:rPr>
          <w:rStyle w:val="FootnoteReference"/>
        </w:rPr>
        <w:footnoteRef/>
      </w:r>
      <w:r>
        <w:t xml:space="preserve"> </w:t>
      </w:r>
      <w:r w:rsidRPr="00336AC8" w:rsidR="00CC0210">
        <w:rPr>
          <w:i/>
          <w:iCs/>
        </w:rPr>
        <w:t xml:space="preserve">Domestic Section 214 Application Filed </w:t>
      </w:r>
      <w:r w:rsidRPr="00336AC8" w:rsidR="00336AC8">
        <w:rPr>
          <w:i/>
          <w:iCs/>
        </w:rPr>
        <w:t>for</w:t>
      </w:r>
      <w:r w:rsidRPr="00336AC8" w:rsidR="00CC0210">
        <w:rPr>
          <w:i/>
          <w:iCs/>
        </w:rPr>
        <w:t xml:space="preserve"> </w:t>
      </w:r>
      <w:r w:rsidR="00336AC8">
        <w:rPr>
          <w:i/>
          <w:iCs/>
        </w:rPr>
        <w:t>t</w:t>
      </w:r>
      <w:r w:rsidRPr="00336AC8" w:rsidR="00CC0210">
        <w:rPr>
          <w:i/>
          <w:iCs/>
        </w:rPr>
        <w:t xml:space="preserve">he Acquisition of Assets of Buggs Island Telephone Co-Operative </w:t>
      </w:r>
      <w:r w:rsidR="00534B0C">
        <w:rPr>
          <w:i/>
          <w:iCs/>
        </w:rPr>
        <w:t>b</w:t>
      </w:r>
      <w:r w:rsidRPr="00336AC8" w:rsidR="00CC0210">
        <w:rPr>
          <w:i/>
          <w:iCs/>
        </w:rPr>
        <w:t>y Empower Broadband, Inc. and Empower Telecom, Inc.</w:t>
      </w:r>
      <w:r w:rsidR="00CC0210">
        <w:t>, WC Docket No. 19-388, Public Notice, DA 20-125 (WCB Feb. 3, 2020).</w:t>
      </w:r>
    </w:p>
  </w:footnote>
  <w:footnote w:id="5">
    <w:p w:rsidR="00743A97" w14:paraId="510F33FA" w14:textId="75896C1E">
      <w:pPr>
        <w:pStyle w:val="FootnoteText"/>
      </w:pPr>
      <w:r>
        <w:rPr>
          <w:rStyle w:val="FootnoteReference"/>
        </w:rPr>
        <w:footnoteRef/>
      </w:r>
      <w:r>
        <w:t xml:space="preserve"> Application at 2.</w:t>
      </w:r>
    </w:p>
  </w:footnote>
  <w:footnote w:id="6">
    <w:p w:rsidR="00743A97" w14:paraId="5A7A6B1B" w14:textId="3588FF1F">
      <w:pPr>
        <w:pStyle w:val="FootnoteText"/>
      </w:pPr>
      <w:r>
        <w:rPr>
          <w:rStyle w:val="FootnoteReference"/>
        </w:rPr>
        <w:footnoteRef/>
      </w:r>
      <w:r>
        <w:t xml:space="preserve"> </w:t>
      </w:r>
      <w:r w:rsidRPr="00743A97">
        <w:rPr>
          <w:i/>
          <w:iCs/>
        </w:rPr>
        <w:t>Id.</w:t>
      </w:r>
      <w:r>
        <w:t xml:space="preserve"> at 5.</w:t>
      </w:r>
    </w:p>
  </w:footnote>
  <w:footnote w:id="7">
    <w:p w:rsidR="00C847FD" w:rsidRPr="00F46420" w:rsidP="00C847FD" w14:paraId="63609BE9" w14:textId="250C5A66">
      <w:pPr>
        <w:pStyle w:val="FootnoteText"/>
      </w:pPr>
      <w:r w:rsidRPr="00F46420">
        <w:rPr>
          <w:rStyle w:val="FootnoteReference"/>
          <w:sz w:val="20"/>
        </w:rPr>
        <w:footnoteRef/>
      </w:r>
      <w:r w:rsidRPr="00F46420">
        <w:t xml:space="preserve"> Universal Service Administrative Co., Tools, </w:t>
      </w:r>
      <w:hyperlink r:id="rId1" w:history="1">
        <w:r w:rsidRPr="00F142E2">
          <w:rPr>
            <w:snapToGrid w:val="0"/>
            <w:color w:val="0000FF"/>
            <w:kern w:val="28"/>
            <w:u w:val="single"/>
          </w:rPr>
          <w:t>https://www.usac.org/high-cost/resources/tools/</w:t>
        </w:r>
      </w:hyperlink>
      <w:r w:rsidRPr="00F46420">
        <w:t xml:space="preserve">.  </w:t>
      </w:r>
      <w:r w:rsidRPr="00F46420" w:rsidR="00E64CE6">
        <w:t xml:space="preserve">The Commission adopted a voluntary path by which rate-of-return carriers could elect to receive a fixed amount of universal service support under </w:t>
      </w:r>
      <w:r w:rsidR="00E64CE6">
        <w:t>the Alternative Connect America Cost Model (A-CAM),</w:t>
      </w:r>
      <w:r w:rsidRPr="00F46420" w:rsidR="00E64CE6">
        <w:t xml:space="preserve"> a forward-looking broadband cost model, for 10 years, in exchange for deploying broadband-capable networks to eligible locations.  </w:t>
      </w:r>
      <w:r w:rsidRPr="00F46420" w:rsidR="00E64CE6">
        <w:rPr>
          <w:rStyle w:val="Emphasis"/>
        </w:rPr>
        <w:t>Connect America Fund et al.</w:t>
      </w:r>
      <w:r w:rsidRPr="00F46420" w:rsidR="00E64CE6">
        <w:t xml:space="preserve">, Report and Order, Order and Order on Reconsideration and Further Notice of Proposed Rulemaking, 31 FCC </w:t>
      </w:r>
      <w:r w:rsidRPr="00F46420" w:rsidR="00E64CE6">
        <w:t>Rcd</w:t>
      </w:r>
      <w:r w:rsidRPr="00F46420" w:rsidR="00E64CE6">
        <w:t xml:space="preserve"> 3087, 3090, para. 4, 3096-3117, paras. 20-79 (2016).</w:t>
      </w:r>
      <w:r w:rsidRPr="00F46420">
        <w:t xml:space="preserve"> </w:t>
      </w:r>
    </w:p>
  </w:footnote>
  <w:footnote w:id="8">
    <w:p w:rsidR="00B2241A" w14:paraId="715365EA" w14:textId="724A29EB">
      <w:pPr>
        <w:pStyle w:val="FootnoteText"/>
      </w:pPr>
      <w:r>
        <w:rPr>
          <w:rStyle w:val="FootnoteReference"/>
        </w:rPr>
        <w:footnoteRef/>
      </w:r>
      <w:r>
        <w:t xml:space="preserve"> Application at 2.</w:t>
      </w:r>
      <w:r w:rsidR="00E556AA">
        <w:t xml:space="preserve">  </w:t>
      </w:r>
      <w:r w:rsidRPr="00E556AA" w:rsidR="00E556AA">
        <w:t xml:space="preserve">Applicants state that Telecom has applied for Eligible Telecommunications Carrier status with the Virginia State Corporation Commission.  Telecom acknowledges that it will acquire BIT’s obligation to use universal service support to build out to 386 locations in its services area and that it will fulfill such obligation.  EMPOWER Letter at 1.  </w:t>
      </w:r>
    </w:p>
  </w:footnote>
  <w:footnote w:id="9">
    <w:p w:rsidR="00C847FD" w:rsidRPr="00E556AA" w:rsidP="00C847FD" w14:paraId="3687E3DB" w14:textId="74E3958B">
      <w:pPr>
        <w:pStyle w:val="FootnoteText"/>
      </w:pPr>
      <w:r w:rsidRPr="00E556AA">
        <w:rPr>
          <w:rStyle w:val="FootnoteReference"/>
          <w:sz w:val="20"/>
        </w:rPr>
        <w:footnoteRef/>
      </w:r>
      <w:r w:rsidRPr="00E556AA">
        <w:t xml:space="preserve"> </w:t>
      </w:r>
      <w:r w:rsidR="00E556AA">
        <w:t>Application at 2.</w:t>
      </w:r>
    </w:p>
  </w:footnote>
  <w:footnote w:id="10">
    <w:p w:rsidR="00B2241A" w14:paraId="6BE686AD" w14:textId="56178BD2">
      <w:pPr>
        <w:pStyle w:val="FootnoteText"/>
      </w:pPr>
      <w:r>
        <w:rPr>
          <w:rStyle w:val="FootnoteReference"/>
        </w:rPr>
        <w:footnoteRef/>
      </w:r>
      <w:r>
        <w:t xml:space="preserve"> </w:t>
      </w:r>
      <w:r w:rsidR="003915EF">
        <w:rPr>
          <w:i/>
          <w:iCs/>
        </w:rPr>
        <w:t>Id</w:t>
      </w:r>
      <w:r w:rsidR="003915EF">
        <w:t>.</w:t>
      </w:r>
      <w:r>
        <w:t xml:space="preserve"> </w:t>
      </w:r>
    </w:p>
  </w:footnote>
  <w:footnote w:id="11">
    <w:p w:rsidR="00B2241A" w14:paraId="084690B1" w14:textId="6EC25184">
      <w:pPr>
        <w:pStyle w:val="FootnoteText"/>
      </w:pPr>
      <w:r>
        <w:rPr>
          <w:rStyle w:val="FootnoteReference"/>
        </w:rPr>
        <w:footnoteRef/>
      </w:r>
      <w:r>
        <w:t xml:space="preserve"> </w:t>
      </w:r>
      <w:r w:rsidRPr="00B2241A">
        <w:rPr>
          <w:i/>
          <w:iCs/>
        </w:rPr>
        <w:t>Id.</w:t>
      </w:r>
      <w:r>
        <w:t xml:space="preserve"> at 5.</w:t>
      </w:r>
    </w:p>
  </w:footnote>
  <w:footnote w:id="12">
    <w:p w:rsidR="00B2241A" w14:paraId="43AE262A" w14:textId="2786C09A">
      <w:pPr>
        <w:pStyle w:val="FootnoteText"/>
      </w:pPr>
      <w:r>
        <w:rPr>
          <w:rStyle w:val="FootnoteReference"/>
        </w:rPr>
        <w:footnoteRef/>
      </w:r>
      <w:r>
        <w:t xml:space="preserve"> </w:t>
      </w:r>
      <w:r w:rsidRPr="003546A9" w:rsidR="003546A9">
        <w:rPr>
          <w:i/>
          <w:iCs/>
        </w:rPr>
        <w:t>Id.</w:t>
      </w:r>
      <w:r w:rsidR="003546A9">
        <w:t xml:space="preserve"> at 2-3.</w:t>
      </w:r>
    </w:p>
  </w:footnote>
  <w:footnote w:id="13">
    <w:p w:rsidR="00335DC9" w:rsidRPr="00495353" w:rsidP="00335DC9" w14:paraId="05641EDC" w14:textId="48F902C8">
      <w:pPr>
        <w:pStyle w:val="FootnoteText"/>
      </w:pPr>
      <w:r w:rsidRPr="00495353">
        <w:rPr>
          <w:rStyle w:val="FootnoteReference"/>
          <w:sz w:val="20"/>
        </w:rPr>
        <w:footnoteRef/>
      </w:r>
      <w:r w:rsidR="005B0BA9">
        <w:rPr>
          <w:rFonts w:asciiTheme="minorHAnsi" w:hAnsiTheme="minorHAnsi" w:cstheme="minorHAnsi"/>
          <w:i/>
          <w:iCs/>
          <w:snapToGrid w:val="0"/>
          <w:kern w:val="28"/>
        </w:rPr>
        <w:t xml:space="preserve"> </w:t>
      </w:r>
      <w:r w:rsidRPr="009E70CB" w:rsidR="005B0BA9">
        <w:rPr>
          <w:i/>
          <w:iCs/>
          <w:snapToGrid w:val="0"/>
          <w:kern w:val="28"/>
        </w:rPr>
        <w:t>Connect America Fund Phase II Auction Support Authorized for 856 Winning Bids</w:t>
      </w:r>
      <w:r w:rsidRPr="009E70CB" w:rsidR="005B0BA9">
        <w:rPr>
          <w:snapToGrid w:val="0"/>
          <w:kern w:val="28"/>
        </w:rPr>
        <w:t>, AU Docket No. 17-182, WC Docket No. 10-90, Public Notice, DA 19-539</w:t>
      </w:r>
      <w:r w:rsidR="00AD017F">
        <w:rPr>
          <w:snapToGrid w:val="0"/>
          <w:kern w:val="28"/>
        </w:rPr>
        <w:t>,</w:t>
      </w:r>
      <w:r w:rsidRPr="009E70CB" w:rsidR="005B0BA9">
        <w:rPr>
          <w:snapToGrid w:val="0"/>
          <w:kern w:val="28"/>
        </w:rPr>
        <w:t xml:space="preserve"> at 1 and Attach. A at 10 (WCB 2019) (listing </w:t>
      </w:r>
      <w:r w:rsidRPr="005B0BA9" w:rsidR="005B0BA9">
        <w:rPr>
          <w:snapToGrid w:val="0"/>
        </w:rPr>
        <w:t xml:space="preserve">the total fixed support amount over 10 years and total number of locations for which EMPOWER Broadband, Inc. is authorized in Virginia).  </w:t>
      </w:r>
      <w:r w:rsidRPr="005B0BA9" w:rsidR="005B0BA9">
        <w:rPr>
          <w:i/>
          <w:iCs/>
          <w:snapToGrid w:val="0"/>
        </w:rPr>
        <w:t>See</w:t>
      </w:r>
      <w:r w:rsidRPr="005B0BA9" w:rsidR="005B0BA9">
        <w:rPr>
          <w:snapToGrid w:val="0"/>
        </w:rPr>
        <w:t xml:space="preserve"> </w:t>
      </w:r>
      <w:hyperlink r:id="rId2" w:history="1">
        <w:r w:rsidRPr="005B0BA9" w:rsidR="005B0BA9">
          <w:rPr>
            <w:rStyle w:val="Hyperlink"/>
          </w:rPr>
          <w:t>https://www.fcc.gov/auction/903</w:t>
        </w:r>
      </w:hyperlink>
      <w:r w:rsidRPr="005B0BA9" w:rsidR="005B0BA9">
        <w:t xml:space="preserve"> (listing state level summaries under the “Data” tab).</w:t>
      </w:r>
      <w:r w:rsidRPr="00495353">
        <w:t xml:space="preserve"> </w:t>
      </w:r>
    </w:p>
  </w:footnote>
  <w:footnote w:id="14">
    <w:p w:rsidR="003546A9" w14:paraId="4FA2BC68" w14:textId="5CBDE863">
      <w:pPr>
        <w:pStyle w:val="FootnoteText"/>
      </w:pPr>
      <w:r>
        <w:rPr>
          <w:rStyle w:val="FootnoteReference"/>
        </w:rPr>
        <w:footnoteRef/>
      </w:r>
      <w:r>
        <w:t xml:space="preserve"> </w:t>
      </w:r>
      <w:r w:rsidR="00534B0C">
        <w:t>Application</w:t>
      </w:r>
      <w:r w:rsidR="00301D79">
        <w:t xml:space="preserve"> at 6. </w:t>
      </w:r>
    </w:p>
  </w:footnote>
  <w:footnote w:id="15">
    <w:p w:rsidR="003546A9" w14:paraId="7DD79CE9" w14:textId="20824AD7">
      <w:pPr>
        <w:pStyle w:val="FootnoteText"/>
      </w:pPr>
      <w:r>
        <w:rPr>
          <w:rStyle w:val="FootnoteReference"/>
        </w:rPr>
        <w:footnoteRef/>
      </w:r>
      <w:r>
        <w:t xml:space="preserve"> </w:t>
      </w:r>
      <w:r w:rsidRPr="00301D79" w:rsidR="00301D79">
        <w:rPr>
          <w:i/>
          <w:iCs/>
        </w:rPr>
        <w:t>Id.</w:t>
      </w:r>
      <w:r w:rsidR="00301D79">
        <w:t xml:space="preserve"> </w:t>
      </w:r>
    </w:p>
  </w:footnote>
  <w:footnote w:id="16">
    <w:p w:rsidR="003546A9" w14:paraId="4F5A05ED" w14:textId="317BA457">
      <w:pPr>
        <w:pStyle w:val="FootnoteText"/>
      </w:pPr>
      <w:r>
        <w:rPr>
          <w:rStyle w:val="FootnoteReference"/>
        </w:rPr>
        <w:footnoteRef/>
      </w:r>
      <w:r>
        <w:t xml:space="preserve"> </w:t>
      </w:r>
      <w:r w:rsidRPr="00301D79" w:rsidR="00301D79">
        <w:rPr>
          <w:i/>
          <w:iCs/>
        </w:rPr>
        <w:t>Id.</w:t>
      </w:r>
      <w:r w:rsidR="00301D79">
        <w:t xml:space="preserve"> </w:t>
      </w:r>
    </w:p>
  </w:footnote>
  <w:footnote w:id="17">
    <w:p w:rsidR="003546A9" w14:paraId="58907CF1" w14:textId="785995EA">
      <w:pPr>
        <w:pStyle w:val="FootnoteText"/>
      </w:pPr>
      <w:r>
        <w:rPr>
          <w:rStyle w:val="FootnoteReference"/>
        </w:rPr>
        <w:footnoteRef/>
      </w:r>
      <w:r>
        <w:t xml:space="preserve"> </w:t>
      </w:r>
      <w:r w:rsidRPr="0038358F" w:rsidR="0038358F">
        <w:rPr>
          <w:i/>
          <w:iCs/>
        </w:rPr>
        <w:t>Id.</w:t>
      </w:r>
      <w:r w:rsidR="0038358F">
        <w:t xml:space="preserve"> </w:t>
      </w:r>
    </w:p>
  </w:footnote>
  <w:footnote w:id="18">
    <w:p w:rsidR="003546A9" w14:paraId="5C12A7B4" w14:textId="74510E5C">
      <w:pPr>
        <w:pStyle w:val="FootnoteText"/>
      </w:pPr>
      <w:r>
        <w:rPr>
          <w:rStyle w:val="FootnoteReference"/>
        </w:rPr>
        <w:footnoteRef/>
      </w:r>
      <w:r>
        <w:t xml:space="preserve"> </w:t>
      </w:r>
      <w:r w:rsidRPr="0038358F" w:rsidR="0038358F">
        <w:rPr>
          <w:i/>
          <w:iCs/>
        </w:rPr>
        <w:t>Id.</w:t>
      </w:r>
      <w:r w:rsidR="0038358F">
        <w:t xml:space="preserve"> at 7.</w:t>
      </w:r>
    </w:p>
  </w:footnote>
  <w:footnote w:id="19">
    <w:p w:rsidR="0047633D" w:rsidRPr="00265992" w:rsidP="0047633D" w14:paraId="5BA81DEF" w14:textId="070477B1">
      <w:pPr>
        <w:pStyle w:val="FootnoteText"/>
      </w:pPr>
      <w:r w:rsidRPr="00265992">
        <w:rPr>
          <w:rStyle w:val="FootnoteReference"/>
          <w:sz w:val="20"/>
        </w:rPr>
        <w:footnoteRef/>
      </w:r>
      <w:r w:rsidRPr="00265992">
        <w:t xml:space="preserve"> </w:t>
      </w:r>
      <w:r w:rsidRPr="00265992">
        <w:rPr>
          <w:i/>
        </w:rPr>
        <w:t xml:space="preserve">Joint Application of W. Mansfield Jennings Limited Partnership and </w:t>
      </w:r>
      <w:r w:rsidRPr="00265992">
        <w:rPr>
          <w:i/>
        </w:rPr>
        <w:t>Har</w:t>
      </w:r>
      <w:r>
        <w:rPr>
          <w:i/>
        </w:rPr>
        <w:t>gray</w:t>
      </w:r>
      <w:r>
        <w:rPr>
          <w:i/>
        </w:rPr>
        <w:t xml:space="preserve"> Communications Group, Inc.</w:t>
      </w:r>
      <w:r w:rsidRPr="00265992">
        <w:rPr>
          <w:i/>
        </w:rPr>
        <w:t xml:space="preserve"> for Consent to the Transfer of Control of </w:t>
      </w:r>
      <w:r w:rsidRPr="00265992">
        <w:rPr>
          <w:i/>
        </w:rPr>
        <w:t>ComSouth</w:t>
      </w:r>
      <w:r w:rsidRPr="00265992">
        <w:rPr>
          <w:i/>
        </w:rPr>
        <w:t xml:space="preserve"> Corporation Pursuant to Section 214 of the Communications Act of 1934</w:t>
      </w:r>
      <w:r w:rsidRPr="00265992">
        <w:t xml:space="preserve">, WC Docket 18-52, Memorandum Opinion and Order, </w:t>
      </w:r>
      <w:r w:rsidR="00341E18">
        <w:t xml:space="preserve">33 FCC </w:t>
      </w:r>
      <w:r w:rsidR="00341E18">
        <w:t>Rcd</w:t>
      </w:r>
      <w:r w:rsidR="00341E18">
        <w:t xml:space="preserve"> 478</w:t>
      </w:r>
      <w:r w:rsidR="00D92B9C">
        <w:t>0, 4784</w:t>
      </w:r>
      <w:r w:rsidRPr="00265992">
        <w:t>, para. 19 (2018). (</w:t>
      </w:r>
      <w:r w:rsidRPr="00265992">
        <w:rPr>
          <w:i/>
        </w:rPr>
        <w:t>Hargray</w:t>
      </w:r>
      <w:r w:rsidRPr="00265992">
        <w:rPr>
          <w:i/>
        </w:rPr>
        <w:t>/</w:t>
      </w:r>
      <w:r w:rsidRPr="00265992">
        <w:rPr>
          <w:i/>
        </w:rPr>
        <w:t>ComSouth</w:t>
      </w:r>
      <w:r w:rsidRPr="00265992">
        <w:rPr>
          <w:i/>
        </w:rPr>
        <w:t xml:space="preserve"> Order</w:t>
      </w:r>
      <w:r w:rsidRPr="00265992">
        <w:t>).</w:t>
      </w:r>
    </w:p>
  </w:footnote>
  <w:footnote w:id="20">
    <w:p w:rsidR="0047633D" w:rsidRPr="00265992" w:rsidP="0047633D" w14:paraId="5B914D23"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4785-86, para. 20.</w:t>
      </w:r>
    </w:p>
  </w:footnote>
  <w:footnote w:id="21">
    <w:p w:rsidR="0047633D" w:rsidRPr="00265992" w:rsidP="0047633D" w14:paraId="70492675" w14:textId="77777777">
      <w:pPr>
        <w:pStyle w:val="FootnoteText"/>
      </w:pPr>
      <w:r w:rsidRPr="00265992">
        <w:rPr>
          <w:rStyle w:val="FootnoteReference"/>
          <w:sz w:val="20"/>
        </w:rPr>
        <w:footnoteRef/>
      </w:r>
      <w:r w:rsidRPr="00265992">
        <w:t xml:space="preserve"> </w:t>
      </w:r>
      <w:r w:rsidRPr="00265992">
        <w:rPr>
          <w:i/>
        </w:rPr>
        <w:t>Id</w:t>
      </w:r>
      <w:r w:rsidRPr="00265992">
        <w:t>.</w:t>
      </w:r>
    </w:p>
  </w:footnote>
  <w:footnote w:id="22">
    <w:p w:rsidR="0047633D" w:rsidRPr="00265992" w:rsidP="0047633D" w14:paraId="4155422D" w14:textId="77777777">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23">
    <w:p w:rsidR="0047633D" w:rsidRPr="00265992" w:rsidP="0047633D" w14:paraId="7ED892EF"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4786, para. 21.</w:t>
      </w:r>
    </w:p>
  </w:footnote>
  <w:footnote w:id="24">
    <w:p w:rsidR="003F2288" w:rsidRPr="00F46420" w:rsidP="003F2288" w14:paraId="5589CBD1" w14:textId="77777777">
      <w:pPr>
        <w:pStyle w:val="FootnoteText"/>
      </w:pPr>
      <w:r w:rsidRPr="00F46420">
        <w:rPr>
          <w:rStyle w:val="FootnoteReference"/>
          <w:sz w:val="20"/>
        </w:rPr>
        <w:footnoteRef/>
      </w:r>
      <w:r w:rsidRPr="00F46420">
        <w:t xml:space="preserve"> </w:t>
      </w:r>
      <w:r w:rsidRPr="00F46420">
        <w:rPr>
          <w:i/>
        </w:rPr>
        <w:t>Id</w:t>
      </w:r>
      <w:r w:rsidRPr="00F46420">
        <w:t>. at 4788-90, paras. 26-31.</w:t>
      </w:r>
    </w:p>
  </w:footnote>
  <w:footnote w:id="25">
    <w:p w:rsidR="003F2288" w:rsidRPr="00F46420" w:rsidP="003F2288" w14:paraId="225CE778" w14:textId="77777777">
      <w:pPr>
        <w:pStyle w:val="FootnoteText"/>
      </w:pPr>
      <w:r w:rsidRPr="00F46420">
        <w:rPr>
          <w:rStyle w:val="FootnoteReference"/>
          <w:sz w:val="20"/>
        </w:rPr>
        <w:footnoteRef/>
      </w:r>
      <w:r w:rsidRPr="00F46420">
        <w:t xml:space="preserve"> </w:t>
      </w:r>
      <w:r w:rsidRPr="00F46420">
        <w:rPr>
          <w:i/>
        </w:rPr>
        <w:t>Id</w:t>
      </w:r>
      <w:r w:rsidRPr="00F46420">
        <w:t xml:space="preserve">. at 4789, para. 27, n.72.   </w:t>
      </w:r>
    </w:p>
  </w:footnote>
  <w:footnote w:id="26">
    <w:p w:rsidR="003F2288" w:rsidRPr="00F46420" w:rsidP="003F2288" w14:paraId="6128B890" w14:textId="77777777">
      <w:pPr>
        <w:pStyle w:val="FootnoteText"/>
      </w:pPr>
      <w:r w:rsidRPr="00F46420">
        <w:rPr>
          <w:rStyle w:val="FootnoteReference"/>
          <w:sz w:val="20"/>
        </w:rPr>
        <w:footnoteRef/>
      </w:r>
      <w:r w:rsidRPr="00F46420">
        <w:t xml:space="preserve"> </w:t>
      </w:r>
      <w:r w:rsidRPr="00F46420">
        <w:rPr>
          <w:i/>
        </w:rPr>
        <w:t>Id.</w:t>
      </w:r>
      <w:r w:rsidRPr="00F46420">
        <w:t xml:space="preserve"> at 4788-90, paras. 26-31.</w:t>
      </w:r>
    </w:p>
  </w:footnote>
  <w:footnote w:id="27">
    <w:p w:rsidR="003F2288" w:rsidRPr="00F46420" w:rsidP="003F2288" w14:paraId="723D6193" w14:textId="77777777">
      <w:pPr>
        <w:pStyle w:val="FootnoteText"/>
      </w:pPr>
      <w:r w:rsidRPr="00F46420">
        <w:rPr>
          <w:rStyle w:val="FootnoteReference"/>
          <w:sz w:val="20"/>
        </w:rPr>
        <w:footnoteRef/>
      </w:r>
      <w:r w:rsidRPr="00F46420">
        <w:t xml:space="preserve"> </w:t>
      </w:r>
      <w:r w:rsidRPr="00F46420">
        <w:rPr>
          <w:i/>
        </w:rPr>
        <w:t>See</w:t>
      </w:r>
      <w:r w:rsidRPr="00F46420">
        <w:t xml:space="preserve"> 47 U.S.C. § 153(1).</w:t>
      </w:r>
    </w:p>
  </w:footnote>
  <w:footnote w:id="28">
    <w:p w:rsidR="003F2288" w:rsidRPr="00F46420" w:rsidP="003F2288" w14:paraId="37D52882" w14:textId="2D554E7C">
      <w:pPr>
        <w:pStyle w:val="FootnoteText"/>
      </w:pPr>
      <w:r w:rsidRPr="00F46420">
        <w:rPr>
          <w:rStyle w:val="FootnoteReference"/>
          <w:sz w:val="20"/>
        </w:rPr>
        <w:footnoteRef/>
      </w:r>
      <w:r w:rsidRPr="00F46420">
        <w:t xml:space="preserve"> </w:t>
      </w:r>
      <w:r w:rsidRPr="00F46420">
        <w:rPr>
          <w:i/>
        </w:rPr>
        <w:t>Hargray</w:t>
      </w:r>
      <w:r w:rsidRPr="00F46420">
        <w:rPr>
          <w:i/>
        </w:rPr>
        <w:t>/</w:t>
      </w:r>
      <w:r w:rsidRPr="00F46420">
        <w:rPr>
          <w:i/>
        </w:rPr>
        <w:t>ComSouth</w:t>
      </w:r>
      <w:r w:rsidRPr="00F46420">
        <w:rPr>
          <w:i/>
        </w:rPr>
        <w:t xml:space="preserve"> Order </w:t>
      </w:r>
      <w:r w:rsidRPr="00F46420">
        <w:t>at 4788-89, para. 27.  The cap will apply to the combined operating expenses of the post-consummation compan</w:t>
      </w:r>
      <w:r w:rsidR="00534B0C">
        <w:t>y</w:t>
      </w:r>
      <w:r w:rsidRPr="00F46420">
        <w:t xml:space="preserve"> and any other existing rate-of-return affiliates </w:t>
      </w:r>
      <w:r w:rsidR="00534B0C">
        <w:t>acquired</w:t>
      </w:r>
      <w:r w:rsidRPr="00F46420">
        <w:t xml:space="preserve"> during the time in which the condition is in effect (together, covered entities).  To monitor compliance with the condition adopted herein, to the extent it does not already do so, </w:t>
      </w:r>
      <w:r w:rsidRPr="00F46420">
        <w:rPr>
          <w:color w:val="000000"/>
        </w:rPr>
        <w:t xml:space="preserve">we direct the covered entities </w:t>
      </w:r>
      <w:r w:rsidRPr="00F46420">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46420">
        <w:rPr>
          <w:i/>
        </w:rPr>
        <w:t>Id</w:t>
      </w:r>
      <w:r w:rsidRPr="00F46420">
        <w:t xml:space="preserve">. at 4790, para. 31.      </w:t>
      </w:r>
    </w:p>
  </w:footnote>
  <w:footnote w:id="29">
    <w:p w:rsidR="003F2288" w:rsidRPr="00F46420" w:rsidP="003F2288" w14:paraId="077FD07B" w14:textId="3CB0B035">
      <w:pPr>
        <w:pStyle w:val="FootnoteText"/>
      </w:pPr>
      <w:r w:rsidRPr="00F46420">
        <w:rPr>
          <w:rStyle w:val="FootnoteReference"/>
          <w:sz w:val="20"/>
        </w:rPr>
        <w:footnoteRef/>
      </w:r>
      <w:r w:rsidRPr="00F46420">
        <w:t xml:space="preserve"> </w:t>
      </w:r>
      <w:r w:rsidR="00534B0C">
        <w:rPr>
          <w:i/>
          <w:iCs/>
        </w:rPr>
        <w:t>Id</w:t>
      </w:r>
      <w:r w:rsidR="00534B0C">
        <w:t>.</w:t>
      </w:r>
      <w:r w:rsidRPr="00F46420">
        <w:t xml:space="preserve"> at 4789, para. 28.</w:t>
      </w:r>
    </w:p>
  </w:footnote>
  <w:footnote w:id="30">
    <w:p w:rsidR="003F2288" w:rsidRPr="00F46420" w:rsidP="003F2288" w14:paraId="4D6DBC93" w14:textId="77777777">
      <w:pPr>
        <w:pStyle w:val="FootnoteText"/>
      </w:pPr>
      <w:r w:rsidRPr="00F46420">
        <w:rPr>
          <w:rStyle w:val="FootnoteReference"/>
          <w:sz w:val="20"/>
        </w:rPr>
        <w:footnoteRef/>
      </w:r>
      <w:r w:rsidRPr="00F46420">
        <w:t xml:space="preserve"> </w:t>
      </w:r>
      <w:r w:rsidRPr="00F46420">
        <w:rPr>
          <w:i/>
        </w:rPr>
        <w:t>Id.</w:t>
      </w:r>
      <w:r w:rsidRPr="00F46420">
        <w:t xml:space="preserve"> </w:t>
      </w:r>
    </w:p>
  </w:footnote>
  <w:footnote w:id="31">
    <w:p w:rsidR="003F2288" w:rsidRPr="00F46420" w:rsidP="003F2288" w14:paraId="05E82E98" w14:textId="77777777">
      <w:pPr>
        <w:pStyle w:val="FootnoteText"/>
      </w:pPr>
      <w:r w:rsidRPr="00F46420">
        <w:rPr>
          <w:rStyle w:val="FootnoteReference"/>
          <w:sz w:val="20"/>
        </w:rPr>
        <w:footnoteRef/>
      </w:r>
      <w:r w:rsidRPr="00F46420">
        <w:t xml:space="preserve"> </w:t>
      </w:r>
      <w:r w:rsidRPr="00F46420">
        <w:rPr>
          <w:i/>
        </w:rPr>
        <w:t>Id.</w:t>
      </w:r>
    </w:p>
  </w:footnote>
  <w:footnote w:id="32">
    <w:p w:rsidR="003F2288" w:rsidRPr="00F46420" w:rsidP="003F2288" w14:paraId="375032DE" w14:textId="77777777">
      <w:pPr>
        <w:pStyle w:val="FootnoteText"/>
      </w:pPr>
      <w:r w:rsidRPr="00F46420">
        <w:rPr>
          <w:rStyle w:val="FootnoteReference"/>
          <w:sz w:val="20"/>
        </w:rPr>
        <w:footnoteRef/>
      </w:r>
      <w:r w:rsidRPr="00F46420">
        <w:t xml:space="preserve"> </w:t>
      </w:r>
      <w:r w:rsidRPr="00F46420">
        <w:rPr>
          <w:i/>
        </w:rPr>
        <w:t>Id.</w:t>
      </w:r>
      <w:r w:rsidRPr="00F46420">
        <w:t xml:space="preserve"> at 4790, para. 30.</w:t>
      </w:r>
    </w:p>
  </w:footnote>
  <w:footnote w:id="33">
    <w:p w:rsidR="003F2288" w:rsidRPr="00F46420" w:rsidP="003F2288" w14:paraId="1ABC4A97" w14:textId="517070BB">
      <w:pPr>
        <w:pStyle w:val="FootnoteText"/>
      </w:pPr>
      <w:r w:rsidRPr="00F46420">
        <w:rPr>
          <w:rStyle w:val="FootnoteReference"/>
          <w:sz w:val="20"/>
        </w:rPr>
        <w:footnoteRef/>
      </w:r>
      <w:r w:rsidRPr="00F46420">
        <w:t xml:space="preserve"> The Commission has found seven years to be an appropriate period over which to monitor enforcement of the condition and to ensure that the combined entity, which will continue to receive support, does not shift costs from year-to-year.  </w:t>
      </w:r>
      <w:r w:rsidRPr="00F46420">
        <w:rPr>
          <w:i/>
        </w:rPr>
        <w:t>Id</w:t>
      </w:r>
      <w:r w:rsidRPr="00F46420">
        <w:t>. at 4789-90, para. 29, fn.78.  The cap will not apply if the parties do not consummate the proposed transaction.</w:t>
      </w:r>
    </w:p>
  </w:footnote>
  <w:footnote w:id="34">
    <w:p w:rsidR="003F2288" w:rsidRPr="00F46420" w:rsidP="003F2288" w14:paraId="44863176" w14:textId="77777777">
      <w:pPr>
        <w:pStyle w:val="FootnoteText"/>
      </w:pPr>
      <w:r w:rsidRPr="00F46420">
        <w:rPr>
          <w:rStyle w:val="FootnoteReference"/>
          <w:sz w:val="20"/>
        </w:rPr>
        <w:footnoteRef/>
      </w:r>
      <w:r w:rsidRPr="00F46420">
        <w:t xml:space="preserve"> </w:t>
      </w:r>
      <w:r w:rsidRPr="00F46420">
        <w:rPr>
          <w:i/>
        </w:rPr>
        <w:t>Id</w:t>
      </w:r>
      <w:r w:rsidRPr="00F46420">
        <w:t>. at 4789-90, para. 29.</w:t>
      </w:r>
    </w:p>
  </w:footnote>
  <w:footnote w:id="35">
    <w:p w:rsidR="003F2288" w:rsidRPr="00F46420" w:rsidP="003F2288" w14:paraId="6B2454F4" w14:textId="77777777">
      <w:pPr>
        <w:pStyle w:val="FootnoteText"/>
        <w:rPr>
          <w:iCs/>
          <w:color w:val="212121"/>
        </w:rPr>
      </w:pPr>
      <w:r w:rsidRPr="00F46420">
        <w:rPr>
          <w:rStyle w:val="FootnoteReference"/>
          <w:sz w:val="20"/>
        </w:rPr>
        <w:footnoteRef/>
      </w:r>
      <w:r w:rsidRPr="00F46420">
        <w:t xml:space="preserve"> </w:t>
      </w:r>
      <w:bookmarkStart w:id="3" w:name="_Hlk34313410"/>
      <w:r w:rsidRPr="00B76D5C">
        <w:rPr>
          <w:i/>
          <w:iCs/>
        </w:rPr>
        <w:t>See</w:t>
      </w:r>
      <w:r w:rsidRPr="00B76D5C">
        <w:t> </w:t>
      </w:r>
      <w:hyperlink r:id="rId3" w:anchor="co_pp_8b3b0000958a4" w:history="1">
        <w:r w:rsidRPr="00B76D5C">
          <w:t>47 U.S.C. § 214(a)</w:t>
        </w:r>
      </w:hyperlink>
      <w:r w:rsidRPr="00B76D5C">
        <w:t>; </w:t>
      </w:r>
      <w:hyperlink r:id="rId4" w:history="1">
        <w:r w:rsidRPr="00B76D5C">
          <w:t>47 CFR § 63.03</w:t>
        </w:r>
      </w:hyperlink>
      <w:r w:rsidRPr="00B76D5C">
        <w:t>.</w:t>
      </w:r>
      <w:bookmarkEnd w:id="3"/>
    </w:p>
  </w:footnote>
  <w:footnote w:id="36">
    <w:p w:rsidR="003F2288" w:rsidRPr="00F46420" w:rsidP="003F2288" w14:paraId="6BDC13B7" w14:textId="47B29757">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provide incumbent LEC services in their respective study areas.  Within 30 days of closing the proposed transaction,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14:paraId="59CAA107" w14:textId="26D8AEDE">
    <w:pPr>
      <w:tabs>
        <w:tab w:val="center" w:pos="4680"/>
        <w:tab w:val="right" w:pos="9360"/>
      </w:tabs>
    </w:pPr>
    <w:r w:rsidRPr="009838BC">
      <w:rPr>
        <w:b/>
      </w:rPr>
      <w:tab/>
      <w:t>Federal Communications Commission</w:t>
    </w:r>
    <w:r w:rsidRPr="009838BC">
      <w:rPr>
        <w:b/>
      </w:rPr>
      <w:tab/>
    </w:r>
    <w:r>
      <w:rPr>
        <w:b/>
      </w:rPr>
      <w:t xml:space="preserve">DA </w:t>
    </w:r>
    <w:r w:rsidR="009423B4">
      <w:rPr>
        <w:b/>
      </w:rPr>
      <w:t>20-</w:t>
    </w:r>
    <w:r w:rsidR="002B101C">
      <w:rPr>
        <w:b/>
      </w:rPr>
      <w:t>257</w:t>
    </w:r>
  </w:p>
  <w:p w:rsidR="009560CD" w:rsidRPr="009838BC" w:rsidP="009560CD" w14:paraId="4D90634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560CD" w:rsidRPr="009838BC" w:rsidP="009560CD" w14:paraId="373E986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14:paraId="6309E6A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rPr>
                              <w:rFonts w:ascii="Arial" w:hAnsi="Arial"/>
                              <w:b/>
                            </w:rPr>
                          </w:pPr>
                          <w:r>
                            <w:rPr>
                              <w:rFonts w:ascii="Arial" w:hAnsi="Arial"/>
                              <w:b/>
                            </w:rPr>
                            <w:t>Federal Communications Commission</w:t>
                          </w:r>
                        </w:p>
                        <w:p w:rsidR="009560CD" w:rsidP="009560C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560CD" w:rsidP="009560CD" w14:paraId="500C2E2F" w14:textId="77777777">
                    <w:pPr>
                      <w:rPr>
                        <w:rFonts w:ascii="Arial" w:hAnsi="Arial"/>
                        <w:b/>
                      </w:rPr>
                    </w:pPr>
                    <w:r>
                      <w:rPr>
                        <w:rFonts w:ascii="Arial" w:hAnsi="Arial"/>
                        <w:b/>
                      </w:rPr>
                      <w:t>Federal Communications Commission</w:t>
                    </w:r>
                  </w:p>
                  <w:p w:rsidR="009560CD" w:rsidP="009560CD" w14:paraId="7E5490B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14:paraId="0D40E64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31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1F4EB1">
      <w:rPr>
        <w:rFonts w:ascii="Arial" w:hAnsi="Arial" w:cs="Arial"/>
        <w:b/>
        <w:sz w:val="96"/>
      </w:rPr>
      <w:t>PUBLIC NOTICE</w:t>
    </w:r>
  </w:p>
  <w:p w:rsidR="009560CD" w:rsidRPr="00357D50" w:rsidP="009560CD" w14:paraId="0DE181F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spacing w:before="40"/>
                            <w:jc w:val="right"/>
                            <w:rPr>
                              <w:rFonts w:ascii="Arial" w:hAnsi="Arial"/>
                              <w:b/>
                              <w:sz w:val="16"/>
                            </w:rPr>
                          </w:pPr>
                          <w:r>
                            <w:rPr>
                              <w:rFonts w:ascii="Arial" w:hAnsi="Arial"/>
                              <w:b/>
                              <w:sz w:val="16"/>
                            </w:rPr>
                            <w:t>News Media Information 202 / 418-0500</w:t>
                          </w:r>
                        </w:p>
                        <w:p w:rsidR="009560CD" w:rsidP="009560CD"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560CD" w:rsidP="009560C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560CD" w:rsidP="009560CD" w14:paraId="4D343656" w14:textId="77777777">
                    <w:pPr>
                      <w:spacing w:before="40"/>
                      <w:jc w:val="right"/>
                      <w:rPr>
                        <w:rFonts w:ascii="Arial" w:hAnsi="Arial"/>
                        <w:b/>
                        <w:sz w:val="16"/>
                      </w:rPr>
                    </w:pPr>
                    <w:r>
                      <w:rPr>
                        <w:rFonts w:ascii="Arial" w:hAnsi="Arial"/>
                        <w:b/>
                        <w:sz w:val="16"/>
                      </w:rPr>
                      <w:t>News Media Information 202 / 418-0500</w:t>
                    </w:r>
                  </w:p>
                  <w:p w:rsidR="009560CD" w:rsidP="009560CD" w14:paraId="67155755"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560CD" w:rsidP="009560CD" w14:paraId="38C44CC5" w14:textId="77777777">
                    <w:pPr>
                      <w:jc w:val="right"/>
                    </w:pPr>
                    <w:r>
                      <w:rPr>
                        <w:rFonts w:ascii="Arial" w:hAnsi="Arial"/>
                        <w:b/>
                        <w:sz w:val="16"/>
                      </w:rPr>
                      <w:t>TTY: 1-888-835-5322</w:t>
                    </w:r>
                  </w:p>
                </w:txbxContent>
              </v:textbox>
            </v:shape>
          </w:pict>
        </mc:Fallback>
      </mc:AlternateContent>
    </w:r>
  </w:p>
  <w:p w:rsidR="009560CD" w:rsidRPr="009838BC" w:rsidP="009560CD" w14:paraId="1F437B2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5"/>
    <w:rsid w:val="00034BE8"/>
    <w:rsid w:val="000372E6"/>
    <w:rsid w:val="000418D2"/>
    <w:rsid w:val="0004613C"/>
    <w:rsid w:val="00050449"/>
    <w:rsid w:val="000524B4"/>
    <w:rsid w:val="00062A4F"/>
    <w:rsid w:val="00064A57"/>
    <w:rsid w:val="0006543D"/>
    <w:rsid w:val="00065809"/>
    <w:rsid w:val="00081548"/>
    <w:rsid w:val="00097664"/>
    <w:rsid w:val="000A4D44"/>
    <w:rsid w:val="000A6021"/>
    <w:rsid w:val="000B0AF7"/>
    <w:rsid w:val="000D6AF4"/>
    <w:rsid w:val="000D782A"/>
    <w:rsid w:val="000E7034"/>
    <w:rsid w:val="000E78BD"/>
    <w:rsid w:val="000F4074"/>
    <w:rsid w:val="000F5D40"/>
    <w:rsid w:val="00105A80"/>
    <w:rsid w:val="001073F8"/>
    <w:rsid w:val="00110252"/>
    <w:rsid w:val="00113574"/>
    <w:rsid w:val="0011735A"/>
    <w:rsid w:val="00121DB7"/>
    <w:rsid w:val="001401F3"/>
    <w:rsid w:val="001407B1"/>
    <w:rsid w:val="00141A16"/>
    <w:rsid w:val="001503AE"/>
    <w:rsid w:val="001539FC"/>
    <w:rsid w:val="00163C91"/>
    <w:rsid w:val="00164EFA"/>
    <w:rsid w:val="00166B5D"/>
    <w:rsid w:val="00170171"/>
    <w:rsid w:val="001761B2"/>
    <w:rsid w:val="00177B81"/>
    <w:rsid w:val="00191F3D"/>
    <w:rsid w:val="001D1964"/>
    <w:rsid w:val="001D4DD9"/>
    <w:rsid w:val="001E44A8"/>
    <w:rsid w:val="001E6D45"/>
    <w:rsid w:val="001F4EB1"/>
    <w:rsid w:val="001F6A0C"/>
    <w:rsid w:val="0020405A"/>
    <w:rsid w:val="00204D99"/>
    <w:rsid w:val="00205454"/>
    <w:rsid w:val="002142F7"/>
    <w:rsid w:val="0023170B"/>
    <w:rsid w:val="0023369C"/>
    <w:rsid w:val="002350C2"/>
    <w:rsid w:val="002470F8"/>
    <w:rsid w:val="0025269E"/>
    <w:rsid w:val="002538EE"/>
    <w:rsid w:val="002574B7"/>
    <w:rsid w:val="00257C5D"/>
    <w:rsid w:val="00264EFA"/>
    <w:rsid w:val="00265992"/>
    <w:rsid w:val="002707E1"/>
    <w:rsid w:val="002738F1"/>
    <w:rsid w:val="00277A7E"/>
    <w:rsid w:val="00286FDD"/>
    <w:rsid w:val="00292AE8"/>
    <w:rsid w:val="002940B4"/>
    <w:rsid w:val="002A13B7"/>
    <w:rsid w:val="002B101C"/>
    <w:rsid w:val="002B13E2"/>
    <w:rsid w:val="002B3A65"/>
    <w:rsid w:val="002E44D9"/>
    <w:rsid w:val="002F0235"/>
    <w:rsid w:val="00301D79"/>
    <w:rsid w:val="00306EEF"/>
    <w:rsid w:val="00325C8A"/>
    <w:rsid w:val="00325FA0"/>
    <w:rsid w:val="003338CD"/>
    <w:rsid w:val="00335DC9"/>
    <w:rsid w:val="00336AC8"/>
    <w:rsid w:val="00341E18"/>
    <w:rsid w:val="00346506"/>
    <w:rsid w:val="003546A9"/>
    <w:rsid w:val="00356188"/>
    <w:rsid w:val="00357D50"/>
    <w:rsid w:val="00360A25"/>
    <w:rsid w:val="00361E29"/>
    <w:rsid w:val="00373C2C"/>
    <w:rsid w:val="003752FC"/>
    <w:rsid w:val="0038358F"/>
    <w:rsid w:val="00386B01"/>
    <w:rsid w:val="003870E8"/>
    <w:rsid w:val="003915EF"/>
    <w:rsid w:val="00391D67"/>
    <w:rsid w:val="00392396"/>
    <w:rsid w:val="003C4042"/>
    <w:rsid w:val="003C564B"/>
    <w:rsid w:val="003D22F9"/>
    <w:rsid w:val="003E5F04"/>
    <w:rsid w:val="003F2288"/>
    <w:rsid w:val="003F5C32"/>
    <w:rsid w:val="003F5FD5"/>
    <w:rsid w:val="0041513E"/>
    <w:rsid w:val="00422637"/>
    <w:rsid w:val="00423648"/>
    <w:rsid w:val="00427EB3"/>
    <w:rsid w:val="0044021E"/>
    <w:rsid w:val="0044046E"/>
    <w:rsid w:val="00445585"/>
    <w:rsid w:val="00472D8C"/>
    <w:rsid w:val="004762AB"/>
    <w:rsid w:val="0047633D"/>
    <w:rsid w:val="00485F44"/>
    <w:rsid w:val="00495353"/>
    <w:rsid w:val="00496424"/>
    <w:rsid w:val="004A0B35"/>
    <w:rsid w:val="004B1DE5"/>
    <w:rsid w:val="004B5558"/>
    <w:rsid w:val="004B6CF4"/>
    <w:rsid w:val="004B7EBD"/>
    <w:rsid w:val="004C3980"/>
    <w:rsid w:val="004C39E4"/>
    <w:rsid w:val="004C52B2"/>
    <w:rsid w:val="004E02FE"/>
    <w:rsid w:val="004F0B5B"/>
    <w:rsid w:val="004F340A"/>
    <w:rsid w:val="004F37A3"/>
    <w:rsid w:val="004F659A"/>
    <w:rsid w:val="004F7405"/>
    <w:rsid w:val="00516504"/>
    <w:rsid w:val="00533D3B"/>
    <w:rsid w:val="00534B0C"/>
    <w:rsid w:val="0054080B"/>
    <w:rsid w:val="00554A55"/>
    <w:rsid w:val="00557F9A"/>
    <w:rsid w:val="00561173"/>
    <w:rsid w:val="00565A49"/>
    <w:rsid w:val="00566466"/>
    <w:rsid w:val="005708F1"/>
    <w:rsid w:val="00576F3C"/>
    <w:rsid w:val="005812EE"/>
    <w:rsid w:val="0058534C"/>
    <w:rsid w:val="005874E5"/>
    <w:rsid w:val="005B0BA9"/>
    <w:rsid w:val="005B1800"/>
    <w:rsid w:val="005B75B3"/>
    <w:rsid w:val="005C2671"/>
    <w:rsid w:val="005C3880"/>
    <w:rsid w:val="005C4B42"/>
    <w:rsid w:val="005C5609"/>
    <w:rsid w:val="005C7D71"/>
    <w:rsid w:val="005F4E54"/>
    <w:rsid w:val="00600899"/>
    <w:rsid w:val="00611481"/>
    <w:rsid w:val="0061344C"/>
    <w:rsid w:val="00613C3A"/>
    <w:rsid w:val="00622DF5"/>
    <w:rsid w:val="00626DE6"/>
    <w:rsid w:val="00640931"/>
    <w:rsid w:val="00647A6E"/>
    <w:rsid w:val="00653788"/>
    <w:rsid w:val="00654741"/>
    <w:rsid w:val="006614C1"/>
    <w:rsid w:val="006650A4"/>
    <w:rsid w:val="006657C3"/>
    <w:rsid w:val="00677C03"/>
    <w:rsid w:val="0068256F"/>
    <w:rsid w:val="0068538C"/>
    <w:rsid w:val="00696C93"/>
    <w:rsid w:val="006A65D3"/>
    <w:rsid w:val="006B0317"/>
    <w:rsid w:val="006B6FEB"/>
    <w:rsid w:val="006D2EA5"/>
    <w:rsid w:val="006D5E3A"/>
    <w:rsid w:val="00702179"/>
    <w:rsid w:val="00702592"/>
    <w:rsid w:val="00706977"/>
    <w:rsid w:val="007069DD"/>
    <w:rsid w:val="00711614"/>
    <w:rsid w:val="00714BDA"/>
    <w:rsid w:val="00727FFE"/>
    <w:rsid w:val="007305E9"/>
    <w:rsid w:val="0073741A"/>
    <w:rsid w:val="00743A97"/>
    <w:rsid w:val="00750859"/>
    <w:rsid w:val="0075234E"/>
    <w:rsid w:val="00756CF7"/>
    <w:rsid w:val="00762CDC"/>
    <w:rsid w:val="00766B73"/>
    <w:rsid w:val="00767932"/>
    <w:rsid w:val="0077087C"/>
    <w:rsid w:val="00777263"/>
    <w:rsid w:val="007C02C8"/>
    <w:rsid w:val="007C69C8"/>
    <w:rsid w:val="00803316"/>
    <w:rsid w:val="00804B0E"/>
    <w:rsid w:val="008103A8"/>
    <w:rsid w:val="0081347F"/>
    <w:rsid w:val="0082446B"/>
    <w:rsid w:val="00827491"/>
    <w:rsid w:val="00832947"/>
    <w:rsid w:val="0083415B"/>
    <w:rsid w:val="00834342"/>
    <w:rsid w:val="008454A4"/>
    <w:rsid w:val="008473D9"/>
    <w:rsid w:val="0085405E"/>
    <w:rsid w:val="008571DC"/>
    <w:rsid w:val="00870737"/>
    <w:rsid w:val="00871F43"/>
    <w:rsid w:val="00872C6A"/>
    <w:rsid w:val="0087682A"/>
    <w:rsid w:val="008A5C2D"/>
    <w:rsid w:val="008A5FEF"/>
    <w:rsid w:val="008B1967"/>
    <w:rsid w:val="008B3790"/>
    <w:rsid w:val="008B4602"/>
    <w:rsid w:val="008B63B6"/>
    <w:rsid w:val="008C7AD1"/>
    <w:rsid w:val="008D2EB0"/>
    <w:rsid w:val="008E09B6"/>
    <w:rsid w:val="008E4CC6"/>
    <w:rsid w:val="008F04B1"/>
    <w:rsid w:val="008F60C6"/>
    <w:rsid w:val="009061CF"/>
    <w:rsid w:val="009120C4"/>
    <w:rsid w:val="00930423"/>
    <w:rsid w:val="00930ECF"/>
    <w:rsid w:val="009322C0"/>
    <w:rsid w:val="00933DC6"/>
    <w:rsid w:val="009423B4"/>
    <w:rsid w:val="00945B79"/>
    <w:rsid w:val="00950931"/>
    <w:rsid w:val="009560CD"/>
    <w:rsid w:val="00960E82"/>
    <w:rsid w:val="009838BC"/>
    <w:rsid w:val="00994314"/>
    <w:rsid w:val="009A0A07"/>
    <w:rsid w:val="009B0F0C"/>
    <w:rsid w:val="009B5A07"/>
    <w:rsid w:val="009C7271"/>
    <w:rsid w:val="009D2F73"/>
    <w:rsid w:val="009D361F"/>
    <w:rsid w:val="009D5706"/>
    <w:rsid w:val="009E703B"/>
    <w:rsid w:val="009E70CB"/>
    <w:rsid w:val="00A018C5"/>
    <w:rsid w:val="00A04201"/>
    <w:rsid w:val="00A44430"/>
    <w:rsid w:val="00A530A3"/>
    <w:rsid w:val="00A53330"/>
    <w:rsid w:val="00A65DF7"/>
    <w:rsid w:val="00A82512"/>
    <w:rsid w:val="00A866AC"/>
    <w:rsid w:val="00A90863"/>
    <w:rsid w:val="00AB2ED7"/>
    <w:rsid w:val="00AB699D"/>
    <w:rsid w:val="00AC00DB"/>
    <w:rsid w:val="00AC5680"/>
    <w:rsid w:val="00AC7A38"/>
    <w:rsid w:val="00AD017F"/>
    <w:rsid w:val="00AD18BA"/>
    <w:rsid w:val="00AE12BC"/>
    <w:rsid w:val="00AE3359"/>
    <w:rsid w:val="00AE5FA3"/>
    <w:rsid w:val="00B038EB"/>
    <w:rsid w:val="00B16ACF"/>
    <w:rsid w:val="00B17585"/>
    <w:rsid w:val="00B2241A"/>
    <w:rsid w:val="00B45C5D"/>
    <w:rsid w:val="00B5779E"/>
    <w:rsid w:val="00B76D5C"/>
    <w:rsid w:val="00B80854"/>
    <w:rsid w:val="00B9233A"/>
    <w:rsid w:val="00BA5EC1"/>
    <w:rsid w:val="00BB23E9"/>
    <w:rsid w:val="00BB5719"/>
    <w:rsid w:val="00BC767F"/>
    <w:rsid w:val="00BD076D"/>
    <w:rsid w:val="00BD7197"/>
    <w:rsid w:val="00BE1D98"/>
    <w:rsid w:val="00BF492A"/>
    <w:rsid w:val="00C021C8"/>
    <w:rsid w:val="00C0281C"/>
    <w:rsid w:val="00C0409C"/>
    <w:rsid w:val="00C05D47"/>
    <w:rsid w:val="00C06EE4"/>
    <w:rsid w:val="00C13A13"/>
    <w:rsid w:val="00C16154"/>
    <w:rsid w:val="00C16D24"/>
    <w:rsid w:val="00C23F1A"/>
    <w:rsid w:val="00C24C5F"/>
    <w:rsid w:val="00C3081E"/>
    <w:rsid w:val="00C373AB"/>
    <w:rsid w:val="00C4042C"/>
    <w:rsid w:val="00C44427"/>
    <w:rsid w:val="00C460C9"/>
    <w:rsid w:val="00C50EBF"/>
    <w:rsid w:val="00C576F0"/>
    <w:rsid w:val="00C66D1D"/>
    <w:rsid w:val="00C710E0"/>
    <w:rsid w:val="00C8359B"/>
    <w:rsid w:val="00C847FD"/>
    <w:rsid w:val="00CA1BA1"/>
    <w:rsid w:val="00CA316D"/>
    <w:rsid w:val="00CB6D42"/>
    <w:rsid w:val="00CC0210"/>
    <w:rsid w:val="00CC4A75"/>
    <w:rsid w:val="00CC4C1E"/>
    <w:rsid w:val="00CC62D8"/>
    <w:rsid w:val="00CD4064"/>
    <w:rsid w:val="00CD40D8"/>
    <w:rsid w:val="00CE77C6"/>
    <w:rsid w:val="00CF4485"/>
    <w:rsid w:val="00CF5D99"/>
    <w:rsid w:val="00D00C2E"/>
    <w:rsid w:val="00D01D05"/>
    <w:rsid w:val="00D115F7"/>
    <w:rsid w:val="00D116C2"/>
    <w:rsid w:val="00D14CC0"/>
    <w:rsid w:val="00D216CD"/>
    <w:rsid w:val="00D260D4"/>
    <w:rsid w:val="00D438C7"/>
    <w:rsid w:val="00D5278C"/>
    <w:rsid w:val="00D54847"/>
    <w:rsid w:val="00D60708"/>
    <w:rsid w:val="00D62FBC"/>
    <w:rsid w:val="00D708CD"/>
    <w:rsid w:val="00D77F6C"/>
    <w:rsid w:val="00D92B9C"/>
    <w:rsid w:val="00DA34DD"/>
    <w:rsid w:val="00DA6514"/>
    <w:rsid w:val="00DC32C3"/>
    <w:rsid w:val="00DC3493"/>
    <w:rsid w:val="00DC3725"/>
    <w:rsid w:val="00DE4ABF"/>
    <w:rsid w:val="00DE5A50"/>
    <w:rsid w:val="00DE7B1E"/>
    <w:rsid w:val="00E0389F"/>
    <w:rsid w:val="00E20623"/>
    <w:rsid w:val="00E2331D"/>
    <w:rsid w:val="00E25C28"/>
    <w:rsid w:val="00E415F4"/>
    <w:rsid w:val="00E432B8"/>
    <w:rsid w:val="00E50942"/>
    <w:rsid w:val="00E51A89"/>
    <w:rsid w:val="00E556AA"/>
    <w:rsid w:val="00E572E9"/>
    <w:rsid w:val="00E619D6"/>
    <w:rsid w:val="00E64CE6"/>
    <w:rsid w:val="00E6719E"/>
    <w:rsid w:val="00E679CD"/>
    <w:rsid w:val="00E70943"/>
    <w:rsid w:val="00E7470B"/>
    <w:rsid w:val="00EB3799"/>
    <w:rsid w:val="00ED2AC4"/>
    <w:rsid w:val="00ED32C7"/>
    <w:rsid w:val="00EE03EA"/>
    <w:rsid w:val="00EE3B42"/>
    <w:rsid w:val="00EE568B"/>
    <w:rsid w:val="00EE65ED"/>
    <w:rsid w:val="00EF299B"/>
    <w:rsid w:val="00F10C9D"/>
    <w:rsid w:val="00F11B64"/>
    <w:rsid w:val="00F142E2"/>
    <w:rsid w:val="00F25E01"/>
    <w:rsid w:val="00F2676B"/>
    <w:rsid w:val="00F336F1"/>
    <w:rsid w:val="00F46084"/>
    <w:rsid w:val="00F46420"/>
    <w:rsid w:val="00F61613"/>
    <w:rsid w:val="00F70187"/>
    <w:rsid w:val="00F9008E"/>
    <w:rsid w:val="00F9389F"/>
    <w:rsid w:val="00FA3C30"/>
    <w:rsid w:val="00FB2BBF"/>
    <w:rsid w:val="00FC7A60"/>
    <w:rsid w:val="00FD3FFD"/>
    <w:rsid w:val="00FD42AF"/>
    <w:rsid w:val="00FE0C05"/>
    <w:rsid w:val="00FE52EB"/>
    <w:rsid w:val="00FF0304"/>
    <w:rsid w:val="00FF473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B297AF8-2986-4B73-BAC4-9FE8FBF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1C"/>
    <w:pPr>
      <w:widowControl w:val="0"/>
    </w:pPr>
    <w:rPr>
      <w:snapToGrid w:val="0"/>
      <w:kern w:val="28"/>
      <w:sz w:val="22"/>
      <w:lang w:eastAsia="en-US"/>
    </w:rPr>
  </w:style>
  <w:style w:type="paragraph" w:styleId="Heading1">
    <w:name w:val="heading 1"/>
    <w:basedOn w:val="Normal"/>
    <w:next w:val="ParaNum"/>
    <w:qFormat/>
    <w:rsid w:val="002B10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101C"/>
    <w:pPr>
      <w:keepNext/>
      <w:numPr>
        <w:ilvl w:val="1"/>
        <w:numId w:val="3"/>
      </w:numPr>
      <w:spacing w:after="120"/>
      <w:outlineLvl w:val="1"/>
    </w:pPr>
    <w:rPr>
      <w:b/>
    </w:rPr>
  </w:style>
  <w:style w:type="paragraph" w:styleId="Heading3">
    <w:name w:val="heading 3"/>
    <w:basedOn w:val="Normal"/>
    <w:next w:val="ParaNum"/>
    <w:qFormat/>
    <w:rsid w:val="002B101C"/>
    <w:pPr>
      <w:keepNext/>
      <w:numPr>
        <w:ilvl w:val="2"/>
        <w:numId w:val="3"/>
      </w:numPr>
      <w:tabs>
        <w:tab w:val="left" w:pos="2160"/>
      </w:tabs>
      <w:spacing w:after="120"/>
      <w:outlineLvl w:val="2"/>
    </w:pPr>
    <w:rPr>
      <w:b/>
    </w:rPr>
  </w:style>
  <w:style w:type="paragraph" w:styleId="Heading4">
    <w:name w:val="heading 4"/>
    <w:basedOn w:val="Normal"/>
    <w:next w:val="ParaNum"/>
    <w:qFormat/>
    <w:rsid w:val="002B101C"/>
    <w:pPr>
      <w:keepNext/>
      <w:numPr>
        <w:ilvl w:val="3"/>
        <w:numId w:val="3"/>
      </w:numPr>
      <w:tabs>
        <w:tab w:val="left" w:pos="2880"/>
      </w:tabs>
      <w:spacing w:after="120"/>
      <w:outlineLvl w:val="3"/>
    </w:pPr>
    <w:rPr>
      <w:b/>
    </w:rPr>
  </w:style>
  <w:style w:type="paragraph" w:styleId="Heading5">
    <w:name w:val="heading 5"/>
    <w:basedOn w:val="Normal"/>
    <w:next w:val="ParaNum"/>
    <w:qFormat/>
    <w:rsid w:val="002B10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B101C"/>
    <w:pPr>
      <w:numPr>
        <w:ilvl w:val="5"/>
        <w:numId w:val="3"/>
      </w:numPr>
      <w:tabs>
        <w:tab w:val="left" w:pos="4320"/>
      </w:tabs>
      <w:spacing w:after="120"/>
      <w:outlineLvl w:val="5"/>
    </w:pPr>
    <w:rPr>
      <w:b/>
    </w:rPr>
  </w:style>
  <w:style w:type="paragraph" w:styleId="Heading7">
    <w:name w:val="heading 7"/>
    <w:basedOn w:val="Normal"/>
    <w:next w:val="ParaNum"/>
    <w:qFormat/>
    <w:rsid w:val="002B10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10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B10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B10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B101C"/>
  </w:style>
  <w:style w:type="paragraph" w:customStyle="1" w:styleId="ParaNum">
    <w:name w:val="ParaNum"/>
    <w:basedOn w:val="Normal"/>
    <w:rsid w:val="002B101C"/>
    <w:pPr>
      <w:numPr>
        <w:numId w:val="2"/>
      </w:numPr>
      <w:tabs>
        <w:tab w:val="clear" w:pos="1080"/>
        <w:tab w:val="num" w:pos="1440"/>
      </w:tabs>
      <w:spacing w:after="120"/>
    </w:pPr>
  </w:style>
  <w:style w:type="paragraph" w:styleId="EndnoteText">
    <w:name w:val="endnote text"/>
    <w:basedOn w:val="Normal"/>
    <w:semiHidden/>
    <w:rsid w:val="002B101C"/>
    <w:rPr>
      <w:sz w:val="20"/>
    </w:rPr>
  </w:style>
  <w:style w:type="character" w:styleId="EndnoteReference">
    <w:name w:val="endnote reference"/>
    <w:semiHidden/>
    <w:rsid w:val="002B101C"/>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2B101C"/>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B101C"/>
    <w:rPr>
      <w:rFonts w:ascii="Times New Roman" w:hAnsi="Times New Roman"/>
      <w:dstrike w:val="0"/>
      <w:color w:val="auto"/>
      <w:sz w:val="22"/>
      <w:vertAlign w:val="superscript"/>
    </w:rPr>
  </w:style>
  <w:style w:type="paragraph" w:styleId="TOC1">
    <w:name w:val="toc 1"/>
    <w:basedOn w:val="Normal"/>
    <w:next w:val="Normal"/>
    <w:uiPriority w:val="39"/>
    <w:rsid w:val="002B10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B101C"/>
    <w:pPr>
      <w:tabs>
        <w:tab w:val="left" w:pos="720"/>
        <w:tab w:val="right" w:leader="dot" w:pos="9360"/>
      </w:tabs>
      <w:suppressAutoHyphens/>
      <w:ind w:left="720" w:right="720" w:hanging="360"/>
    </w:pPr>
    <w:rPr>
      <w:noProof/>
    </w:rPr>
  </w:style>
  <w:style w:type="paragraph" w:styleId="TOC3">
    <w:name w:val="toc 3"/>
    <w:basedOn w:val="Normal"/>
    <w:next w:val="Normal"/>
    <w:semiHidden/>
    <w:rsid w:val="002B10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10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10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10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10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10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10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101C"/>
    <w:pPr>
      <w:tabs>
        <w:tab w:val="right" w:pos="9360"/>
      </w:tabs>
      <w:suppressAutoHyphens/>
    </w:pPr>
  </w:style>
  <w:style w:type="character" w:customStyle="1" w:styleId="EquationCaption">
    <w:name w:val="_Equation Caption"/>
    <w:rsid w:val="002B101C"/>
  </w:style>
  <w:style w:type="paragraph" w:styleId="Header">
    <w:name w:val="header"/>
    <w:basedOn w:val="Normal"/>
    <w:autoRedefine/>
    <w:rsid w:val="002B101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B101C"/>
    <w:pPr>
      <w:tabs>
        <w:tab w:val="center" w:pos="4320"/>
        <w:tab w:val="right" w:pos="8640"/>
      </w:tabs>
    </w:pPr>
  </w:style>
  <w:style w:type="character" w:styleId="PageNumber">
    <w:name w:val="page number"/>
    <w:basedOn w:val="DefaultParagraphFont"/>
    <w:rsid w:val="002B101C"/>
  </w:style>
  <w:style w:type="paragraph" w:styleId="BlockText">
    <w:name w:val="Block Text"/>
    <w:basedOn w:val="Normal"/>
    <w:rsid w:val="002B101C"/>
    <w:pPr>
      <w:spacing w:after="240"/>
      <w:ind w:left="1440" w:right="1440"/>
    </w:pPr>
  </w:style>
  <w:style w:type="paragraph" w:customStyle="1" w:styleId="Paratitle">
    <w:name w:val="Para title"/>
    <w:basedOn w:val="Normal"/>
    <w:rsid w:val="002B101C"/>
    <w:pPr>
      <w:tabs>
        <w:tab w:val="center" w:pos="9270"/>
      </w:tabs>
      <w:spacing w:after="240"/>
    </w:pPr>
    <w:rPr>
      <w:spacing w:val="-2"/>
    </w:rPr>
  </w:style>
  <w:style w:type="paragraph" w:customStyle="1" w:styleId="Bullet">
    <w:name w:val="Bullet"/>
    <w:basedOn w:val="Normal"/>
    <w:rsid w:val="002B101C"/>
    <w:pPr>
      <w:numPr>
        <w:numId w:val="1"/>
      </w:numPr>
      <w:tabs>
        <w:tab w:val="clear" w:pos="360"/>
        <w:tab w:val="left" w:pos="2160"/>
      </w:tabs>
      <w:spacing w:after="220"/>
      <w:ind w:left="2160" w:hanging="720"/>
    </w:pPr>
  </w:style>
  <w:style w:type="paragraph" w:customStyle="1" w:styleId="TableFormat">
    <w:name w:val="TableFormat"/>
    <w:basedOn w:val="Bullet"/>
    <w:rsid w:val="002B101C"/>
    <w:pPr>
      <w:numPr>
        <w:numId w:val="0"/>
      </w:numPr>
      <w:tabs>
        <w:tab w:val="clear" w:pos="2160"/>
        <w:tab w:val="left" w:pos="5040"/>
      </w:tabs>
      <w:ind w:left="5040" w:hanging="3600"/>
    </w:pPr>
  </w:style>
  <w:style w:type="paragraph" w:customStyle="1" w:styleId="TOCTitle">
    <w:name w:val="TOC Title"/>
    <w:basedOn w:val="Normal"/>
    <w:rsid w:val="002B10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101C"/>
    <w:pPr>
      <w:jc w:val="center"/>
    </w:pPr>
    <w:rPr>
      <w:rFonts w:ascii="Times New Roman Bold" w:hAnsi="Times New Roman Bold"/>
      <w:b/>
      <w:bCs/>
      <w:caps/>
      <w:szCs w:val="22"/>
    </w:rPr>
  </w:style>
  <w:style w:type="character" w:styleId="Hyperlink">
    <w:name w:val="Hyperlink"/>
    <w:rsid w:val="002B101C"/>
    <w:rPr>
      <w:color w:val="0000FF"/>
      <w:u w:val="single"/>
    </w:rPr>
  </w:style>
  <w:style w:type="character" w:customStyle="1" w:styleId="FooterChar">
    <w:name w:val="Footer Char"/>
    <w:link w:val="Footer"/>
    <w:uiPriority w:val="99"/>
    <w:rsid w:val="002B101C"/>
    <w:rPr>
      <w:snapToGrid w:val="0"/>
      <w:kern w:val="28"/>
      <w:sz w:val="22"/>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rPr>
      <w:lang w:eastAsia="en-US"/>
    </w:rPr>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1">
    <w:name w:val="Unresolved Mention1"/>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lang w:eastAsia="en-US"/>
    </w:rPr>
  </w:style>
  <w:style w:type="character" w:customStyle="1" w:styleId="UnresolvedMention">
    <w:name w:val="Unresolved Mention"/>
    <w:basedOn w:val="DefaultParagraphFont"/>
    <w:uiPriority w:val="99"/>
    <w:rsid w:val="0091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www.fcc.gov/auction/903" TargetMode="External" /><Relationship Id="rId3"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4"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