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61B24DB3" w14:textId="11D08626">
      <w:pPr>
        <w:jc w:val="right"/>
        <w:rPr>
          <w:b/>
          <w:sz w:val="24"/>
        </w:rPr>
      </w:pPr>
      <w:r>
        <w:rPr>
          <w:b/>
          <w:sz w:val="24"/>
        </w:rPr>
        <w:t xml:space="preserve">DA </w:t>
      </w:r>
      <w:r w:rsidR="00F3540B">
        <w:rPr>
          <w:b/>
          <w:sz w:val="24"/>
        </w:rPr>
        <w:t>20</w:t>
      </w:r>
      <w:r>
        <w:rPr>
          <w:b/>
          <w:sz w:val="24"/>
        </w:rPr>
        <w:t>-</w:t>
      </w:r>
      <w:r w:rsidR="00ED7318">
        <w:rPr>
          <w:b/>
          <w:sz w:val="24"/>
        </w:rPr>
        <w:t>267</w:t>
      </w:r>
    </w:p>
    <w:p w:rsidR="00013A8B" w:rsidRPr="00B20363" w:rsidP="00013A8B" w14:paraId="105BB9CD" w14:textId="5241812B">
      <w:pPr>
        <w:spacing w:before="60"/>
        <w:jc w:val="right"/>
        <w:rPr>
          <w:b/>
          <w:sz w:val="24"/>
        </w:rPr>
      </w:pPr>
      <w:r>
        <w:rPr>
          <w:b/>
          <w:sz w:val="24"/>
        </w:rPr>
        <w:t xml:space="preserve">Released:  </w:t>
      </w:r>
      <w:r w:rsidR="00100411">
        <w:rPr>
          <w:b/>
          <w:sz w:val="24"/>
        </w:rPr>
        <w:t xml:space="preserve">March </w:t>
      </w:r>
      <w:r w:rsidR="00F3540B">
        <w:rPr>
          <w:b/>
          <w:sz w:val="24"/>
        </w:rPr>
        <w:t>13</w:t>
      </w:r>
      <w:r w:rsidR="00100411">
        <w:rPr>
          <w:b/>
          <w:sz w:val="24"/>
        </w:rPr>
        <w:t>, 2020</w:t>
      </w:r>
    </w:p>
    <w:p w:rsidR="00013A8B" w:rsidP="00013A8B" w14:paraId="29F3A4EC" w14:textId="77777777">
      <w:pPr>
        <w:jc w:val="right"/>
        <w:rPr>
          <w:sz w:val="24"/>
        </w:rPr>
      </w:pPr>
    </w:p>
    <w:p w:rsidR="00100411" w:rsidP="00100411" w14:paraId="215B558A" w14:textId="77777777">
      <w:pPr>
        <w:widowControl/>
        <w:tabs>
          <w:tab w:val="center" w:pos="5184"/>
        </w:tabs>
        <w:jc w:val="center"/>
        <w:rPr>
          <w:b/>
          <w:snapToGrid/>
          <w:kern w:val="0"/>
          <w:sz w:val="24"/>
          <w:szCs w:val="24"/>
        </w:rPr>
      </w:pPr>
      <w:r w:rsidRPr="00C25679">
        <w:rPr>
          <w:b/>
          <w:caps/>
          <w:snapToGrid/>
          <w:kern w:val="0"/>
          <w:sz w:val="24"/>
          <w:szCs w:val="24"/>
        </w:rPr>
        <w:t>PUBLIC SAFETY AND HOMELAND SECURITY BUREAU</w:t>
      </w:r>
      <w:r w:rsidRPr="00C25679">
        <w:rPr>
          <w:b/>
          <w:snapToGrid/>
          <w:kern w:val="0"/>
          <w:sz w:val="24"/>
          <w:szCs w:val="24"/>
        </w:rPr>
        <w:t xml:space="preserve"> SEEKS COMMENT ON APPLICABILITY OF </w:t>
      </w:r>
      <w:r w:rsidRPr="00244848">
        <w:rPr>
          <w:rFonts w:ascii="Times New Roman Bold" w:hAnsi="Times New Roman Bold"/>
          <w:b/>
          <w:caps/>
          <w:snapToGrid/>
          <w:kern w:val="0"/>
          <w:sz w:val="24"/>
          <w:szCs w:val="24"/>
        </w:rPr>
        <w:t>Secure and Trusted Communications Networks</w:t>
      </w:r>
      <w:r w:rsidRPr="00244848">
        <w:rPr>
          <w:b/>
          <w:snapToGrid/>
          <w:kern w:val="0"/>
          <w:sz w:val="24"/>
          <w:szCs w:val="24"/>
        </w:rPr>
        <w:t xml:space="preserve"> </w:t>
      </w:r>
      <w:r w:rsidRPr="00C25679">
        <w:rPr>
          <w:b/>
          <w:snapToGrid/>
          <w:kern w:val="0"/>
          <w:sz w:val="24"/>
          <w:szCs w:val="24"/>
        </w:rPr>
        <w:t xml:space="preserve">ACT </w:t>
      </w:r>
      <w:r>
        <w:rPr>
          <w:b/>
          <w:snapToGrid/>
          <w:kern w:val="0"/>
          <w:sz w:val="24"/>
          <w:szCs w:val="24"/>
        </w:rPr>
        <w:t xml:space="preserve">OF 2019 </w:t>
      </w:r>
      <w:r w:rsidRPr="00C25679">
        <w:rPr>
          <w:b/>
          <w:snapToGrid/>
          <w:kern w:val="0"/>
          <w:sz w:val="24"/>
          <w:szCs w:val="24"/>
        </w:rPr>
        <w:t xml:space="preserve">TO </w:t>
      </w:r>
      <w:r>
        <w:rPr>
          <w:b/>
          <w:snapToGrid/>
          <w:kern w:val="0"/>
          <w:sz w:val="24"/>
          <w:szCs w:val="24"/>
        </w:rPr>
        <w:t xml:space="preserve">INITIAL DESIGNATION PROCEEDINGS OF HUAWEI AND ZTE </w:t>
      </w:r>
    </w:p>
    <w:p w:rsidR="00100411" w:rsidRPr="00C25679" w:rsidP="00100411" w14:paraId="47ED4827" w14:textId="77777777">
      <w:pPr>
        <w:widowControl/>
        <w:tabs>
          <w:tab w:val="center" w:pos="5184"/>
        </w:tabs>
        <w:jc w:val="center"/>
        <w:rPr>
          <w:b/>
          <w:snapToGrid/>
          <w:kern w:val="0"/>
          <w:sz w:val="24"/>
          <w:szCs w:val="24"/>
        </w:rPr>
      </w:pPr>
    </w:p>
    <w:p w:rsidR="00100411" w:rsidRPr="00C25679" w:rsidP="00100411" w14:paraId="74F5E2C5" w14:textId="77777777">
      <w:pPr>
        <w:widowControl/>
        <w:tabs>
          <w:tab w:val="center" w:pos="5184"/>
        </w:tabs>
        <w:jc w:val="center"/>
        <w:rPr>
          <w:b/>
          <w:snapToGrid/>
          <w:kern w:val="0"/>
          <w:sz w:val="24"/>
          <w:szCs w:val="24"/>
        </w:rPr>
      </w:pPr>
      <w:r>
        <w:rPr>
          <w:b/>
          <w:snapToGrid/>
          <w:kern w:val="0"/>
          <w:sz w:val="24"/>
          <w:szCs w:val="24"/>
        </w:rPr>
        <w:t>PS</w:t>
      </w:r>
      <w:r w:rsidRPr="00C25679">
        <w:rPr>
          <w:b/>
          <w:snapToGrid/>
          <w:kern w:val="0"/>
          <w:sz w:val="24"/>
          <w:szCs w:val="24"/>
        </w:rPr>
        <w:t xml:space="preserve"> Docket No. 19-351</w:t>
      </w:r>
      <w:r>
        <w:rPr>
          <w:b/>
          <w:snapToGrid/>
          <w:kern w:val="0"/>
          <w:sz w:val="24"/>
          <w:szCs w:val="24"/>
        </w:rPr>
        <w:t xml:space="preserve"> (Huawei Designation)</w:t>
      </w:r>
    </w:p>
    <w:p w:rsidR="00100411" w:rsidRPr="00C25679" w:rsidP="00100411" w14:paraId="1809A145" w14:textId="77777777">
      <w:pPr>
        <w:widowControl/>
        <w:tabs>
          <w:tab w:val="center" w:pos="5184"/>
        </w:tabs>
        <w:jc w:val="center"/>
        <w:rPr>
          <w:b/>
          <w:snapToGrid/>
          <w:kern w:val="0"/>
          <w:sz w:val="24"/>
          <w:szCs w:val="24"/>
        </w:rPr>
      </w:pPr>
      <w:r>
        <w:rPr>
          <w:b/>
          <w:snapToGrid/>
          <w:kern w:val="0"/>
          <w:sz w:val="24"/>
          <w:szCs w:val="24"/>
        </w:rPr>
        <w:t>PS</w:t>
      </w:r>
      <w:r w:rsidRPr="00C25679">
        <w:rPr>
          <w:b/>
          <w:snapToGrid/>
          <w:kern w:val="0"/>
          <w:sz w:val="24"/>
          <w:szCs w:val="24"/>
        </w:rPr>
        <w:t xml:space="preserve"> Docket No. 19-352</w:t>
      </w:r>
      <w:r>
        <w:rPr>
          <w:b/>
          <w:snapToGrid/>
          <w:kern w:val="0"/>
          <w:sz w:val="24"/>
          <w:szCs w:val="24"/>
        </w:rPr>
        <w:t xml:space="preserve"> (ZTE Designation)</w:t>
      </w:r>
    </w:p>
    <w:p w:rsidR="00100411" w:rsidRPr="00C25679" w:rsidP="00100411" w14:paraId="447C97BA" w14:textId="77777777">
      <w:pPr>
        <w:widowControl/>
        <w:tabs>
          <w:tab w:val="center" w:pos="5184"/>
        </w:tabs>
        <w:jc w:val="center"/>
        <w:rPr>
          <w:snapToGrid/>
          <w:kern w:val="0"/>
          <w:sz w:val="24"/>
          <w:szCs w:val="24"/>
        </w:rPr>
      </w:pPr>
    </w:p>
    <w:p w:rsidR="00100411" w:rsidRPr="00C25679" w:rsidP="00A26636" w14:paraId="7AD5953B" w14:textId="3605350D">
      <w:pPr>
        <w:widowControl/>
        <w:spacing w:after="240"/>
        <w:rPr>
          <w:b/>
          <w:snapToGrid/>
          <w:kern w:val="0"/>
          <w:sz w:val="24"/>
          <w:szCs w:val="24"/>
        </w:rPr>
      </w:pPr>
      <w:bookmarkStart w:id="0" w:name="_Hlk528153309"/>
      <w:r w:rsidRPr="00C25679">
        <w:rPr>
          <w:b/>
          <w:snapToGrid/>
          <w:kern w:val="0"/>
          <w:sz w:val="24"/>
          <w:szCs w:val="24"/>
        </w:rPr>
        <w:t xml:space="preserve">Comment Date:  </w:t>
      </w:r>
      <w:r w:rsidR="00F3540B">
        <w:rPr>
          <w:b/>
          <w:snapToGrid/>
          <w:kern w:val="0"/>
          <w:sz w:val="24"/>
          <w:szCs w:val="24"/>
        </w:rPr>
        <w:t>March 27, 2020</w:t>
      </w:r>
    </w:p>
    <w:bookmarkEnd w:id="0"/>
    <w:p w:rsidR="00100411" w:rsidRPr="00C25679" w:rsidP="00A26636" w14:paraId="6ECAF064" w14:textId="7B62CD53">
      <w:pPr>
        <w:widowControl/>
        <w:spacing w:after="120"/>
        <w:rPr>
          <w:iCs/>
          <w:snapToGrid/>
          <w:kern w:val="0"/>
          <w:sz w:val="24"/>
          <w:szCs w:val="24"/>
        </w:rPr>
      </w:pPr>
      <w:r w:rsidRPr="00C25679">
        <w:rPr>
          <w:snapToGrid/>
          <w:kern w:val="0"/>
          <w:sz w:val="24"/>
          <w:szCs w:val="24"/>
        </w:rPr>
        <w:tab/>
        <w:t xml:space="preserve">With this Public Notice, the Public Safety and Homeland Security Bureau </w:t>
      </w:r>
      <w:bookmarkStart w:id="1" w:name="_Hlk528156570"/>
      <w:bookmarkStart w:id="2" w:name="_Hlk528251497"/>
      <w:r>
        <w:rPr>
          <w:snapToGrid/>
          <w:kern w:val="0"/>
          <w:sz w:val="24"/>
          <w:szCs w:val="24"/>
        </w:rPr>
        <w:t xml:space="preserve">(Bureau) </w:t>
      </w:r>
      <w:r w:rsidRPr="00C25679">
        <w:rPr>
          <w:snapToGrid/>
          <w:kern w:val="0"/>
          <w:sz w:val="24"/>
          <w:szCs w:val="24"/>
        </w:rPr>
        <w:t xml:space="preserve">seeks comment on the applicability of the </w:t>
      </w:r>
      <w:bookmarkStart w:id="3" w:name="_Hlk34398690"/>
      <w:r w:rsidRPr="00C25679">
        <w:rPr>
          <w:sz w:val="24"/>
          <w:szCs w:val="24"/>
        </w:rPr>
        <w:t>Secure and Trusted Communications Networks Act</w:t>
      </w:r>
      <w:r>
        <w:rPr>
          <w:sz w:val="24"/>
          <w:szCs w:val="24"/>
        </w:rPr>
        <w:t xml:space="preserve"> of 2019</w:t>
      </w:r>
      <w:r w:rsidRPr="00C25679">
        <w:rPr>
          <w:sz w:val="24"/>
          <w:szCs w:val="24"/>
        </w:rPr>
        <w:t xml:space="preserve"> </w:t>
      </w:r>
      <w:bookmarkEnd w:id="3"/>
      <w:r w:rsidRPr="00C25679">
        <w:rPr>
          <w:sz w:val="24"/>
          <w:szCs w:val="24"/>
        </w:rPr>
        <w:t>(Secure Networks Act)</w:t>
      </w:r>
      <w:r>
        <w:rPr>
          <w:rStyle w:val="FootnoteReference"/>
          <w:sz w:val="24"/>
          <w:szCs w:val="24"/>
        </w:rPr>
        <w:footnoteReference w:id="3"/>
      </w:r>
      <w:r w:rsidRPr="00C25679">
        <w:rPr>
          <w:b/>
          <w:bCs/>
          <w:sz w:val="24"/>
          <w:szCs w:val="24"/>
        </w:rPr>
        <w:t xml:space="preserve"> </w:t>
      </w:r>
      <w:r w:rsidRPr="00C25679">
        <w:rPr>
          <w:snapToGrid/>
          <w:kern w:val="0"/>
          <w:sz w:val="24"/>
          <w:szCs w:val="24"/>
        </w:rPr>
        <w:t>to the designation</w:t>
      </w:r>
      <w:r>
        <w:rPr>
          <w:snapToGrid/>
          <w:kern w:val="0"/>
          <w:sz w:val="24"/>
          <w:szCs w:val="24"/>
        </w:rPr>
        <w:t xml:space="preserve"> proceedings involving</w:t>
      </w:r>
      <w:r w:rsidRPr="00C25679">
        <w:rPr>
          <w:snapToGrid/>
          <w:kern w:val="0"/>
          <w:sz w:val="24"/>
          <w:szCs w:val="24"/>
        </w:rPr>
        <w:t xml:space="preserve"> Huawei Technologies Company (Huawei) and ZTE Corporation (ZTE)</w:t>
      </w:r>
      <w:r>
        <w:rPr>
          <w:snapToGrid/>
          <w:kern w:val="0"/>
          <w:sz w:val="24"/>
          <w:szCs w:val="24"/>
        </w:rPr>
        <w:t xml:space="preserve"> announced in</w:t>
      </w:r>
      <w:r w:rsidRPr="00C25679">
        <w:rPr>
          <w:snapToGrid/>
          <w:kern w:val="0"/>
          <w:sz w:val="24"/>
          <w:szCs w:val="24"/>
        </w:rPr>
        <w:t xml:space="preserve"> the Commission’s </w:t>
      </w:r>
      <w:r w:rsidRPr="00C25679">
        <w:rPr>
          <w:i/>
          <w:snapToGrid/>
          <w:kern w:val="0"/>
          <w:sz w:val="24"/>
          <w:szCs w:val="24"/>
        </w:rPr>
        <w:t xml:space="preserve">Protecting Against National Security Threats </w:t>
      </w:r>
      <w:bookmarkEnd w:id="1"/>
      <w:bookmarkEnd w:id="2"/>
      <w:r w:rsidRPr="00C25679">
        <w:rPr>
          <w:i/>
          <w:snapToGrid/>
          <w:kern w:val="0"/>
          <w:sz w:val="24"/>
          <w:szCs w:val="24"/>
        </w:rPr>
        <w:t>Order</w:t>
      </w:r>
      <w:r w:rsidRPr="00C25679">
        <w:rPr>
          <w:iCs/>
          <w:snapToGrid/>
          <w:kern w:val="0"/>
          <w:sz w:val="24"/>
          <w:szCs w:val="24"/>
        </w:rPr>
        <w:t>.</w:t>
      </w:r>
      <w:r>
        <w:rPr>
          <w:rStyle w:val="FootnoteReference"/>
          <w:iCs/>
          <w:snapToGrid/>
          <w:kern w:val="0"/>
          <w:sz w:val="24"/>
          <w:szCs w:val="24"/>
        </w:rPr>
        <w:footnoteReference w:id="4"/>
      </w:r>
      <w:r w:rsidRPr="00C25679">
        <w:rPr>
          <w:iCs/>
          <w:snapToGrid/>
          <w:kern w:val="0"/>
          <w:sz w:val="24"/>
          <w:szCs w:val="24"/>
        </w:rPr>
        <w:t xml:space="preserve"> </w:t>
      </w:r>
    </w:p>
    <w:p w:rsidR="00100411" w:rsidRPr="00C25679" w:rsidP="00A26636" w14:paraId="7A75252F" w14:textId="77777777">
      <w:pPr>
        <w:pStyle w:val="ParaNum"/>
        <w:numPr>
          <w:ilvl w:val="0"/>
          <w:numId w:val="0"/>
        </w:numPr>
        <w:ind w:firstLine="720"/>
        <w:rPr>
          <w:iCs/>
          <w:snapToGrid/>
          <w:kern w:val="0"/>
          <w:sz w:val="24"/>
          <w:szCs w:val="24"/>
        </w:rPr>
      </w:pPr>
      <w:r w:rsidRPr="00C25679">
        <w:rPr>
          <w:sz w:val="24"/>
          <w:szCs w:val="24"/>
        </w:rPr>
        <w:t xml:space="preserve">On November 22, 2019, the Commission adopted </w:t>
      </w:r>
      <w:r>
        <w:rPr>
          <w:sz w:val="24"/>
          <w:szCs w:val="24"/>
        </w:rPr>
        <w:t xml:space="preserve">a rule </w:t>
      </w:r>
      <w:r w:rsidRPr="00C25679">
        <w:rPr>
          <w:iCs/>
          <w:sz w:val="24"/>
          <w:szCs w:val="24"/>
        </w:rPr>
        <w:t>barr</w:t>
      </w:r>
      <w:r>
        <w:rPr>
          <w:iCs/>
          <w:sz w:val="24"/>
          <w:szCs w:val="24"/>
        </w:rPr>
        <w:t>ing</w:t>
      </w:r>
      <w:r w:rsidRPr="00C25679">
        <w:rPr>
          <w:iCs/>
          <w:sz w:val="24"/>
          <w:szCs w:val="24"/>
        </w:rPr>
        <w:t xml:space="preserve"> </w:t>
      </w:r>
      <w:r w:rsidRPr="00C25679">
        <w:rPr>
          <w:sz w:val="24"/>
          <w:szCs w:val="24"/>
        </w:rPr>
        <w:t>universal service support to purchase, obtain, maintain, improve, modify, or otherwise support any equipment or services produced or provided by a covered company posing a national security threat to the integrity of communications networks or the communications supply chain.</w:t>
      </w:r>
      <w:r>
        <w:rPr>
          <w:rStyle w:val="FootnoteReference"/>
          <w:sz w:val="24"/>
          <w:szCs w:val="24"/>
        </w:rPr>
        <w:footnoteReference w:id="5"/>
      </w:r>
      <w:r w:rsidRPr="00C25679">
        <w:rPr>
          <w:sz w:val="24"/>
          <w:szCs w:val="24"/>
        </w:rPr>
        <w:t xml:space="preserve">  </w:t>
      </w:r>
      <w:bookmarkStart w:id="4" w:name="_Hlk34826477"/>
      <w:r w:rsidRPr="00C25679">
        <w:rPr>
          <w:sz w:val="24"/>
          <w:szCs w:val="24"/>
        </w:rPr>
        <w:t xml:space="preserve">The </w:t>
      </w:r>
      <w:r w:rsidRPr="00C25679">
        <w:rPr>
          <w:i/>
          <w:sz w:val="24"/>
          <w:szCs w:val="24"/>
        </w:rPr>
        <w:t xml:space="preserve">Order </w:t>
      </w:r>
      <w:r w:rsidRPr="00C25679">
        <w:rPr>
          <w:sz w:val="24"/>
          <w:szCs w:val="24"/>
        </w:rPr>
        <w:t xml:space="preserve">also </w:t>
      </w:r>
      <w:r>
        <w:rPr>
          <w:sz w:val="24"/>
          <w:szCs w:val="24"/>
        </w:rPr>
        <w:t xml:space="preserve">initially </w:t>
      </w:r>
      <w:r w:rsidRPr="00C25679">
        <w:rPr>
          <w:sz w:val="24"/>
          <w:szCs w:val="24"/>
        </w:rPr>
        <w:t>designated Huawei and ZTE</w:t>
      </w:r>
      <w:r>
        <w:rPr>
          <w:rStyle w:val="FootnoteReference"/>
          <w:sz w:val="24"/>
          <w:szCs w:val="24"/>
        </w:rPr>
        <w:footnoteReference w:id="6"/>
      </w:r>
      <w:r w:rsidRPr="00C25679">
        <w:rPr>
          <w:sz w:val="24"/>
          <w:szCs w:val="24"/>
        </w:rPr>
        <w:t xml:space="preserve"> </w:t>
      </w:r>
      <w:r>
        <w:rPr>
          <w:sz w:val="24"/>
          <w:szCs w:val="24"/>
        </w:rPr>
        <w:t xml:space="preserve">as covered companies and </w:t>
      </w:r>
      <w:r w:rsidRPr="00C25679">
        <w:rPr>
          <w:sz w:val="24"/>
          <w:szCs w:val="24"/>
        </w:rPr>
        <w:t xml:space="preserve">directed the Bureau to </w:t>
      </w:r>
      <w:r>
        <w:rPr>
          <w:sz w:val="24"/>
          <w:szCs w:val="24"/>
        </w:rPr>
        <w:t>make a final determination with respect to these entities following a comment period during which each could proffer an opposition to the initial designation</w:t>
      </w:r>
      <w:bookmarkEnd w:id="4"/>
      <w:r w:rsidRPr="00C25679">
        <w:rPr>
          <w:sz w:val="24"/>
          <w:szCs w:val="24"/>
        </w:rPr>
        <w:t>.</w:t>
      </w:r>
      <w:r>
        <w:rPr>
          <w:rStyle w:val="FootnoteReference"/>
          <w:sz w:val="24"/>
          <w:szCs w:val="24"/>
        </w:rPr>
        <w:footnoteReference w:id="7"/>
      </w:r>
      <w:r w:rsidRPr="00C25679">
        <w:rPr>
          <w:sz w:val="24"/>
          <w:szCs w:val="24"/>
        </w:rPr>
        <w:t xml:space="preserve">  </w:t>
      </w:r>
      <w:r>
        <w:rPr>
          <w:sz w:val="24"/>
          <w:szCs w:val="24"/>
        </w:rPr>
        <w:t>Both Huawei and ZTE have submitted filings to the Bureau opposing their initial designations.</w:t>
      </w:r>
      <w:r>
        <w:rPr>
          <w:rStyle w:val="FootnoteReference"/>
          <w:szCs w:val="24"/>
        </w:rPr>
        <w:footnoteReference w:id="8"/>
      </w:r>
    </w:p>
    <w:p w:rsidR="00A26636" w:rsidRPr="00C25679" w:rsidP="00A26636" w14:paraId="6CD1649F" w14:textId="186FFE09">
      <w:pPr>
        <w:widowControl/>
        <w:spacing w:after="120"/>
        <w:rPr>
          <w:sz w:val="24"/>
          <w:szCs w:val="24"/>
        </w:rPr>
      </w:pPr>
      <w:r w:rsidRPr="00C25679">
        <w:rPr>
          <w:snapToGrid/>
          <w:kern w:val="0"/>
          <w:sz w:val="24"/>
          <w:szCs w:val="24"/>
        </w:rPr>
        <w:tab/>
      </w:r>
      <w:r w:rsidRPr="00C25679">
        <w:rPr>
          <w:sz w:val="24"/>
          <w:szCs w:val="24"/>
        </w:rPr>
        <w:t xml:space="preserve">On </w:t>
      </w:r>
      <w:r w:rsidR="00C90304">
        <w:rPr>
          <w:sz w:val="24"/>
          <w:szCs w:val="24"/>
        </w:rPr>
        <w:t>March 12, 2020</w:t>
      </w:r>
      <w:r>
        <w:rPr>
          <w:sz w:val="24"/>
          <w:szCs w:val="24"/>
        </w:rPr>
        <w:t>,</w:t>
      </w:r>
      <w:r w:rsidRPr="00C25679">
        <w:rPr>
          <w:sz w:val="24"/>
          <w:szCs w:val="24"/>
        </w:rPr>
        <w:t xml:space="preserve"> the Secure Networks Act</w:t>
      </w:r>
      <w:r>
        <w:rPr>
          <w:sz w:val="24"/>
          <w:szCs w:val="24"/>
        </w:rPr>
        <w:t xml:space="preserve"> became law</w:t>
      </w:r>
      <w:r w:rsidRPr="00C25679">
        <w:rPr>
          <w:sz w:val="24"/>
          <w:szCs w:val="24"/>
        </w:rPr>
        <w:t>.</w:t>
      </w:r>
      <w:r>
        <w:rPr>
          <w:rStyle w:val="FootnoteReference"/>
          <w:sz w:val="24"/>
          <w:szCs w:val="24"/>
        </w:rPr>
        <w:footnoteReference w:id="9"/>
      </w:r>
      <w:r w:rsidRPr="00C25679">
        <w:rPr>
          <w:sz w:val="24"/>
          <w:szCs w:val="24"/>
        </w:rPr>
        <w:t xml:space="preserve">  </w:t>
      </w:r>
      <w:r>
        <w:rPr>
          <w:sz w:val="24"/>
          <w:szCs w:val="24"/>
        </w:rPr>
        <w:t xml:space="preserve">The Secure Networks Act </w:t>
      </w:r>
      <w:r w:rsidRPr="00C25679">
        <w:rPr>
          <w:sz w:val="24"/>
          <w:szCs w:val="24"/>
        </w:rPr>
        <w:t xml:space="preserve">directs the Commission to publish a list of covered </w:t>
      </w:r>
      <w:r>
        <w:rPr>
          <w:sz w:val="24"/>
          <w:szCs w:val="24"/>
        </w:rPr>
        <w:t xml:space="preserve">communications </w:t>
      </w:r>
      <w:r w:rsidRPr="00C25679">
        <w:rPr>
          <w:sz w:val="24"/>
          <w:szCs w:val="24"/>
        </w:rPr>
        <w:t>equipment or services</w:t>
      </w:r>
      <w:r>
        <w:rPr>
          <w:sz w:val="24"/>
          <w:szCs w:val="24"/>
        </w:rPr>
        <w:t xml:space="preserve"> that meet two criteria.  </w:t>
      </w:r>
      <w:r>
        <w:rPr>
          <w:i/>
          <w:iCs/>
          <w:sz w:val="24"/>
          <w:szCs w:val="24"/>
        </w:rPr>
        <w:t>First</w:t>
      </w:r>
      <w:r>
        <w:rPr>
          <w:sz w:val="24"/>
          <w:szCs w:val="24"/>
        </w:rPr>
        <w:t xml:space="preserve">, the Act states that equipment or services shall be placed on the list if they are “produced or provided by any entity” that “poses an unacceptable risk to the national security of the United States or the security and safety of United States persons,” pursuant to certain determinations set forth in the Act.  As relevant here, the Act states that this criterion is satisfied with respect to </w:t>
      </w:r>
      <w:r w:rsidRPr="00C25679">
        <w:rPr>
          <w:sz w:val="24"/>
          <w:szCs w:val="24"/>
        </w:rPr>
        <w:t>tel</w:t>
      </w:r>
      <w:bookmarkStart w:id="5" w:name="_GoBack"/>
      <w:bookmarkEnd w:id="5"/>
      <w:r w:rsidRPr="00C25679">
        <w:rPr>
          <w:sz w:val="24"/>
          <w:szCs w:val="24"/>
        </w:rPr>
        <w:t>ecommunications equipment or services covered in the National Defense Authorization Act for Fiscal Year 2019 (2019 NDAA), which includes Huawei and ZTE equipment</w:t>
      </w:r>
      <w:r>
        <w:rPr>
          <w:sz w:val="24"/>
          <w:szCs w:val="24"/>
        </w:rPr>
        <w:t xml:space="preserve">.  </w:t>
      </w:r>
      <w:r w:rsidRPr="00E25CAB">
        <w:rPr>
          <w:i/>
          <w:iCs/>
          <w:sz w:val="24"/>
          <w:szCs w:val="24"/>
        </w:rPr>
        <w:t>Second</w:t>
      </w:r>
      <w:r>
        <w:rPr>
          <w:sz w:val="24"/>
          <w:szCs w:val="24"/>
        </w:rPr>
        <w:t xml:space="preserve">, the Commission must determine that the equipment or services are “capable of . . . (A) routing or </w:t>
      </w:r>
      <w:r w:rsidRPr="003E2606">
        <w:rPr>
          <w:sz w:val="24"/>
          <w:szCs w:val="24"/>
        </w:rPr>
        <w:t>redirecting user data traffic or permitting visibility into any user data or packets that such equipment or service transmits or otherwise handles</w:t>
      </w:r>
      <w:r>
        <w:rPr>
          <w:sz w:val="24"/>
          <w:szCs w:val="24"/>
        </w:rPr>
        <w:t xml:space="preserve">; (B) </w:t>
      </w:r>
      <w:r w:rsidRPr="003E2606">
        <w:rPr>
          <w:sz w:val="24"/>
          <w:szCs w:val="24"/>
        </w:rPr>
        <w:t>causing the network of a provider of advanced communications service to be disrupted remotely; or</w:t>
      </w:r>
      <w:r>
        <w:rPr>
          <w:sz w:val="24"/>
          <w:szCs w:val="24"/>
        </w:rPr>
        <w:t xml:space="preserve"> (C) </w:t>
      </w:r>
      <w:r w:rsidRPr="003E2606">
        <w:rPr>
          <w:sz w:val="24"/>
          <w:szCs w:val="24"/>
        </w:rPr>
        <w:t>otherwise posing an unacceptable risk to the national security of the United States or the security and safety of United States persons.</w:t>
      </w:r>
      <w:r>
        <w:rPr>
          <w:sz w:val="24"/>
          <w:szCs w:val="24"/>
        </w:rPr>
        <w:t>”</w:t>
      </w:r>
      <w:r>
        <w:rPr>
          <w:rStyle w:val="FootnoteReference"/>
          <w:sz w:val="24"/>
          <w:szCs w:val="24"/>
        </w:rPr>
        <w:footnoteReference w:id="10"/>
      </w:r>
      <w:r w:rsidRPr="00C25679">
        <w:rPr>
          <w:sz w:val="24"/>
          <w:szCs w:val="24"/>
        </w:rPr>
        <w:t xml:space="preserve">  The Secure Networks Act further prohibits </w:t>
      </w:r>
      <w:r>
        <w:rPr>
          <w:sz w:val="24"/>
          <w:szCs w:val="24"/>
        </w:rPr>
        <w:t xml:space="preserve">the </w:t>
      </w:r>
      <w:r w:rsidRPr="00C25679">
        <w:rPr>
          <w:sz w:val="24"/>
          <w:szCs w:val="24"/>
        </w:rPr>
        <w:t>use of federal subsidy funds, such as the Universal Service Fund, to purchase, rent, lease, or otherwise obtain, or to maintain, listed communications equipment or services.</w:t>
      </w:r>
      <w:r>
        <w:rPr>
          <w:rStyle w:val="FootnoteReference"/>
          <w:sz w:val="24"/>
          <w:szCs w:val="24"/>
        </w:rPr>
        <w:footnoteReference w:id="11"/>
      </w:r>
      <w:r w:rsidRPr="00C25679">
        <w:rPr>
          <w:sz w:val="24"/>
          <w:szCs w:val="24"/>
        </w:rPr>
        <w:t xml:space="preserve">   </w:t>
      </w:r>
    </w:p>
    <w:p w:rsidR="00100411" w:rsidRPr="00A26636" w:rsidP="00A26636" w14:paraId="3BEB8988" w14:textId="1B714DF4">
      <w:pPr>
        <w:widowControl/>
        <w:spacing w:after="120"/>
        <w:rPr>
          <w:iCs/>
        </w:rPr>
      </w:pPr>
      <w:r w:rsidRPr="00C25679">
        <w:rPr>
          <w:sz w:val="24"/>
          <w:szCs w:val="24"/>
        </w:rPr>
        <w:tab/>
        <w:t xml:space="preserve">We seek comment on the applicability of the Secure Networks Act to the ongoing designation process for Huawei and ZTE.  Specifically, we seek comment on </w:t>
      </w:r>
      <w:r>
        <w:rPr>
          <w:sz w:val="24"/>
          <w:szCs w:val="24"/>
        </w:rPr>
        <w:t>whether and how the Secure Networks Act should inform our consideration of the designations of Huawei and ZTE</w:t>
      </w:r>
      <w:r>
        <w:rPr>
          <w:iCs/>
          <w:sz w:val="24"/>
          <w:szCs w:val="24"/>
        </w:rPr>
        <w:t xml:space="preserve">.  </w:t>
      </w:r>
    </w:p>
    <w:p w:rsidR="00100411" w:rsidRPr="005F018C" w:rsidP="00A26636" w14:paraId="5608038B" w14:textId="297F54AF">
      <w:pPr>
        <w:spacing w:after="120"/>
        <w:ind w:firstLine="720"/>
        <w:rPr>
          <w:sz w:val="24"/>
          <w:szCs w:val="24"/>
        </w:rPr>
      </w:pPr>
      <w:r>
        <w:rPr>
          <w:sz w:val="24"/>
          <w:szCs w:val="24"/>
        </w:rPr>
        <w:t>I</w:t>
      </w:r>
      <w:r w:rsidRPr="005F018C">
        <w:rPr>
          <w:sz w:val="24"/>
          <w:szCs w:val="24"/>
        </w:rPr>
        <w:t xml:space="preserve">nterested parties may file comments on or before the date indicated on the first page of this document.  Comments may be filed using the Commission’s Electronic Comment Filing System (ECFS).  </w:t>
      </w:r>
    </w:p>
    <w:p w:rsidR="00100411" w:rsidRPr="005F018C" w:rsidP="00A26636" w14:paraId="0C7CBCDF" w14:textId="77777777">
      <w:pPr>
        <w:widowControl/>
        <w:numPr>
          <w:ilvl w:val="0"/>
          <w:numId w:val="7"/>
        </w:numPr>
        <w:spacing w:after="120"/>
        <w:rPr>
          <w:sz w:val="24"/>
          <w:szCs w:val="24"/>
        </w:rPr>
      </w:pPr>
      <w:r w:rsidRPr="005F018C">
        <w:rPr>
          <w:sz w:val="24"/>
          <w:szCs w:val="24"/>
        </w:rPr>
        <w:t xml:space="preserve">Electronic Filers:  Comments may be filed electronically using the Internet by accessing the ECFS:  </w:t>
      </w:r>
      <w:hyperlink r:id="rId5" w:history="1">
        <w:r w:rsidRPr="005F018C">
          <w:rPr>
            <w:rStyle w:val="Hyperlink"/>
            <w:sz w:val="24"/>
            <w:szCs w:val="24"/>
          </w:rPr>
          <w:t>https://www.fcc.gov/ecfs/</w:t>
        </w:r>
      </w:hyperlink>
      <w:r w:rsidRPr="005F018C">
        <w:rPr>
          <w:sz w:val="24"/>
          <w:szCs w:val="24"/>
        </w:rPr>
        <w:t xml:space="preserve">.  </w:t>
      </w:r>
    </w:p>
    <w:p w:rsidR="00100411" w:rsidRPr="005F018C" w:rsidP="00A26636" w14:paraId="28667488" w14:textId="77777777">
      <w:pPr>
        <w:widowControl/>
        <w:numPr>
          <w:ilvl w:val="0"/>
          <w:numId w:val="8"/>
        </w:numPr>
        <w:spacing w:after="120"/>
        <w:rPr>
          <w:sz w:val="24"/>
          <w:szCs w:val="24"/>
        </w:rPr>
      </w:pPr>
      <w:r w:rsidRPr="005F018C">
        <w:rPr>
          <w:sz w:val="24"/>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00411" w:rsidRPr="005F018C" w:rsidP="00A26636" w14:paraId="7D913DC0" w14:textId="77777777">
      <w:pPr>
        <w:spacing w:after="120"/>
        <w:ind w:left="720"/>
        <w:rPr>
          <w:sz w:val="24"/>
          <w:szCs w:val="24"/>
        </w:rPr>
      </w:pPr>
      <w:r w:rsidRPr="005F018C">
        <w:rPr>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00411" w:rsidRPr="005F018C" w:rsidP="00A26636" w14:paraId="47FADF5E" w14:textId="77777777">
      <w:pPr>
        <w:widowControl/>
        <w:numPr>
          <w:ilvl w:val="0"/>
          <w:numId w:val="9"/>
        </w:numPr>
        <w:spacing w:after="120"/>
        <w:rPr>
          <w:sz w:val="24"/>
          <w:szCs w:val="24"/>
        </w:rPr>
      </w:pPr>
      <w:r w:rsidRPr="005F018C">
        <w:rPr>
          <w:sz w:val="24"/>
          <w:szCs w:val="24"/>
        </w:rPr>
        <w:t>All hand-delivered or messenger-delivered paper filings for the Commission’s Secretary must be delivered to FCC Headquarters at 445 12</w:t>
      </w:r>
      <w:r w:rsidRPr="005F018C">
        <w:rPr>
          <w:sz w:val="24"/>
          <w:szCs w:val="24"/>
          <w:vertAlign w:val="superscript"/>
        </w:rPr>
        <w:t>th</w:t>
      </w:r>
      <w:r w:rsidRPr="005F018C">
        <w:rPr>
          <w:sz w:val="24"/>
          <w:szCs w:val="24"/>
        </w:rPr>
        <w:t xml:space="preserve"> St., SW, Room TW-A325, Washington, DC 20554.  The filing hours are 8:00 a.m. to 7:00 p.m.  All </w:t>
      </w:r>
      <w:r w:rsidRPr="005F018C">
        <w:rPr>
          <w:sz w:val="24"/>
          <w:szCs w:val="24"/>
        </w:rPr>
        <w:t xml:space="preserve">hand deliveries must be held together with rubber bands or fasteners.  Any envelopes and boxes must be disposed of </w:t>
      </w:r>
      <w:r w:rsidRPr="005F018C">
        <w:rPr>
          <w:sz w:val="24"/>
          <w:szCs w:val="24"/>
          <w:u w:val="single"/>
        </w:rPr>
        <w:t>before</w:t>
      </w:r>
      <w:r w:rsidRPr="005F018C">
        <w:rPr>
          <w:sz w:val="24"/>
          <w:szCs w:val="24"/>
        </w:rPr>
        <w:t xml:space="preserve"> entering the building.  </w:t>
      </w:r>
    </w:p>
    <w:p w:rsidR="00100411" w:rsidRPr="005F018C" w:rsidP="00A26636" w14:paraId="7E57F349" w14:textId="77777777">
      <w:pPr>
        <w:widowControl/>
        <w:numPr>
          <w:ilvl w:val="0"/>
          <w:numId w:val="9"/>
        </w:numPr>
        <w:spacing w:after="120"/>
        <w:rPr>
          <w:sz w:val="24"/>
          <w:szCs w:val="24"/>
        </w:rPr>
      </w:pPr>
      <w:r w:rsidRPr="005F018C">
        <w:rPr>
          <w:sz w:val="24"/>
          <w:szCs w:val="24"/>
        </w:rPr>
        <w:t>Commercial overnight mail (other than U.S. Postal Service Express Mail and Priority Mail) must be sent to 9050 Junction Drive, Annapolis Junction, MD 20701.</w:t>
      </w:r>
    </w:p>
    <w:p w:rsidR="00100411" w:rsidRPr="005F018C" w:rsidP="00A26636" w14:paraId="0F1D2511" w14:textId="77777777">
      <w:pPr>
        <w:widowControl/>
        <w:numPr>
          <w:ilvl w:val="0"/>
          <w:numId w:val="9"/>
        </w:numPr>
        <w:spacing w:after="120"/>
        <w:rPr>
          <w:sz w:val="24"/>
          <w:szCs w:val="24"/>
        </w:rPr>
      </w:pPr>
      <w:r w:rsidRPr="005F018C">
        <w:rPr>
          <w:sz w:val="24"/>
          <w:szCs w:val="24"/>
        </w:rPr>
        <w:t>U.S. Postal Service first-class, Express, and Priority mail must be addressed to 445 12</w:t>
      </w:r>
      <w:r w:rsidRPr="005F018C">
        <w:rPr>
          <w:sz w:val="24"/>
          <w:szCs w:val="24"/>
          <w:vertAlign w:val="superscript"/>
        </w:rPr>
        <w:t>th</w:t>
      </w:r>
      <w:r w:rsidRPr="005F018C">
        <w:rPr>
          <w:sz w:val="24"/>
          <w:szCs w:val="24"/>
        </w:rPr>
        <w:t xml:space="preserve"> Street, SW, Washington DC  20554.</w:t>
      </w:r>
    </w:p>
    <w:p w:rsidR="003B759E" w:rsidP="00A26636" w14:paraId="1AC8E083" w14:textId="2759B48B">
      <w:pPr>
        <w:spacing w:after="120"/>
        <w:ind w:firstLine="720"/>
        <w:rPr>
          <w:sz w:val="24"/>
          <w:szCs w:val="24"/>
        </w:rPr>
      </w:pPr>
      <w:r w:rsidRPr="0095667D">
        <w:rPr>
          <w:sz w:val="24"/>
          <w:szCs w:val="24"/>
        </w:rPr>
        <w:t xml:space="preserve">Pursuant to the Commission’s </w:t>
      </w:r>
      <w:r w:rsidRPr="0040143E">
        <w:rPr>
          <w:i/>
          <w:iCs/>
          <w:sz w:val="24"/>
          <w:szCs w:val="24"/>
        </w:rPr>
        <w:t>ex parte</w:t>
      </w:r>
      <w:r w:rsidRPr="0095667D">
        <w:rPr>
          <w:sz w:val="24"/>
          <w:szCs w:val="24"/>
        </w:rPr>
        <w:t xml:space="preserve"> rules,</w:t>
      </w:r>
      <w:r>
        <w:rPr>
          <w:rStyle w:val="FootnoteReference"/>
          <w:szCs w:val="24"/>
        </w:rPr>
        <w:footnoteReference w:id="12"/>
      </w:r>
      <w:r w:rsidRPr="0095667D">
        <w:rPr>
          <w:sz w:val="24"/>
          <w:szCs w:val="24"/>
        </w:rPr>
        <w:t xml:space="preserve"> this is a “restricted” proceeding, in which </w:t>
      </w:r>
      <w:r w:rsidRPr="0040143E">
        <w:rPr>
          <w:i/>
          <w:iCs/>
          <w:sz w:val="24"/>
          <w:szCs w:val="24"/>
        </w:rPr>
        <w:t>ex parte</w:t>
      </w:r>
      <w:r w:rsidRPr="0095667D">
        <w:rPr>
          <w:sz w:val="24"/>
          <w:szCs w:val="24"/>
        </w:rPr>
        <w:t xml:space="preserve"> presentations (other than those exempt under such rules) are prohibited.  An </w:t>
      </w:r>
      <w:r w:rsidRPr="0040143E">
        <w:rPr>
          <w:i/>
          <w:iCs/>
          <w:sz w:val="24"/>
          <w:szCs w:val="24"/>
        </w:rPr>
        <w:t>ex parte</w:t>
      </w:r>
      <w:r>
        <w:rPr>
          <w:sz w:val="24"/>
          <w:szCs w:val="24"/>
        </w:rPr>
        <w:t xml:space="preserve"> </w:t>
      </w:r>
      <w:r w:rsidRPr="0095667D">
        <w:rPr>
          <w:sz w:val="24"/>
          <w:szCs w:val="24"/>
        </w:rPr>
        <w:t>presentation is any presentation which (1) if written, is not served on the parties to the proceeding; or (2) or if oral, is made without advance notice to the parties and without opportunity for them to be present.</w:t>
      </w:r>
      <w:r>
        <w:rPr>
          <w:rStyle w:val="FootnoteReference"/>
          <w:szCs w:val="24"/>
        </w:rPr>
        <w:footnoteReference w:id="13"/>
      </w:r>
      <w:r w:rsidRPr="0095667D">
        <w:rPr>
          <w:sz w:val="24"/>
          <w:szCs w:val="24"/>
        </w:rPr>
        <w:t xml:space="preserve">  Parties should familiarize themselves with the Commission’s </w:t>
      </w:r>
      <w:r w:rsidRPr="0040143E">
        <w:rPr>
          <w:i/>
          <w:iCs/>
          <w:sz w:val="24"/>
          <w:szCs w:val="24"/>
        </w:rPr>
        <w:t>ex parte</w:t>
      </w:r>
      <w:r w:rsidRPr="0095667D">
        <w:rPr>
          <w:sz w:val="24"/>
          <w:szCs w:val="24"/>
        </w:rPr>
        <w:t xml:space="preserve"> rules</w:t>
      </w:r>
      <w:r>
        <w:rPr>
          <w:sz w:val="24"/>
          <w:szCs w:val="24"/>
        </w:rPr>
        <w:t>.</w:t>
      </w:r>
    </w:p>
    <w:p w:rsidR="00100411" w:rsidRPr="005F018C" w:rsidP="00A26636" w14:paraId="3378A318" w14:textId="60B4FFDE">
      <w:pPr>
        <w:spacing w:after="120"/>
        <w:ind w:firstLine="720"/>
        <w:rPr>
          <w:sz w:val="24"/>
          <w:szCs w:val="24"/>
        </w:rPr>
      </w:pPr>
      <w:r w:rsidRPr="005F018C">
        <w:rPr>
          <w:sz w:val="24"/>
          <w:szCs w:val="24"/>
        </w:rPr>
        <w:t xml:space="preserve">People with Disabilities:  To request materials in accessible formats for people with disabilities (braille, large print, electronic files, audio format), send an e-mail to </w:t>
      </w:r>
      <w:hyperlink r:id="rId6" w:history="1">
        <w:r w:rsidRPr="005F018C">
          <w:rPr>
            <w:color w:val="0000FF"/>
            <w:sz w:val="24"/>
            <w:szCs w:val="24"/>
            <w:u w:val="single"/>
          </w:rPr>
          <w:t>fcc504@fcc.gov</w:t>
        </w:r>
      </w:hyperlink>
      <w:r w:rsidRPr="005F018C">
        <w:rPr>
          <w:sz w:val="24"/>
          <w:szCs w:val="24"/>
        </w:rPr>
        <w:t xml:space="preserve"> or call the Consumer &amp; Governmental Affairs Bureau at 202-418-0530 (voice), 202-418-0432 (tty).</w:t>
      </w:r>
    </w:p>
    <w:p w:rsidR="00100411" w:rsidRPr="00F628E7" w:rsidP="00A26636" w14:paraId="3615ABA8" w14:textId="4CF0B265">
      <w:pPr>
        <w:spacing w:after="120"/>
        <w:ind w:firstLine="720"/>
      </w:pPr>
      <w:r w:rsidRPr="005F018C">
        <w:rPr>
          <w:sz w:val="24"/>
          <w:szCs w:val="24"/>
        </w:rPr>
        <w:t xml:space="preserve">For further information, please contact </w:t>
      </w:r>
      <w:r>
        <w:rPr>
          <w:sz w:val="24"/>
          <w:szCs w:val="24"/>
        </w:rPr>
        <w:t>Janice Gorin</w:t>
      </w:r>
      <w:r w:rsidRPr="005F018C">
        <w:rPr>
          <w:sz w:val="24"/>
          <w:szCs w:val="24"/>
        </w:rPr>
        <w:t>, Competition Policy Division, Wireline Competition Bureau, at (202) 418-</w:t>
      </w:r>
      <w:r>
        <w:rPr>
          <w:sz w:val="24"/>
          <w:szCs w:val="24"/>
        </w:rPr>
        <w:t>0637</w:t>
      </w:r>
      <w:r w:rsidRPr="005F018C">
        <w:rPr>
          <w:sz w:val="24"/>
          <w:szCs w:val="24"/>
        </w:rPr>
        <w:t xml:space="preserve"> or </w:t>
      </w:r>
      <w:hyperlink r:id="rId7" w:history="1">
        <w:r w:rsidRPr="00D04D9B">
          <w:rPr>
            <w:rStyle w:val="Hyperlink"/>
            <w:sz w:val="24"/>
            <w:szCs w:val="24"/>
          </w:rPr>
          <w:t>janice.gorin@fcc.gov</w:t>
        </w:r>
      </w:hyperlink>
      <w:r>
        <w:rPr>
          <w:sz w:val="24"/>
          <w:szCs w:val="24"/>
        </w:rPr>
        <w:t xml:space="preserve">, or </w:t>
      </w:r>
      <w:r w:rsidRPr="00C93D58">
        <w:rPr>
          <w:sz w:val="24"/>
          <w:szCs w:val="24"/>
        </w:rPr>
        <w:t xml:space="preserve">Saswat Misra, Attorney Advisor, Cybersecurity and Communications Reliability Division, Public Safety and Homeland Security Bureau at (202) 418-0944 or </w:t>
      </w:r>
      <w:hyperlink r:id="rId8" w:history="1">
        <w:r w:rsidRPr="00C93D58">
          <w:rPr>
            <w:rStyle w:val="Hyperlink"/>
            <w:sz w:val="24"/>
            <w:szCs w:val="24"/>
          </w:rPr>
          <w:t>saswat.misra@fcc.gov</w:t>
        </w:r>
      </w:hyperlink>
      <w:r>
        <w:rPr>
          <w:sz w:val="24"/>
          <w:szCs w:val="24"/>
        </w:rPr>
        <w:t>.</w:t>
      </w:r>
    </w:p>
    <w:p w:rsidR="00ED7318" w:rsidP="00100411" w14:paraId="31547A3B" w14:textId="77777777">
      <w:pPr>
        <w:widowControl/>
        <w:spacing w:after="120"/>
        <w:jc w:val="center"/>
        <w:rPr>
          <w:b/>
          <w:snapToGrid/>
          <w:kern w:val="0"/>
          <w:szCs w:val="22"/>
        </w:rPr>
      </w:pPr>
    </w:p>
    <w:p w:rsidR="00100411" w:rsidRPr="00ED0D7B" w:rsidP="00100411" w14:paraId="786720FF" w14:textId="0EE2E414">
      <w:pPr>
        <w:widowControl/>
        <w:spacing w:after="120"/>
        <w:jc w:val="center"/>
        <w:rPr>
          <w:b/>
          <w:snapToGrid/>
          <w:kern w:val="0"/>
        </w:rPr>
      </w:pPr>
      <w:r w:rsidRPr="00ED0D7B">
        <w:rPr>
          <w:b/>
          <w:snapToGrid/>
          <w:kern w:val="0"/>
          <w:szCs w:val="22"/>
        </w:rPr>
        <w:t>-FCC-</w:t>
      </w:r>
    </w:p>
    <w:p w:rsidR="00930ECF" w:rsidRPr="00930ECF" w:rsidP="00100411" w14:paraId="335EF499" w14:textId="77777777">
      <w:pPr>
        <w:spacing w:after="240"/>
        <w:jc w:val="cente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140A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8DC50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12ED7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78BD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06CE" w14:paraId="3A5C6128" w14:textId="77777777">
      <w:r>
        <w:separator/>
      </w:r>
    </w:p>
  </w:footnote>
  <w:footnote w:type="continuationSeparator" w:id="1">
    <w:p w:rsidR="00D106CE" w14:paraId="22D5276D" w14:textId="77777777">
      <w:pPr>
        <w:rPr>
          <w:sz w:val="20"/>
        </w:rPr>
      </w:pPr>
      <w:r>
        <w:rPr>
          <w:sz w:val="20"/>
        </w:rPr>
        <w:t xml:space="preserve">(Continued from previous page)  </w:t>
      </w:r>
      <w:r>
        <w:rPr>
          <w:sz w:val="20"/>
        </w:rPr>
        <w:separator/>
      </w:r>
    </w:p>
  </w:footnote>
  <w:footnote w:type="continuationNotice" w:id="2">
    <w:p w:rsidR="00D106CE" w:rsidP="00910F12" w14:paraId="1737AAA0" w14:textId="77777777">
      <w:pPr>
        <w:jc w:val="right"/>
        <w:rPr>
          <w:sz w:val="20"/>
        </w:rPr>
      </w:pPr>
      <w:r>
        <w:rPr>
          <w:sz w:val="20"/>
        </w:rPr>
        <w:t>(continued….)</w:t>
      </w:r>
    </w:p>
  </w:footnote>
  <w:footnote w:id="3">
    <w:p w:rsidR="00100411" w:rsidP="00100411" w14:paraId="2769D617" w14:textId="4CC6EE1E">
      <w:pPr>
        <w:pStyle w:val="FootnoteText"/>
      </w:pPr>
      <w:r>
        <w:rPr>
          <w:rStyle w:val="FootnoteReference"/>
        </w:rPr>
        <w:footnoteRef/>
      </w:r>
      <w:r>
        <w:t xml:space="preserve"> </w:t>
      </w:r>
      <w:r w:rsidRPr="002A3E80">
        <w:rPr>
          <w:i/>
          <w:iCs/>
        </w:rPr>
        <w:t>See</w:t>
      </w:r>
      <w:r>
        <w:t xml:space="preserve"> Pub. L. 116-</w:t>
      </w:r>
      <w:r w:rsidR="00860A8A">
        <w:t>124</w:t>
      </w:r>
      <w:r>
        <w:t xml:space="preserve">, 133 Stat. </w:t>
      </w:r>
      <w:r w:rsidR="00860A8A">
        <w:t>158</w:t>
      </w:r>
      <w:r>
        <w:t xml:space="preserve"> (2020).</w:t>
      </w:r>
    </w:p>
  </w:footnote>
  <w:footnote w:id="4">
    <w:p w:rsidR="00100411" w:rsidP="00100411" w14:paraId="22470926" w14:textId="77777777">
      <w:pPr>
        <w:pStyle w:val="FootnoteText"/>
      </w:pPr>
      <w:r>
        <w:rPr>
          <w:rStyle w:val="FootnoteReference"/>
        </w:rPr>
        <w:footnoteRef/>
      </w:r>
      <w:r>
        <w:t xml:space="preserve"> </w:t>
      </w:r>
      <w:r>
        <w:rPr>
          <w:i/>
        </w:rPr>
        <w:t>Protecting Against National Security Threats to the Communications Supply Chain Through FCC Programs et al.</w:t>
      </w:r>
      <w:r>
        <w:t>, WC Docket No. 18-89, et al., Report and Order, Further Notice of Proposed Rulemaking, Order, 34 FCC Rcd 11423, 11433, para. 27 (2019) (</w:t>
      </w:r>
      <w:r>
        <w:rPr>
          <w:i/>
        </w:rPr>
        <w:t xml:space="preserve">Protecting Against National Security Threats Order </w:t>
      </w:r>
      <w:r>
        <w:t xml:space="preserve">or </w:t>
      </w:r>
      <w:r>
        <w:rPr>
          <w:i/>
        </w:rPr>
        <w:t>Order</w:t>
      </w:r>
      <w:r>
        <w:t xml:space="preserve">).  </w:t>
      </w:r>
    </w:p>
  </w:footnote>
  <w:footnote w:id="5">
    <w:p w:rsidR="00100411" w:rsidRPr="0092368D" w:rsidP="00100411" w14:paraId="1A36B3A6" w14:textId="7CA81377">
      <w:pPr>
        <w:pStyle w:val="FootnoteText"/>
      </w:pPr>
      <w:r>
        <w:rPr>
          <w:rStyle w:val="FootnoteReference"/>
        </w:rPr>
        <w:footnoteRef/>
      </w:r>
      <w:r>
        <w:t xml:space="preserve"> 47 CFR § 54.9(a); </w:t>
      </w:r>
      <w:r>
        <w:rPr>
          <w:i/>
        </w:rPr>
        <w:t>Order</w:t>
      </w:r>
      <w:r>
        <w:t xml:space="preserve">, 34 FCC Rcd at 11433, para. 26.  In the same action, the Commission adopted a Further Notice of Proposed Rulemaking to seek comment on additional actions to address national security threats to USF-funded networks and initiated an information collection to help determine the extent to which equipment and services produced or provided by </w:t>
      </w:r>
      <w:r w:rsidR="00C90304">
        <w:t>Huawei and ZTE</w:t>
      </w:r>
      <w:r>
        <w:t xml:space="preserve"> exist in U.S. communications networks.  34 FCC Rcd at 11470-82, paras. 122-66. </w:t>
      </w:r>
    </w:p>
  </w:footnote>
  <w:footnote w:id="6">
    <w:p w:rsidR="00100411" w:rsidRPr="000544BE" w:rsidP="00100411" w14:paraId="3F96ADAA" w14:textId="77777777">
      <w:pPr>
        <w:pStyle w:val="FootnoteText"/>
        <w:rPr>
          <w:u w:val="single"/>
        </w:rPr>
      </w:pPr>
      <w:r>
        <w:rPr>
          <w:rStyle w:val="FootnoteReference"/>
        </w:rPr>
        <w:footnoteRef/>
      </w:r>
      <w:r>
        <w:t xml:space="preserve"> </w:t>
      </w:r>
      <w:r>
        <w:rPr>
          <w:i/>
        </w:rPr>
        <w:t>Order</w:t>
      </w:r>
      <w:r>
        <w:t>, 34 FCC Rcd at 11439-40, para. 43.</w:t>
      </w:r>
    </w:p>
  </w:footnote>
  <w:footnote w:id="7">
    <w:p w:rsidR="00100411" w:rsidRPr="00A92362" w:rsidP="00100411" w14:paraId="12911BBE" w14:textId="77777777">
      <w:pPr>
        <w:pStyle w:val="FootnoteText"/>
      </w:pPr>
      <w:r>
        <w:rPr>
          <w:rStyle w:val="FootnoteReference"/>
        </w:rPr>
        <w:footnoteRef/>
      </w:r>
      <w:r>
        <w:t xml:space="preserve"> </w:t>
      </w:r>
      <w:r>
        <w:rPr>
          <w:i/>
        </w:rPr>
        <w:t>Order</w:t>
      </w:r>
      <w:r>
        <w:t xml:space="preserve">, 34 FCC Rcd at 11449, para. 64. </w:t>
      </w:r>
    </w:p>
  </w:footnote>
  <w:footnote w:id="8">
    <w:p w:rsidR="00100411" w:rsidRPr="00D12654" w:rsidP="00100411" w14:paraId="63E1F85A" w14:textId="56FFA414">
      <w:pPr>
        <w:pStyle w:val="FootnoteText"/>
      </w:pPr>
      <w:r>
        <w:rPr>
          <w:rStyle w:val="FootnoteReference"/>
        </w:rPr>
        <w:footnoteRef/>
      </w:r>
      <w:r>
        <w:t xml:space="preserve"> </w:t>
      </w:r>
      <w:r>
        <w:rPr>
          <w:i/>
          <w:iCs/>
        </w:rPr>
        <w:t xml:space="preserve">See </w:t>
      </w:r>
      <w:r>
        <w:t>Huawei Comments, PS Docket No. 19-351 (</w:t>
      </w:r>
      <w:r w:rsidR="00C90304">
        <w:t xml:space="preserve">filed </w:t>
      </w:r>
      <w:r>
        <w:t>Feb. 3, 2020); ZTE Comments, PS Docket No. 19-352 (</w:t>
      </w:r>
      <w:r w:rsidR="00C90304">
        <w:t xml:space="preserve">filed </w:t>
      </w:r>
      <w:r>
        <w:t>Feb. 3, 2020).</w:t>
      </w:r>
    </w:p>
  </w:footnote>
  <w:footnote w:id="9">
    <w:p w:rsidR="00100411" w:rsidP="00100411" w14:paraId="6F01749A" w14:textId="10B81AFF">
      <w:pPr>
        <w:pStyle w:val="FootnoteText"/>
      </w:pPr>
      <w:r>
        <w:rPr>
          <w:rStyle w:val="FootnoteReference"/>
        </w:rPr>
        <w:footnoteRef/>
      </w:r>
      <w:r>
        <w:t xml:space="preserve"> </w:t>
      </w:r>
      <w:r w:rsidRPr="002A3E80">
        <w:rPr>
          <w:i/>
          <w:iCs/>
        </w:rPr>
        <w:t>See</w:t>
      </w:r>
      <w:r>
        <w:t xml:space="preserve"> Pub. L. 116-</w:t>
      </w:r>
      <w:r w:rsidR="00860A8A">
        <w:t>124</w:t>
      </w:r>
      <w:r>
        <w:t xml:space="preserve">, 133 Stat. </w:t>
      </w:r>
      <w:r w:rsidR="00860A8A">
        <w:t>158</w:t>
      </w:r>
      <w:r>
        <w:t xml:space="preserve"> (2020).</w:t>
      </w:r>
    </w:p>
  </w:footnote>
  <w:footnote w:id="10">
    <w:p w:rsidR="00100411" w:rsidP="00100411" w14:paraId="25E324F8" w14:textId="77777777">
      <w:pPr>
        <w:pStyle w:val="FootnoteText"/>
      </w:pPr>
      <w:r>
        <w:rPr>
          <w:rStyle w:val="FootnoteReference"/>
        </w:rPr>
        <w:footnoteRef/>
      </w:r>
      <w:r>
        <w:t xml:space="preserve"> </w:t>
      </w:r>
      <w:r w:rsidRPr="009D6383">
        <w:rPr>
          <w:i/>
        </w:rPr>
        <w:t xml:space="preserve">See </w:t>
      </w:r>
      <w:r>
        <w:t>Pub. L. 115-232, 132 Stat. 1918, Sec. 889(f)(3)(A) (2019 NDAA) (defining “covered telecommunications equipment or services” as meaning telecommunications equipment produced by Huawei Technologies Company or ZTE Corporation, or any subsidiary or affiliate of such entities).</w:t>
      </w:r>
    </w:p>
  </w:footnote>
  <w:footnote w:id="11">
    <w:p w:rsidR="00100411" w:rsidRPr="00E03228" w:rsidP="00100411" w14:paraId="160DFCA9" w14:textId="6D94F34B">
      <w:pPr>
        <w:pStyle w:val="FootnoteText"/>
      </w:pPr>
      <w:r>
        <w:rPr>
          <w:rStyle w:val="FootnoteReference"/>
        </w:rPr>
        <w:footnoteRef/>
      </w:r>
      <w:r>
        <w:t xml:space="preserve"> </w:t>
      </w:r>
      <w:r w:rsidRPr="002A3E80">
        <w:rPr>
          <w:i/>
          <w:iCs/>
        </w:rPr>
        <w:t>See</w:t>
      </w:r>
      <w:r>
        <w:t xml:space="preserve"> Pub. L. 116-</w:t>
      </w:r>
      <w:r w:rsidR="00860A8A">
        <w:t>124</w:t>
      </w:r>
      <w:r>
        <w:t xml:space="preserve">, 133 Stat. </w:t>
      </w:r>
      <w:r w:rsidR="00860A8A">
        <w:t>158</w:t>
      </w:r>
      <w:r>
        <w:t xml:space="preserve"> (2020).  </w:t>
      </w:r>
      <w:r>
        <w:rPr>
          <w:i/>
          <w:iCs/>
        </w:rPr>
        <w:t>See also id.</w:t>
      </w:r>
      <w:r>
        <w:t xml:space="preserve"> § 3(b) (“</w:t>
      </w:r>
      <w:r w:rsidRPr="00E03228">
        <w:t xml:space="preserve">Not later than 180 days after the date of the enactment of this Act, the Commission shall adopt a Report and Order to implement subsection (a). </w:t>
      </w:r>
      <w:r w:rsidR="00C90304">
        <w:t xml:space="preserve"> </w:t>
      </w:r>
      <w:r w:rsidRPr="00E03228">
        <w:t>If the Commission has, before the date of the enactment of this Act, taken action that in whole or in part implements subsection (a), the Commission is not required to revisit such action, but only to the extent such action is consistent with this section.</w:t>
      </w:r>
      <w:r>
        <w:t>”).</w:t>
      </w:r>
    </w:p>
  </w:footnote>
  <w:footnote w:id="12">
    <w:p w:rsidR="003B759E" w:rsidP="003B759E" w14:paraId="09C0E5B9" w14:textId="77777777">
      <w:pPr>
        <w:pStyle w:val="FootnoteText"/>
      </w:pPr>
      <w:r>
        <w:rPr>
          <w:rStyle w:val="FootnoteReference"/>
        </w:rPr>
        <w:footnoteRef/>
      </w:r>
      <w:r>
        <w:t xml:space="preserve"> </w:t>
      </w:r>
      <w:r w:rsidRPr="0095667D">
        <w:t xml:space="preserve">47 C.F.R. §§ 1.1200 </w:t>
      </w:r>
      <w:r w:rsidRPr="0040143E">
        <w:rPr>
          <w:i/>
          <w:iCs/>
        </w:rPr>
        <w:t>et seq</w:t>
      </w:r>
      <w:r w:rsidRPr="0095667D">
        <w:t>.</w:t>
      </w:r>
    </w:p>
  </w:footnote>
  <w:footnote w:id="13">
    <w:p w:rsidR="003B759E" w:rsidP="003B759E" w14:paraId="48398ED9" w14:textId="77777777">
      <w:pPr>
        <w:pStyle w:val="FootnoteText"/>
      </w:pPr>
      <w:r>
        <w:rPr>
          <w:rStyle w:val="FootnoteReference"/>
        </w:rPr>
        <w:footnoteRef/>
      </w:r>
      <w:r>
        <w:t xml:space="preserve"> </w:t>
      </w:r>
      <w:r w:rsidRPr="0040143E">
        <w:rPr>
          <w:i/>
          <w:iCs/>
        </w:rPr>
        <w:t>Id.</w:t>
      </w:r>
      <w:r w:rsidRPr="0095667D">
        <w:t xml:space="preserve"> §§ 1.1202(a)-(b), 1.1208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00F9E9" w14:textId="4B6B571B">
    <w:pPr>
      <w:tabs>
        <w:tab w:val="center" w:pos="4680"/>
        <w:tab w:val="right" w:pos="9360"/>
      </w:tabs>
    </w:pPr>
    <w:r w:rsidRPr="009838BC">
      <w:rPr>
        <w:b/>
      </w:rPr>
      <w:tab/>
      <w:t>Federal Communications Commission</w:t>
    </w:r>
    <w:r w:rsidRPr="009838BC">
      <w:rPr>
        <w:b/>
      </w:rPr>
      <w:tab/>
    </w:r>
    <w:r w:rsidR="00FA1A7F">
      <w:rPr>
        <w:b/>
      </w:rPr>
      <w:t>DA 20-267</w:t>
    </w:r>
  </w:p>
  <w:p w:rsidR="009838BC" w:rsidRPr="00FA1A7F" w:rsidP="00FA1A7F" w14:paraId="4008ADD5" w14:textId="6FF976AE">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342BEF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5DA2879" w14:textId="77777777">
                <w:pPr>
                  <w:rPr>
                    <w:rFonts w:ascii="Arial" w:hAnsi="Arial"/>
                    <w:b/>
                  </w:rPr>
                </w:pPr>
                <w:r>
                  <w:rPr>
                    <w:rFonts w:ascii="Arial" w:hAnsi="Arial"/>
                    <w:b/>
                  </w:rPr>
                  <w:t>Federal Communications Commission</w:t>
                </w:r>
              </w:p>
              <w:p w:rsidR="009838BC" w:rsidP="009838BC" w14:paraId="4D4F939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DE7FA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12A414B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512pt,56.7pt" to="298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D491D27" w14:textId="77777777">
                <w:pPr>
                  <w:spacing w:before="40"/>
                  <w:jc w:val="right"/>
                  <w:rPr>
                    <w:rFonts w:ascii="Arial" w:hAnsi="Arial"/>
                    <w:b/>
                    <w:sz w:val="16"/>
                  </w:rPr>
                </w:pPr>
                <w:r>
                  <w:rPr>
                    <w:rFonts w:ascii="Arial" w:hAnsi="Arial"/>
                    <w:b/>
                    <w:sz w:val="16"/>
                  </w:rPr>
                  <w:t>News Media Information 202 / 418-0500</w:t>
                </w:r>
              </w:p>
              <w:p w:rsidR="009838BC" w:rsidP="009838BC" w14:paraId="38F02B1F"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70B328D0" w14:textId="77777777">
                <w:pPr>
                  <w:jc w:val="right"/>
                </w:pPr>
                <w:r>
                  <w:rPr>
                    <w:rFonts w:ascii="Arial" w:hAnsi="Arial"/>
                    <w:b/>
                    <w:sz w:val="16"/>
                  </w:rPr>
                  <w:t>TTY: 1-888-835-5322</w:t>
                </w:r>
              </w:p>
            </w:txbxContent>
          </v:textbox>
        </v:shape>
      </w:pict>
    </w:r>
  </w:p>
  <w:p w:rsidR="006F7393" w:rsidRPr="009838BC" w:rsidP="009838BC" w14:paraId="3BBAAEC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11"/>
    <w:rsid w:val="000072CE"/>
    <w:rsid w:val="00013A8B"/>
    <w:rsid w:val="00021445"/>
    <w:rsid w:val="00036039"/>
    <w:rsid w:val="00037F90"/>
    <w:rsid w:val="000544BE"/>
    <w:rsid w:val="000875BF"/>
    <w:rsid w:val="00096D8C"/>
    <w:rsid w:val="000C0B65"/>
    <w:rsid w:val="000E3D42"/>
    <w:rsid w:val="000E5884"/>
    <w:rsid w:val="00100411"/>
    <w:rsid w:val="00122BD5"/>
    <w:rsid w:val="001979D9"/>
    <w:rsid w:val="001A315D"/>
    <w:rsid w:val="001D6BCF"/>
    <w:rsid w:val="001E01CA"/>
    <w:rsid w:val="001F405B"/>
    <w:rsid w:val="002060D9"/>
    <w:rsid w:val="00226822"/>
    <w:rsid w:val="00244848"/>
    <w:rsid w:val="00260594"/>
    <w:rsid w:val="00285017"/>
    <w:rsid w:val="002A2D2E"/>
    <w:rsid w:val="002A3E80"/>
    <w:rsid w:val="00343749"/>
    <w:rsid w:val="00357D50"/>
    <w:rsid w:val="003925DC"/>
    <w:rsid w:val="003B0550"/>
    <w:rsid w:val="003B694F"/>
    <w:rsid w:val="003B759E"/>
    <w:rsid w:val="003E2606"/>
    <w:rsid w:val="003F171C"/>
    <w:rsid w:val="0040143E"/>
    <w:rsid w:val="00412FC5"/>
    <w:rsid w:val="00422276"/>
    <w:rsid w:val="004242F1"/>
    <w:rsid w:val="00445A00"/>
    <w:rsid w:val="00451B0F"/>
    <w:rsid w:val="0046125F"/>
    <w:rsid w:val="00487524"/>
    <w:rsid w:val="00496106"/>
    <w:rsid w:val="004A5929"/>
    <w:rsid w:val="004C12D0"/>
    <w:rsid w:val="004C2EE3"/>
    <w:rsid w:val="004E4A22"/>
    <w:rsid w:val="00511968"/>
    <w:rsid w:val="0055614C"/>
    <w:rsid w:val="005B002B"/>
    <w:rsid w:val="005F018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60A8A"/>
    <w:rsid w:val="008C22FD"/>
    <w:rsid w:val="00910F12"/>
    <w:rsid w:val="0092368D"/>
    <w:rsid w:val="00926503"/>
    <w:rsid w:val="00930ECF"/>
    <w:rsid w:val="0095667D"/>
    <w:rsid w:val="009838BC"/>
    <w:rsid w:val="009D6383"/>
    <w:rsid w:val="00A26636"/>
    <w:rsid w:val="00A45F4F"/>
    <w:rsid w:val="00A600A9"/>
    <w:rsid w:val="00A866AC"/>
    <w:rsid w:val="00A92362"/>
    <w:rsid w:val="00AA55B7"/>
    <w:rsid w:val="00AA5B9E"/>
    <w:rsid w:val="00AB2407"/>
    <w:rsid w:val="00AB53DF"/>
    <w:rsid w:val="00B04A55"/>
    <w:rsid w:val="00B07E5C"/>
    <w:rsid w:val="00B20363"/>
    <w:rsid w:val="00B326E3"/>
    <w:rsid w:val="00B811F7"/>
    <w:rsid w:val="00BA5DC6"/>
    <w:rsid w:val="00BA6196"/>
    <w:rsid w:val="00BC6D8C"/>
    <w:rsid w:val="00C16AF2"/>
    <w:rsid w:val="00C25679"/>
    <w:rsid w:val="00C34006"/>
    <w:rsid w:val="00C426B1"/>
    <w:rsid w:val="00C82B6B"/>
    <w:rsid w:val="00C90304"/>
    <w:rsid w:val="00C90D6A"/>
    <w:rsid w:val="00C93D58"/>
    <w:rsid w:val="00CC72B6"/>
    <w:rsid w:val="00D0218D"/>
    <w:rsid w:val="00D04D9B"/>
    <w:rsid w:val="00D106CE"/>
    <w:rsid w:val="00D12654"/>
    <w:rsid w:val="00D216CD"/>
    <w:rsid w:val="00DA2529"/>
    <w:rsid w:val="00DB130A"/>
    <w:rsid w:val="00DC10A1"/>
    <w:rsid w:val="00DC655F"/>
    <w:rsid w:val="00DD7EBD"/>
    <w:rsid w:val="00DF62B6"/>
    <w:rsid w:val="00E03228"/>
    <w:rsid w:val="00E07225"/>
    <w:rsid w:val="00E155B7"/>
    <w:rsid w:val="00E25CAB"/>
    <w:rsid w:val="00E5409F"/>
    <w:rsid w:val="00EC0185"/>
    <w:rsid w:val="00ED0D7B"/>
    <w:rsid w:val="00ED7318"/>
    <w:rsid w:val="00EE5C69"/>
    <w:rsid w:val="00F021FA"/>
    <w:rsid w:val="00F3540B"/>
    <w:rsid w:val="00F57ACA"/>
    <w:rsid w:val="00F628E7"/>
    <w:rsid w:val="00F62E97"/>
    <w:rsid w:val="00F64209"/>
    <w:rsid w:val="00F93BF5"/>
    <w:rsid w:val="00F96F63"/>
    <w:rsid w:val="00FA1A7F"/>
    <w:rsid w:val="00FA5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985EF0-3367-4946-8D17-DCDC8956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100411"/>
  </w:style>
  <w:style w:type="character" w:customStyle="1" w:styleId="ParaNumChar">
    <w:name w:val="ParaNum Char"/>
    <w:link w:val="ParaNum"/>
    <w:locked/>
    <w:rsid w:val="00100411"/>
    <w:rPr>
      <w:snapToGrid w:val="0"/>
      <w:kern w:val="28"/>
      <w:sz w:val="22"/>
    </w:rPr>
  </w:style>
  <w:style w:type="paragraph" w:styleId="BalloonText">
    <w:name w:val="Balloon Text"/>
    <w:basedOn w:val="Normal"/>
    <w:link w:val="BalloonTextChar"/>
    <w:uiPriority w:val="99"/>
    <w:semiHidden/>
    <w:unhideWhenUsed/>
    <w:rsid w:val="00ED7318"/>
    <w:rPr>
      <w:rFonts w:ascii="Segoe UI" w:hAnsi="Segoe UI" w:cs="Segoe UI"/>
      <w:sz w:val="18"/>
      <w:szCs w:val="18"/>
    </w:rPr>
  </w:style>
  <w:style w:type="character" w:customStyle="1" w:styleId="BalloonTextChar">
    <w:name w:val="Balloon Text Char"/>
    <w:link w:val="BalloonText"/>
    <w:uiPriority w:val="99"/>
    <w:semiHidden/>
    <w:rsid w:val="00ED731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anice.gorin@fcc.gov" TargetMode="External" /><Relationship Id="rId8" Type="http://schemas.openxmlformats.org/officeDocument/2006/relationships/hyperlink" Target="mailto:saswat.misra@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