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8E31F0" w14:paraId="4D63E0C9" w14:textId="77777777">
      <w:pPr>
        <w:rPr>
          <w:sz w:val="24"/>
        </w:rPr>
      </w:pPr>
      <w:bookmarkStart w:id="0" w:name="_GoBack"/>
      <w:bookmarkEnd w:id="0"/>
    </w:p>
    <w:p w:rsidR="00013A8B" w:rsidRPr="00B20363" w:rsidP="00013A8B" w14:paraId="7A0BA599" w14:textId="1D9FF999">
      <w:pPr>
        <w:jc w:val="right"/>
        <w:rPr>
          <w:b/>
          <w:sz w:val="24"/>
        </w:rPr>
      </w:pPr>
      <w:r>
        <w:rPr>
          <w:b/>
          <w:sz w:val="24"/>
        </w:rPr>
        <w:t>DA 20-276</w:t>
      </w:r>
    </w:p>
    <w:p w:rsidR="00013A8B" w:rsidRPr="00B20363" w:rsidP="00013A8B" w14:paraId="2BDCEB00" w14:textId="0DC87980">
      <w:pPr>
        <w:spacing w:before="60"/>
        <w:jc w:val="right"/>
        <w:rPr>
          <w:b/>
          <w:sz w:val="24"/>
        </w:rPr>
      </w:pPr>
      <w:r>
        <w:rPr>
          <w:b/>
          <w:sz w:val="24"/>
        </w:rPr>
        <w:t xml:space="preserve">Released:  </w:t>
      </w:r>
      <w:r w:rsidR="00FB15C1">
        <w:rPr>
          <w:b/>
          <w:sz w:val="24"/>
        </w:rPr>
        <w:t>March 16, 2020</w:t>
      </w:r>
    </w:p>
    <w:p w:rsidR="00013A8B" w:rsidP="00013A8B" w14:paraId="553021C3" w14:textId="77777777">
      <w:pPr>
        <w:jc w:val="right"/>
        <w:rPr>
          <w:sz w:val="24"/>
        </w:rPr>
      </w:pPr>
    </w:p>
    <w:p w:rsidR="00FB15C1" w:rsidRPr="00FB15C1" w:rsidP="00FB15C1" w14:paraId="7D577739" w14:textId="77777777">
      <w:pPr>
        <w:jc w:val="center"/>
        <w:rPr>
          <w:b/>
          <w:caps/>
          <w:sz w:val="24"/>
        </w:rPr>
      </w:pPr>
      <w:bookmarkStart w:id="1" w:name="TOChere"/>
      <w:bookmarkStart w:id="2" w:name="_Hlk34745419"/>
      <w:r w:rsidRPr="00FB15C1">
        <w:rPr>
          <w:b/>
          <w:caps/>
          <w:sz w:val="24"/>
        </w:rPr>
        <w:t>CONNECT AMERICA FUND PHASE II AUCTION SUPPORT AUTHORIZED</w:t>
      </w:r>
    </w:p>
    <w:p w:rsidR="00FB15C1" w:rsidRPr="00FB15C1" w:rsidP="00FB15C1" w14:paraId="1F85AFA8" w14:textId="77777777">
      <w:pPr>
        <w:spacing w:after="120"/>
        <w:jc w:val="center"/>
        <w:rPr>
          <w:b/>
          <w:sz w:val="24"/>
        </w:rPr>
      </w:pPr>
      <w:r w:rsidRPr="00FB15C1">
        <w:rPr>
          <w:b/>
          <w:caps/>
          <w:sz w:val="24"/>
        </w:rPr>
        <w:t>FOR TRIBAL PROVIDER IN IDAHO</w:t>
      </w:r>
    </w:p>
    <w:bookmarkEnd w:id="2"/>
    <w:p w:rsidR="00FB15C1" w:rsidRPr="00FB15C1" w:rsidP="00FB15C1" w14:paraId="66B093E0" w14:textId="77777777">
      <w:pPr>
        <w:jc w:val="center"/>
        <w:rPr>
          <w:b/>
          <w:sz w:val="24"/>
        </w:rPr>
      </w:pPr>
      <w:r w:rsidRPr="00FB15C1">
        <w:rPr>
          <w:b/>
          <w:sz w:val="24"/>
        </w:rPr>
        <w:t>AU Docket No. 17-182</w:t>
      </w:r>
    </w:p>
    <w:p w:rsidR="00FB15C1" w:rsidRPr="00FB15C1" w:rsidP="00FB15C1" w14:paraId="1F25DC08" w14:textId="77777777">
      <w:pPr>
        <w:spacing w:after="120"/>
        <w:jc w:val="center"/>
        <w:rPr>
          <w:b/>
          <w:sz w:val="24"/>
        </w:rPr>
      </w:pPr>
      <w:r w:rsidRPr="00FB15C1">
        <w:rPr>
          <w:b/>
          <w:sz w:val="24"/>
        </w:rPr>
        <w:t>WC Docket No. 10-90</w:t>
      </w:r>
    </w:p>
    <w:p w:rsidR="00FB15C1" w:rsidRPr="00077C10" w:rsidP="00FB15C1" w14:paraId="0A76E8B7" w14:textId="77777777">
      <w:pPr>
        <w:tabs>
          <w:tab w:val="left" w:pos="720"/>
        </w:tabs>
        <w:spacing w:after="120"/>
      </w:pPr>
      <w:r w:rsidRPr="00077C10">
        <w:tab/>
        <w:t xml:space="preserve">By this Public Notice, the </w:t>
      </w:r>
      <w:bookmarkStart w:id="3" w:name="_Hlk8655680"/>
      <w:r w:rsidRPr="00077C10">
        <w:t xml:space="preserve">Wireline Competition Bureau (WCB), in conjunction with the Rural Broadband Auctions Task Force and the Office of Economics and Analytics, authorize Connect America Fund Phase II (Auction 903) support for the winning bids identified in Attachment A of this Public Notice.  </w:t>
      </w:r>
    </w:p>
    <w:bookmarkEnd w:id="3"/>
    <w:p w:rsidR="00FB15C1" w:rsidP="00FB15C1" w14:paraId="0ECA64BD" w14:textId="77777777">
      <w:pPr>
        <w:tabs>
          <w:tab w:val="left" w:pos="720"/>
        </w:tabs>
        <w:spacing w:after="120"/>
      </w:pPr>
      <w:r w:rsidRPr="00077C10">
        <w:tab/>
        <w:t>For each of the winning bids identified in Attachment A, we have reviewed the long-form application information, including the letter(s) of credit and Bankruptcy Code opinion letter(s) from the long-form applicant’s legal counsel.  Based on the representations and certifications in the relevant long-form application, we authorize support for the winning bids listed in Attachment A.</w:t>
      </w:r>
    </w:p>
    <w:p w:rsidR="00FB15C1" w:rsidRPr="0012579F" w:rsidP="00FB15C1" w14:paraId="0587593E" w14:textId="77777777">
      <w:pPr>
        <w:tabs>
          <w:tab w:val="left" w:pos="720"/>
        </w:tabs>
        <w:spacing w:after="120"/>
      </w:pPr>
      <w:r>
        <w:tab/>
      </w:r>
      <w:r w:rsidRPr="0012579F">
        <w:t>Once we announce that a long-form applicant is ready to be authorized, it then has 10 business days to submit a letter of credit meeting the Commission’s requirements that covers the first year of support at a minimum and an attorney bankruptcy opinion letter (opinion letter).</w:t>
      </w:r>
      <w:r>
        <w:rPr>
          <w:rStyle w:val="FootnoteReference"/>
        </w:rPr>
        <w:footnoteReference w:id="3"/>
      </w:r>
      <w:r w:rsidRPr="0012579F">
        <w:t xml:space="preserve">  Red Spectrum Communications, LLC’s (Red Spectrum) was included in the Eighth Ready to Authorize Public Notice released on December 20, 2019.</w:t>
      </w:r>
      <w:r>
        <w:rPr>
          <w:rStyle w:val="FootnoteReference"/>
        </w:rPr>
        <w:footnoteReference w:id="4"/>
      </w:r>
      <w:r w:rsidRPr="0012579F">
        <w:t xml:space="preserve">  The Bureaus found good cause to waive section 54.315(b)(6)(v) due to special circumstance that banks would likely be closed during the federal holidays, allowing the applicants to submit an irrevocable stand-by letter(s) of credit and opinion letter(s) from their legal counsel, </w:t>
      </w:r>
      <w:r w:rsidRPr="0012579F">
        <w:rPr>
          <w:bCs/>
        </w:rPr>
        <w:t xml:space="preserve">prior to </w:t>
      </w:r>
      <w:bookmarkStart w:id="4" w:name="_Hlk25224590"/>
      <w:r w:rsidRPr="0012579F">
        <w:rPr>
          <w:bCs/>
        </w:rPr>
        <w:t>6:00 p.m. ET on Friday, January 10, 2020</w:t>
      </w:r>
      <w:bookmarkEnd w:id="4"/>
      <w:r w:rsidRPr="0012579F">
        <w:rPr>
          <w:bCs/>
        </w:rPr>
        <w:t>.</w:t>
      </w:r>
      <w:r>
        <w:rPr>
          <w:bCs/>
          <w:vertAlign w:val="superscript"/>
        </w:rPr>
        <w:footnoteReference w:id="5"/>
      </w:r>
      <w:r w:rsidRPr="0012579F">
        <w:t xml:space="preserve">  </w:t>
      </w:r>
    </w:p>
    <w:p w:rsidR="00FB15C1" w:rsidRPr="0012579F" w:rsidP="00FB15C1" w14:paraId="347743F1" w14:textId="77777777">
      <w:pPr>
        <w:tabs>
          <w:tab w:val="left" w:pos="720"/>
        </w:tabs>
        <w:spacing w:after="120"/>
      </w:pPr>
      <w:r w:rsidRPr="0012579F">
        <w:tab/>
        <w:t>Red Spectrum submitted a petition for waiver of the letter of credit deadline on February 12, 2020, notifying the Commission that unbeknownst to it at the time, “Umpqua Bank held up the signed letter of credit for the lack of an additional signature and did not send it to USAC.”</w:t>
      </w:r>
      <w:r>
        <w:rPr>
          <w:rStyle w:val="FootnoteReference"/>
        </w:rPr>
        <w:footnoteReference w:id="6"/>
      </w:r>
      <w:r w:rsidRPr="0012579F">
        <w:t xml:space="preserve">  USAC received Red Spectrum’s letter of credit from Umpqua Bank on February 27, 2020.  Generally, the Commission’s rules may be waived for good cause shown.</w:t>
      </w:r>
      <w:r>
        <w:rPr>
          <w:rStyle w:val="FootnoteReference"/>
        </w:rPr>
        <w:footnoteReference w:id="7"/>
      </w:r>
      <w:r w:rsidRPr="0012579F">
        <w:t xml:space="preserve">  </w:t>
      </w:r>
    </w:p>
    <w:p w:rsidR="00FB15C1" w:rsidRPr="0012579F" w:rsidP="00FB15C1" w14:paraId="5E7632AA" w14:textId="77777777">
      <w:pPr>
        <w:tabs>
          <w:tab w:val="left" w:pos="720"/>
        </w:tabs>
        <w:spacing w:after="120"/>
      </w:pPr>
      <w:r w:rsidRPr="0012579F">
        <w:tab/>
        <w:t>First, we find that special circumstances warrant deviation from the Commission’s letter of credit deadline.  For Auction 903 and in the context of other auctions, Commission bureaus have granted waivers of post-auction long-form application filing deadlines “when minor, inadvertent, post-auction delinquencies did not disrupt the auction process, nor undermine the Commission’s policy of facilitating rapid implementation of service to the public.”</w:t>
      </w:r>
      <w:r>
        <w:rPr>
          <w:rStyle w:val="FootnoteReference"/>
        </w:rPr>
        <w:footnoteReference w:id="8"/>
      </w:r>
      <w:r w:rsidRPr="0012579F">
        <w:t xml:space="preserve">  Here, Red Spectrum’s letter of credit had been approved and authorized for issuance by the bank by the deadline, but the delay in sending in the physical final documents to USAC was due to the bank’s inability to obtain a necessary signature by the deadline.</w:t>
      </w:r>
      <w:r>
        <w:rPr>
          <w:rStyle w:val="FootnoteReference"/>
        </w:rPr>
        <w:footnoteReference w:id="9"/>
      </w:r>
      <w:r w:rsidRPr="0012579F">
        <w:t xml:space="preserve">  Even though Red Spectrum missed the January 10, 2020 deadline, the bank’s inaction did not delay the Commission’s auction process or the provision of voice and broadband service to consumers living in the areas where Red Spectrum was awarded support.</w:t>
      </w:r>
      <w:r>
        <w:rPr>
          <w:rStyle w:val="FootnoteReference"/>
        </w:rPr>
        <w:footnoteReference w:id="10"/>
      </w:r>
      <w:r w:rsidRPr="0012579F">
        <w:t xml:space="preserve"> </w:t>
      </w:r>
    </w:p>
    <w:p w:rsidR="00FB15C1" w:rsidRPr="0012579F" w:rsidP="00FB15C1" w14:paraId="778293D9" w14:textId="77777777">
      <w:pPr>
        <w:tabs>
          <w:tab w:val="left" w:pos="720"/>
        </w:tabs>
        <w:spacing w:after="120"/>
      </w:pPr>
      <w:r w:rsidRPr="0012579F">
        <w:tab/>
        <w:t>Second, we find that it serves the public interest to grant Red Spectrum’s waiver petition.  The Commission adopted the requirement for a standby irrevocable letter of credit due within 10 business days after the Bureau announced that it was ready to authorize a provisionally selected bidder to receive support, in order to “[accomplish] our role as stewards of the public’s funds by securing our financial commitment to provide Connect America support in the auction context.”</w:t>
      </w:r>
      <w:r>
        <w:rPr>
          <w:rStyle w:val="FootnoteReference"/>
        </w:rPr>
        <w:footnoteReference w:id="11"/>
      </w:r>
      <w:r w:rsidRPr="0012579F">
        <w:t xml:space="preserve">  Notwithstanding the delay in submitting the letter of credit to the Commission and USAC, Commission staff and USAC were able to fully evaluate Red Spectrum’s qualifications in a timely fashion</w:t>
      </w:r>
      <w:bookmarkStart w:id="5" w:name="_Hlk8395483"/>
      <w:r w:rsidRPr="0012579F">
        <w:t xml:space="preserve">.  We conclude that it will serve the public </w:t>
      </w:r>
      <w:r w:rsidRPr="0012579F">
        <w:t>interest as Red Spectrum has otherwise substantially complied with the application deadlines, has expressed a willingness to serve consumers in its winning bid areas, and has provided the required assurance through its letter of credit that will protect the public’s funds.</w:t>
      </w:r>
      <w:bookmarkEnd w:id="5"/>
      <w:r w:rsidRPr="0012579F">
        <w:t xml:space="preserve">  Had we found Red Spectrum in default for missing the deadline, we may have precluded an otherwise qualified applicant from being authorized to receive support, delaying the provision of voice and broadband service in these areas.</w:t>
      </w:r>
      <w:r>
        <w:rPr>
          <w:rStyle w:val="FootnoteReference"/>
        </w:rPr>
        <w:footnoteReference w:id="12"/>
      </w:r>
      <w:r w:rsidRPr="0012579F">
        <w:t xml:space="preserve">  </w:t>
      </w:r>
    </w:p>
    <w:p w:rsidR="00FB15C1" w:rsidRPr="00077C10" w:rsidP="00FB15C1" w14:paraId="676EE1D8" w14:textId="77777777">
      <w:pPr>
        <w:tabs>
          <w:tab w:val="left" w:pos="720"/>
        </w:tabs>
        <w:spacing w:after="120"/>
      </w:pPr>
      <w:r w:rsidRPr="0012579F">
        <w:tab/>
        <w:t xml:space="preserve">We will also soon post a state-level summary under the “Data” tab on the Auction 903 webpage at </w:t>
      </w:r>
      <w:hyperlink r:id="rId5" w:history="1">
        <w:r w:rsidRPr="0012579F">
          <w:rPr>
            <w:rStyle w:val="Hyperlink"/>
          </w:rPr>
          <w:t>https://www.fcc.gov/auction/903</w:t>
        </w:r>
      </w:hyperlink>
      <w:r w:rsidRPr="0012579F">
        <w:t>.  The summary will provide for each long-form applicant included in</w:t>
      </w:r>
      <w:r w:rsidRPr="00077C10">
        <w:t xml:space="preserve">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r>
        <w:rPr>
          <w:rStyle w:val="FootnoteReference"/>
        </w:rPr>
        <w:footnoteReference w:id="13"/>
      </w:r>
    </w:p>
    <w:p w:rsidR="00FB15C1" w:rsidRPr="00077C10" w:rsidP="00FB15C1" w14:paraId="23DAF89B" w14:textId="77777777">
      <w:pPr>
        <w:tabs>
          <w:tab w:val="left" w:pos="720"/>
        </w:tabs>
        <w:spacing w:after="120"/>
      </w:pPr>
      <w:r w:rsidRPr="00077C10">
        <w:tab/>
        <w:t xml:space="preserve">Upon issuance of this Public Notice, the Universal Service Administrative Company (USAC) is directed and authorized to obligate and disburse from the Universal Service Fund the amounts identified in Attachment A to the long-form applicant associated with each study area specified in Attachment A.  USAC will make disbursement payments to the account on file for the 498 ID associated with the study area code (SAC).  The support will be disbursed in 120 monthly payments, which will begin at the end of this month. </w:t>
      </w:r>
    </w:p>
    <w:p w:rsidR="00FB15C1" w:rsidRPr="00077C10" w:rsidP="00FB15C1" w14:paraId="228023AF" w14:textId="77777777">
      <w:pPr>
        <w:tabs>
          <w:tab w:val="left" w:pos="720"/>
        </w:tabs>
        <w:spacing w:after="120"/>
      </w:pPr>
      <w:r w:rsidRPr="00077C10">
        <w:tab/>
        <w:t xml:space="preserve">Below, we provide a summary of the various obligations of authorized Auction 903 support recipients.  We apply the Commission’s recent </w:t>
      </w:r>
      <w:r w:rsidRPr="00077C10">
        <w:rPr>
          <w:i/>
          <w:iCs/>
        </w:rPr>
        <w:t xml:space="preserve">CAF II Auction Recipients’ Deployment and Reporting Deadlines Aligned Order </w:t>
      </w:r>
      <w:r w:rsidRPr="00077C10">
        <w:t>(</w:t>
      </w:r>
      <w:r w:rsidRPr="00077C10">
        <w:rPr>
          <w:i/>
          <w:iCs/>
        </w:rPr>
        <w:t>Order</w:t>
      </w:r>
      <w:r w:rsidRPr="00077C10">
        <w:t xml:space="preserve">) establishing uniform deadlines for </w:t>
      </w:r>
      <w:r w:rsidRPr="00077C10">
        <w:rPr>
          <w:b/>
          <w:bCs/>
          <w:u w:val="single"/>
        </w:rPr>
        <w:t>all</w:t>
      </w:r>
      <w:r w:rsidRPr="00077C10">
        <w:t xml:space="preserve"> recipients of CAF Phase II auction funding, </w:t>
      </w:r>
      <w:bookmarkStart w:id="6" w:name="_Hlk31018041"/>
      <w:r w:rsidRPr="00077C10">
        <w:t xml:space="preserve">aligning program deadlines related to deployment and reporting </w:t>
      </w:r>
      <w:bookmarkEnd w:id="6"/>
      <w:r w:rsidRPr="00077C10">
        <w:t>obligations thereby “</w:t>
      </w:r>
      <w:r w:rsidRPr="00077C10">
        <w:t>reduc</w:t>
      </w:r>
      <w:r w:rsidRPr="00077C10">
        <w:t>[</w:t>
      </w:r>
      <w:r w:rsidRPr="00077C10">
        <w:t>ing</w:t>
      </w:r>
      <w:r w:rsidRPr="00077C10">
        <w:t xml:space="preserve">] confusion and </w:t>
      </w:r>
      <w:r w:rsidRPr="00077C10">
        <w:t>ensur</w:t>
      </w:r>
      <w:r w:rsidRPr="00077C10">
        <w:t>[</w:t>
      </w:r>
      <w:r w:rsidRPr="00077C10">
        <w:t>ing</w:t>
      </w:r>
      <w:r w:rsidRPr="00077C10">
        <w:t>] continued compliance with these obligations and requirements.”</w:t>
      </w:r>
      <w:r>
        <w:rPr>
          <w:rStyle w:val="FootnoteReference"/>
        </w:rPr>
        <w:footnoteReference w:id="14"/>
      </w:r>
      <w:r w:rsidRPr="00077C10">
        <w:t xml:space="preserve">  The list below is not a comprehensive list; thus, each support recipient is still responsible for conducting the due diligence required to comply with universal service fund requirements and the Commission’s rules. </w:t>
      </w:r>
    </w:p>
    <w:p w:rsidR="00FB15C1" w:rsidRPr="00077C10" w:rsidP="00FB15C1" w14:paraId="28E5AE18" w14:textId="77777777">
      <w:pPr>
        <w:tabs>
          <w:tab w:val="left" w:pos="720"/>
        </w:tabs>
        <w:spacing w:after="120"/>
      </w:pPr>
      <w:r w:rsidRPr="00077C10">
        <w:tab/>
      </w:r>
      <w:r w:rsidRPr="00077C10">
        <w:rPr>
          <w:i/>
        </w:rPr>
        <w:t xml:space="preserve">Summary of Obligations and Relevant Dates.  </w:t>
      </w:r>
      <w:r w:rsidRPr="00077C10">
        <w:rPr>
          <w:b/>
          <w:bCs/>
          <w:u w:val="single"/>
        </w:rPr>
        <w:t>All</w:t>
      </w:r>
      <w:r w:rsidRPr="00077C10">
        <w:t xml:space="preserve"> CAF Phase II authorized long-form applicants are subject to the following deadlines:</w:t>
      </w:r>
      <w:r>
        <w:rPr>
          <w:rStyle w:val="FootnoteReference"/>
        </w:rPr>
        <w:footnoteReference w:id="15"/>
      </w:r>
      <w:r w:rsidRPr="00077C10">
        <w:t xml:space="preserve">  </w:t>
      </w:r>
    </w:p>
    <w:p w:rsidR="00FB15C1" w:rsidRPr="00077C10" w:rsidP="00FB15C1" w14:paraId="0E548711" w14:textId="77777777">
      <w:pPr>
        <w:numPr>
          <w:ilvl w:val="0"/>
          <w:numId w:val="9"/>
        </w:numPr>
        <w:tabs>
          <w:tab w:val="left" w:pos="720"/>
        </w:tabs>
        <w:spacing w:after="120"/>
      </w:pPr>
      <w:r w:rsidRPr="00077C10">
        <w:rPr>
          <w:b/>
        </w:rPr>
        <w:t>Annual reporting of location information</w:t>
      </w:r>
      <w:r w:rsidRPr="00077C10">
        <w:t>.  Auction 903 support recipients are required to file location information with USAC through the High-Cost Universal Broadband (HUBB) portal.</w:t>
      </w:r>
      <w:r>
        <w:rPr>
          <w:rStyle w:val="FootnoteReference"/>
        </w:rPr>
        <w:footnoteReference w:id="16"/>
      </w:r>
      <w:r w:rsidRPr="00077C10">
        <w:t xml:space="preserve">  This information includes geolocation data for each qualifying location to which they are offering </w:t>
      </w:r>
      <w:r w:rsidRPr="00077C10">
        <w:t>the requisite service and the technology the Auction 903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17"/>
      </w:r>
      <w:r w:rsidRPr="00077C10">
        <w:t xml:space="preserve">  The locations must be in the eligible census blocks covered by the long-form applicant’s winning bids.</w:t>
      </w:r>
      <w:r>
        <w:rPr>
          <w:rStyle w:val="FootnoteReference"/>
        </w:rPr>
        <w:footnoteReference w:id="18"/>
      </w:r>
      <w:r w:rsidRPr="00077C10">
        <w:t xml:space="preserve">  </w:t>
      </w:r>
    </w:p>
    <w:p w:rsidR="00FB15C1" w:rsidRPr="00077C10" w:rsidP="00FB15C1" w14:paraId="5BCE616E" w14:textId="77777777">
      <w:pPr>
        <w:pStyle w:val="ListParagraph"/>
        <w:tabs>
          <w:tab w:val="left" w:pos="720"/>
        </w:tabs>
        <w:spacing w:after="120"/>
        <w:contextualSpacing w:val="0"/>
      </w:pPr>
      <w:r w:rsidRPr="00077C10">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19"/>
      </w:r>
      <w:r w:rsidRPr="00077C10">
        <w:rPr>
          <w:szCs w:val="22"/>
        </w:rPr>
        <w:t xml:space="preserve">  While reporting on a rolling basis is encouraged, the first deadline for </w:t>
      </w:r>
      <w:r w:rsidRPr="00077C10">
        <w:rPr>
          <w:b/>
          <w:bCs/>
          <w:szCs w:val="22"/>
          <w:u w:val="single"/>
        </w:rPr>
        <w:t>all</w:t>
      </w:r>
      <w:r w:rsidRPr="00077C10">
        <w:rPr>
          <w:szCs w:val="22"/>
        </w:rPr>
        <w:t xml:space="preserve"> authorized long-form applicants to submit their location data is </w:t>
      </w:r>
      <w:r w:rsidRPr="00077C10">
        <w:rPr>
          <w:b/>
          <w:szCs w:val="22"/>
        </w:rPr>
        <w:t>March 1, 2021</w:t>
      </w:r>
      <w:r w:rsidRPr="00077C10">
        <w:rPr>
          <w:szCs w:val="22"/>
        </w:rPr>
        <w:t>.</w:t>
      </w:r>
      <w:r>
        <w:rPr>
          <w:rStyle w:val="FootnoteReference"/>
          <w:szCs w:val="22"/>
        </w:rPr>
        <w:footnoteReference w:id="20"/>
      </w:r>
      <w:r w:rsidRPr="00077C10">
        <w:rPr>
          <w:szCs w:val="22"/>
        </w:rPr>
        <w:t xml:space="preserve">  All support recipients must continue to report this information </w:t>
      </w:r>
      <w:r w:rsidRPr="00077C10">
        <w:rPr>
          <w:szCs w:val="22"/>
          <w:shd w:val="clear" w:color="auto" w:fill="FFFFFF"/>
        </w:rPr>
        <w:t>by March 1 in each year thereafter</w:t>
      </w:r>
      <w:r>
        <w:rPr>
          <w:rStyle w:val="FootnoteReference"/>
          <w:szCs w:val="22"/>
          <w:shd w:val="clear" w:color="auto" w:fill="FFFFFF"/>
        </w:rPr>
        <w:footnoteReference w:id="21"/>
      </w:r>
      <w:r w:rsidRPr="00077C10">
        <w:rPr>
          <w:szCs w:val="22"/>
        </w:rPr>
        <w:t xml:space="preserve"> until all build-out requirements are satisfied.  For more information about the HUBB portal and reporting location data, visit </w:t>
      </w:r>
      <w:hyperlink r:id="rId6" w:history="1">
        <w:r>
          <w:rPr>
            <w:rStyle w:val="Hyperlink"/>
          </w:rPr>
          <w:t>https://www.usac.org/high-cost/annual-requirements/submit-data-in-the-hubb/</w:t>
        </w:r>
      </w:hyperlink>
      <w:r w:rsidRPr="00077C10">
        <w:rPr>
          <w:szCs w:val="22"/>
        </w:rPr>
        <w:t>.</w:t>
      </w:r>
    </w:p>
    <w:p w:rsidR="00FB15C1" w:rsidRPr="00077C10" w:rsidP="00FB15C1" w14:paraId="177C9307" w14:textId="77777777">
      <w:pPr>
        <w:pStyle w:val="ListParagraph"/>
        <w:widowControl/>
        <w:numPr>
          <w:ilvl w:val="0"/>
          <w:numId w:val="7"/>
        </w:numPr>
        <w:tabs>
          <w:tab w:val="left" w:pos="720"/>
        </w:tabs>
        <w:spacing w:after="120"/>
        <w:contextualSpacing w:val="0"/>
      </w:pPr>
      <w:r w:rsidRPr="00077C10">
        <w:rPr>
          <w:b/>
          <w:szCs w:val="22"/>
        </w:rPr>
        <w:t>Service milestones</w:t>
      </w:r>
      <w:r w:rsidRPr="00077C10">
        <w:rPr>
          <w:szCs w:val="22"/>
        </w:rPr>
        <w:t xml:space="preserve">.  </w:t>
      </w:r>
      <w:r w:rsidRPr="00077C10">
        <w:rPr>
          <w:szCs w:val="22"/>
          <w:shd w:val="clear" w:color="auto" w:fill="FFFFFF"/>
        </w:rPr>
        <w:t xml:space="preserve">As a result of the recent </w:t>
      </w:r>
      <w:r w:rsidRPr="00077C10">
        <w:rPr>
          <w:i/>
          <w:iCs/>
          <w:szCs w:val="22"/>
          <w:shd w:val="clear" w:color="auto" w:fill="FFFFFF"/>
        </w:rPr>
        <w:t>Order</w:t>
      </w:r>
      <w:r w:rsidRPr="00077C10">
        <w:rPr>
          <w:szCs w:val="22"/>
          <w:shd w:val="clear" w:color="auto" w:fill="FFFFFF"/>
        </w:rPr>
        <w:t xml:space="preserve">, January 1, 2020 is the commencement of the deployment timeline for </w:t>
      </w:r>
      <w:r w:rsidRPr="00077C10">
        <w:rPr>
          <w:b/>
          <w:bCs/>
          <w:szCs w:val="22"/>
          <w:u w:val="single"/>
          <w:shd w:val="clear" w:color="auto" w:fill="FFFFFF"/>
        </w:rPr>
        <w:t>all</w:t>
      </w:r>
      <w:r w:rsidRPr="00077C10">
        <w:rPr>
          <w:szCs w:val="22"/>
          <w:shd w:val="clear" w:color="auto" w:fill="FFFFFF"/>
        </w:rPr>
        <w:t xml:space="preserve"> CAF Phase II support recipients, rather than the release date of the Bureau’s authorization public notice.</w:t>
      </w:r>
      <w:r>
        <w:rPr>
          <w:rStyle w:val="FootnoteReference"/>
          <w:szCs w:val="22"/>
          <w:shd w:val="clear" w:color="auto" w:fill="FFFFFF"/>
        </w:rPr>
        <w:footnoteReference w:id="22"/>
      </w:r>
      <w:r w:rsidRPr="00077C10">
        <w:rPr>
          <w:szCs w:val="22"/>
          <w:shd w:val="clear" w:color="auto" w:fill="FFFFFF"/>
        </w:rPr>
        <w:t xml:space="preserve">  Thus, the service milestones for </w:t>
      </w:r>
      <w:r w:rsidRPr="00077C10">
        <w:rPr>
          <w:b/>
          <w:szCs w:val="22"/>
          <w:u w:val="single"/>
          <w:shd w:val="clear" w:color="auto" w:fill="FFFFFF"/>
        </w:rPr>
        <w:t>all</w:t>
      </w:r>
      <w:r w:rsidRPr="00077C10">
        <w:rPr>
          <w:szCs w:val="22"/>
          <w:shd w:val="clear" w:color="auto" w:fill="FFFFFF"/>
        </w:rPr>
        <w:t xml:space="preserve"> CAF Phase II auction support recipients will be as follows:</w:t>
      </w:r>
      <w:r>
        <w:rPr>
          <w:rStyle w:val="FootnoteReference"/>
          <w:szCs w:val="22"/>
        </w:rPr>
        <w:footnoteReference w:id="23"/>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43283236" w14:textId="77777777" w:rsidTr="002804B9">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FB15C1" w:rsidRPr="00077C10" w:rsidP="002804B9" w14:paraId="212133C2"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FB15C1" w:rsidRPr="00077C10" w:rsidP="002804B9" w14:paraId="11CB6682" w14:textId="77777777">
            <w:pPr>
              <w:keepNext/>
              <w:tabs>
                <w:tab w:val="left" w:pos="720"/>
              </w:tabs>
              <w:spacing w:after="120"/>
              <w:jc w:val="center"/>
              <w:rPr>
                <w:b/>
              </w:rPr>
            </w:pPr>
            <w:r w:rsidRPr="00077C10">
              <w:rPr>
                <w:b/>
              </w:rPr>
              <w:t>Service Milestone Deadline</w:t>
            </w:r>
          </w:p>
        </w:tc>
      </w:tr>
      <w:tr w14:paraId="40032ECE" w14:textId="77777777" w:rsidTr="002804B9">
        <w:tblPrEx>
          <w:tblW w:w="0" w:type="auto"/>
          <w:tblInd w:w="1990" w:type="dxa"/>
          <w:tblLook w:val="04A0"/>
        </w:tblPrEx>
        <w:tc>
          <w:tcPr>
            <w:tcW w:w="3116" w:type="dxa"/>
            <w:shd w:val="clear" w:color="auto" w:fill="auto"/>
          </w:tcPr>
          <w:p w:rsidR="00FB15C1" w:rsidRPr="00077C10" w:rsidP="002804B9" w14:paraId="781B292A" w14:textId="77777777">
            <w:pPr>
              <w:keepNext/>
              <w:tabs>
                <w:tab w:val="left" w:pos="720"/>
              </w:tabs>
              <w:spacing w:after="120"/>
              <w:jc w:val="center"/>
            </w:pPr>
            <w:r w:rsidRPr="00077C10">
              <w:t>40</w:t>
            </w:r>
          </w:p>
        </w:tc>
        <w:tc>
          <w:tcPr>
            <w:tcW w:w="3117" w:type="dxa"/>
            <w:shd w:val="clear" w:color="auto" w:fill="auto"/>
          </w:tcPr>
          <w:p w:rsidR="00FB15C1" w:rsidRPr="00077C10" w:rsidP="002804B9" w14:paraId="45073182" w14:textId="77777777">
            <w:pPr>
              <w:keepNext/>
              <w:tabs>
                <w:tab w:val="left" w:pos="720"/>
              </w:tabs>
              <w:spacing w:after="120"/>
            </w:pPr>
            <w:r w:rsidRPr="00077C10">
              <w:rPr>
                <w:szCs w:val="22"/>
              </w:rPr>
              <w:t>December 31, 2022</w:t>
            </w:r>
          </w:p>
        </w:tc>
      </w:tr>
      <w:tr w14:paraId="198A7068" w14:textId="77777777" w:rsidTr="002804B9">
        <w:tblPrEx>
          <w:tblW w:w="0" w:type="auto"/>
          <w:tblInd w:w="1990" w:type="dxa"/>
          <w:tblLook w:val="04A0"/>
        </w:tblPrEx>
        <w:tc>
          <w:tcPr>
            <w:tcW w:w="3116" w:type="dxa"/>
            <w:shd w:val="clear" w:color="auto" w:fill="auto"/>
          </w:tcPr>
          <w:p w:rsidR="00FB15C1" w:rsidRPr="00077C10" w:rsidP="002804B9" w14:paraId="552761DC" w14:textId="77777777">
            <w:pPr>
              <w:keepNext/>
              <w:tabs>
                <w:tab w:val="left" w:pos="720"/>
              </w:tabs>
              <w:spacing w:after="120"/>
              <w:jc w:val="center"/>
            </w:pPr>
            <w:r w:rsidRPr="00077C10">
              <w:t>60</w:t>
            </w:r>
          </w:p>
        </w:tc>
        <w:tc>
          <w:tcPr>
            <w:tcW w:w="3117" w:type="dxa"/>
            <w:shd w:val="clear" w:color="auto" w:fill="auto"/>
          </w:tcPr>
          <w:p w:rsidR="00FB15C1" w:rsidRPr="00077C10" w:rsidP="002804B9" w14:paraId="62E22AA2" w14:textId="77777777">
            <w:pPr>
              <w:keepNext/>
              <w:tabs>
                <w:tab w:val="left" w:pos="720"/>
              </w:tabs>
              <w:spacing w:after="120"/>
            </w:pPr>
            <w:r w:rsidRPr="00077C10">
              <w:rPr>
                <w:szCs w:val="22"/>
              </w:rPr>
              <w:t>December 31, 2023</w:t>
            </w:r>
          </w:p>
        </w:tc>
      </w:tr>
      <w:tr w14:paraId="726BC629" w14:textId="77777777" w:rsidTr="002804B9">
        <w:tblPrEx>
          <w:tblW w:w="0" w:type="auto"/>
          <w:tblInd w:w="1990" w:type="dxa"/>
          <w:tblLook w:val="04A0"/>
        </w:tblPrEx>
        <w:tc>
          <w:tcPr>
            <w:tcW w:w="3116" w:type="dxa"/>
            <w:shd w:val="clear" w:color="auto" w:fill="auto"/>
          </w:tcPr>
          <w:p w:rsidR="00FB15C1" w:rsidRPr="00077C10" w:rsidP="002804B9" w14:paraId="6F06FA4E" w14:textId="77777777">
            <w:pPr>
              <w:keepNext/>
              <w:tabs>
                <w:tab w:val="left" w:pos="720"/>
              </w:tabs>
              <w:spacing w:after="120"/>
              <w:jc w:val="center"/>
            </w:pPr>
            <w:r w:rsidRPr="00077C10">
              <w:t>80</w:t>
            </w:r>
          </w:p>
        </w:tc>
        <w:tc>
          <w:tcPr>
            <w:tcW w:w="3117" w:type="dxa"/>
            <w:shd w:val="clear" w:color="auto" w:fill="auto"/>
          </w:tcPr>
          <w:p w:rsidR="00FB15C1" w:rsidRPr="00077C10" w:rsidP="002804B9" w14:paraId="79BD68D6" w14:textId="77777777">
            <w:pPr>
              <w:keepNext/>
              <w:tabs>
                <w:tab w:val="left" w:pos="720"/>
              </w:tabs>
              <w:spacing w:after="120"/>
            </w:pPr>
            <w:r w:rsidRPr="00077C10">
              <w:rPr>
                <w:szCs w:val="22"/>
              </w:rPr>
              <w:t>December 31, 2024</w:t>
            </w:r>
          </w:p>
        </w:tc>
      </w:tr>
      <w:tr w14:paraId="569A218F" w14:textId="77777777" w:rsidTr="002804B9">
        <w:tblPrEx>
          <w:tblW w:w="0" w:type="auto"/>
          <w:tblInd w:w="1990" w:type="dxa"/>
          <w:tblLook w:val="04A0"/>
        </w:tblPrEx>
        <w:tc>
          <w:tcPr>
            <w:tcW w:w="3116" w:type="dxa"/>
            <w:shd w:val="clear" w:color="auto" w:fill="auto"/>
          </w:tcPr>
          <w:p w:rsidR="00FB15C1" w:rsidRPr="00077C10" w:rsidP="002804B9" w14:paraId="2B9E0CCE" w14:textId="77777777">
            <w:pPr>
              <w:tabs>
                <w:tab w:val="left" w:pos="720"/>
              </w:tabs>
              <w:spacing w:after="120"/>
              <w:jc w:val="center"/>
            </w:pPr>
            <w:r w:rsidRPr="00077C10">
              <w:t>100</w:t>
            </w:r>
          </w:p>
        </w:tc>
        <w:tc>
          <w:tcPr>
            <w:tcW w:w="3117" w:type="dxa"/>
            <w:shd w:val="clear" w:color="auto" w:fill="auto"/>
          </w:tcPr>
          <w:p w:rsidR="00FB15C1" w:rsidRPr="00077C10" w:rsidP="002804B9" w14:paraId="695E02B1" w14:textId="77777777">
            <w:pPr>
              <w:tabs>
                <w:tab w:val="left" w:pos="720"/>
              </w:tabs>
              <w:spacing w:after="120"/>
            </w:pPr>
            <w:r w:rsidRPr="00077C10">
              <w:rPr>
                <w:szCs w:val="22"/>
              </w:rPr>
              <w:t>December 31, 2025</w:t>
            </w:r>
          </w:p>
        </w:tc>
      </w:tr>
    </w:tbl>
    <w:p w:rsidR="00FB15C1" w:rsidRPr="00077C10" w:rsidP="00FB15C1" w14:paraId="72063BF2" w14:textId="77777777">
      <w:pPr>
        <w:tabs>
          <w:tab w:val="left" w:pos="720"/>
        </w:tabs>
      </w:pPr>
    </w:p>
    <w:p w:rsidR="00FB15C1" w:rsidRPr="00077C10" w:rsidP="00FB15C1" w14:paraId="74369A50" w14:textId="77777777">
      <w:pPr>
        <w:pStyle w:val="ListParagraph"/>
        <w:spacing w:after="120"/>
        <w:contextualSpacing w:val="0"/>
        <w:rPr>
          <w:szCs w:val="22"/>
        </w:rPr>
      </w:pPr>
      <w:r w:rsidRPr="00077C10">
        <w:rPr>
          <w:szCs w:val="22"/>
        </w:rPr>
        <w:t xml:space="preserve">Next, the </w:t>
      </w:r>
      <w:r w:rsidRPr="00077C10">
        <w:rPr>
          <w:i/>
          <w:iCs/>
          <w:szCs w:val="22"/>
        </w:rPr>
        <w:t>Order</w:t>
      </w:r>
      <w:r w:rsidRPr="00077C10">
        <w:t xml:space="preserve"> waived the related deadline imposed by section 54.316(b)(4) of the Commission’s rules</w:t>
      </w:r>
      <w:r w:rsidRPr="00077C10">
        <w:rPr>
          <w:szCs w:val="22"/>
        </w:rPr>
        <w:t>.</w:t>
      </w:r>
      <w:r>
        <w:rPr>
          <w:rStyle w:val="FootnoteReference"/>
          <w:szCs w:val="22"/>
        </w:rPr>
        <w:footnoteReference w:id="24"/>
      </w:r>
      <w:r w:rsidRPr="00077C10">
        <w:rPr>
          <w:szCs w:val="22"/>
        </w:rPr>
        <w:t xml:space="preserve">  As we stated above, </w:t>
      </w:r>
      <w:r w:rsidRPr="00077C10">
        <w:rPr>
          <w:b/>
          <w:bCs/>
          <w:szCs w:val="22"/>
          <w:u w:val="single"/>
        </w:rPr>
        <w:t>all</w:t>
      </w:r>
      <w:r w:rsidRPr="00077C10">
        <w:rPr>
          <w:szCs w:val="22"/>
        </w:rPr>
        <w:t xml:space="preserve"> support recipients that are being authorized for CAF Phase II support must file their certifications in the HUBB </w:t>
      </w:r>
      <w:r w:rsidRPr="00077C10">
        <w:t xml:space="preserve">by </w:t>
      </w:r>
      <w:r w:rsidRPr="00077C10">
        <w:rPr>
          <w:b/>
          <w:bCs/>
        </w:rPr>
        <w:t>March 1</w:t>
      </w:r>
      <w:r w:rsidRPr="00077C10">
        <w:t xml:space="preserve"> following each service milestone</w:t>
      </w:r>
      <w:r w:rsidRPr="00077C10">
        <w:rPr>
          <w:szCs w:val="22"/>
        </w:rPr>
        <w:t>.</w:t>
      </w:r>
    </w:p>
    <w:p w:rsidR="00FB15C1" w:rsidRPr="00077C10" w:rsidP="00FB15C1" w14:paraId="6DCAE260" w14:textId="77777777">
      <w:pPr>
        <w:pStyle w:val="ListParagraph"/>
        <w:rPr>
          <w:b/>
        </w:rPr>
      </w:pPr>
      <w:r w:rsidRPr="00077C10">
        <w:t xml:space="preserve">If an ETC is unable to meet a service milestone, it must notify the Commission, USAC, and the </w:t>
      </w:r>
      <w:r w:rsidRPr="00077C10">
        <w:t>relevant state, U.S. Territory, or Tribal government as appropriate, no later than ten business days after the applicable deadline.</w:t>
      </w:r>
      <w:r>
        <w:rPr>
          <w:rStyle w:val="FootnoteReference"/>
          <w:szCs w:val="22"/>
        </w:rPr>
        <w:footnoteReference w:id="25"/>
      </w:r>
      <w:r w:rsidRPr="00077C10">
        <w:t xml:space="preserve">  If the ETC is unable to meet the required deployment obligations due to circumstances beyond its control, it may also seek waiver of the service milestones.</w:t>
      </w:r>
      <w:r>
        <w:rPr>
          <w:rStyle w:val="FootnoteReference"/>
          <w:szCs w:val="22"/>
        </w:rPr>
        <w:footnoteReference w:id="26"/>
      </w:r>
      <w:r w:rsidRPr="00077C10">
        <w:t xml:space="preserve">  The Commission has repeatedly warned Phase II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7"/>
      </w:r>
    </w:p>
    <w:p w:rsidR="00FB15C1" w:rsidRPr="00077C10" w:rsidP="00FB15C1" w14:paraId="1B5B6BB2" w14:textId="77777777">
      <w:pPr>
        <w:pStyle w:val="ListParagraph"/>
        <w:widowControl/>
        <w:numPr>
          <w:ilvl w:val="0"/>
          <w:numId w:val="8"/>
        </w:numPr>
        <w:spacing w:before="120" w:after="120"/>
        <w:contextualSpacing w:val="0"/>
        <w:rPr>
          <w:b/>
        </w:rPr>
      </w:pPr>
      <w:r w:rsidRPr="00077C10">
        <w:rPr>
          <w:b/>
        </w:rPr>
        <w:t xml:space="preserve">Annual section 54.313 report.  </w:t>
      </w:r>
      <w:r w:rsidRPr="00077C10">
        <w:t xml:space="preserve">Long-form applicants authorized in this Public Notice will be required to file their first annual section 54.313 report by </w:t>
      </w:r>
      <w:r w:rsidRPr="00077C10">
        <w:rPr>
          <w:b/>
        </w:rPr>
        <w:t xml:space="preserve">July 1, 2021 </w:t>
      </w:r>
      <w:r w:rsidRPr="00077C10">
        <w:t>and each subsequent year until the year after their support terms have ended.</w:t>
      </w:r>
      <w:r>
        <w:rPr>
          <w:rStyle w:val="FootnoteReference"/>
        </w:rPr>
        <w:footnoteReference w:id="28"/>
      </w:r>
      <w:r w:rsidRPr="00077C10">
        <w:t xml:space="preserve">  </w:t>
      </w:r>
      <w:r w:rsidRPr="00077C10">
        <w:rPr>
          <w:szCs w:val="22"/>
        </w:rPr>
        <w:t>Annual reports are filed with USAC.</w:t>
      </w:r>
      <w:r>
        <w:rPr>
          <w:rStyle w:val="FootnoteReference"/>
          <w:szCs w:val="22"/>
        </w:rPr>
        <w:footnoteReference w:id="29"/>
      </w:r>
      <w:r w:rsidRPr="00077C10">
        <w:t xml:space="preserve"> </w:t>
      </w:r>
      <w:r w:rsidRPr="00077C10">
        <w:rPr>
          <w:szCs w:val="22"/>
        </w:rPr>
        <w:t xml:space="preserve"> Support recipients must complete the FCC Form 481 on USAC’s website.</w:t>
      </w:r>
      <w:r>
        <w:rPr>
          <w:rStyle w:val="FootnoteReference"/>
          <w:szCs w:val="22"/>
        </w:rPr>
        <w:footnoteReference w:id="30"/>
      </w:r>
      <w:r w:rsidRPr="00077C10">
        <w:rPr>
          <w:szCs w:val="22"/>
        </w:rPr>
        <w:t xml:space="preserve">  They must also test and certify compliance with relevant performance requirements in section 54.309 of the Commission’s rules.</w:t>
      </w:r>
      <w:r>
        <w:rPr>
          <w:rStyle w:val="FootnoteReference"/>
          <w:szCs w:val="22"/>
        </w:rPr>
        <w:footnoteReference w:id="31"/>
      </w:r>
      <w:r w:rsidRPr="00077C10">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szCs w:val="22"/>
        </w:rPr>
        <w:footnoteReference w:id="32"/>
      </w:r>
    </w:p>
    <w:p w:rsidR="00FB15C1" w:rsidRPr="00077C10" w:rsidP="00FB15C1" w14:paraId="1D3F5805" w14:textId="77777777">
      <w:pPr>
        <w:pStyle w:val="ListParagraph"/>
        <w:numPr>
          <w:ilvl w:val="0"/>
          <w:numId w:val="8"/>
        </w:numPr>
        <w:spacing w:after="120"/>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October 1, 2021</w:t>
      </w:r>
      <w:r w:rsidRPr="00077C10">
        <w:t>.</w:t>
      </w:r>
      <w:r>
        <w:rPr>
          <w:rStyle w:val="FootnoteReference"/>
        </w:rPr>
        <w:footnoteReference w:id="33"/>
      </w:r>
      <w:r w:rsidRPr="00077C10">
        <w:t xml:space="preserve">  </w:t>
      </w:r>
    </w:p>
    <w:p w:rsidR="00FB15C1" w:rsidRPr="00077C10" w:rsidP="00FB15C1" w14:paraId="22206ED1" w14:textId="77777777">
      <w:pPr>
        <w:pStyle w:val="ListParagraph"/>
        <w:spacing w:after="120"/>
        <w:contextualSpacing w:val="0"/>
        <w:rPr>
          <w:b/>
        </w:rPr>
      </w:pPr>
      <w:r w:rsidRPr="00077C10">
        <w:t xml:space="preserve">Pursuant to section 54.314 of the Commission’s rules, if a support recipient was designated by a state, that state must certify on the support recipient’s behalf “that all federal high-cost support </w:t>
      </w:r>
      <w:r w:rsidRPr="00077C10">
        <w:t>provided . . . within that State was used in the preceding calendar year and will be used in the coming calendar year only for the provision, maintenance, and upgrading of facilities and services for which the support is intended.”</w:t>
      </w:r>
      <w:r>
        <w:rPr>
          <w:rStyle w:val="FootnoteReference"/>
          <w:szCs w:val="22"/>
        </w:rPr>
        <w:footnoteReference w:id="34"/>
      </w:r>
      <w:r w:rsidRPr="00077C10">
        <w:t xml:space="preserve">  </w:t>
      </w:r>
    </w:p>
    <w:p w:rsidR="00FB15C1" w:rsidRPr="00077C10" w:rsidP="00FB15C1" w14:paraId="514807D7" w14:textId="77777777">
      <w:pPr>
        <w:pStyle w:val="ListParagraph"/>
        <w:spacing w:after="120"/>
        <w:contextualSpacing w:val="0"/>
        <w:rPr>
          <w:szCs w:val="22"/>
        </w:rPr>
      </w:pPr>
      <w:r w:rsidRPr="00077C10">
        <w:t xml:space="preserve">If a support recipient was designated an ETC by the Federal Communications Commission, it </w:t>
      </w:r>
      <w:r w:rsidRPr="00077C10">
        <w:rPr>
          <w:szCs w:val="22"/>
        </w:rPr>
        <w:t xml:space="preserve">must self-certify by filing </w:t>
      </w:r>
      <w:r w:rsidRPr="00077C10">
        <w:rPr>
          <w:szCs w:val="22"/>
        </w:rPr>
        <w:t>a sworn affidavit</w:t>
      </w:r>
      <w:r w:rsidRPr="00077C10">
        <w:rPr>
          <w:szCs w:val="22"/>
        </w:rPr>
        <w:t xml:space="preserve"> executed by a corporate officer attesting to the relevant facts.</w:t>
      </w:r>
      <w:r>
        <w:rPr>
          <w:rStyle w:val="FootnoteReference"/>
          <w:szCs w:val="22"/>
        </w:rPr>
        <w:footnoteReference w:id="35"/>
      </w:r>
      <w:r w:rsidRPr="00077C10">
        <w:rPr>
          <w:szCs w:val="22"/>
        </w:rPr>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szCs w:val="22"/>
        </w:rPr>
        <w:footnoteReference w:id="36"/>
      </w:r>
      <w:r w:rsidRPr="00077C10">
        <w:rPr>
          <w:szCs w:val="22"/>
        </w:rPr>
        <w:t xml:space="preserve">  Certifications must also be submitted to the Commission’s Office of the Secretary on or before </w:t>
      </w:r>
      <w:r w:rsidRPr="00077C10">
        <w:rPr>
          <w:b/>
          <w:szCs w:val="22"/>
        </w:rPr>
        <w:t>October 1</w:t>
      </w:r>
      <w:r w:rsidRPr="00077C10">
        <w:rPr>
          <w:b/>
          <w:szCs w:val="22"/>
          <w:vertAlign w:val="superscript"/>
        </w:rPr>
        <w:t>st</w:t>
      </w:r>
      <w:r w:rsidRPr="00077C10">
        <w:rPr>
          <w:szCs w:val="22"/>
        </w:rPr>
        <w:t xml:space="preserve">.  The submission should clearly reference WC Docket No. 14–58, ETC Annual Reports and Certifications.  </w:t>
      </w:r>
    </w:p>
    <w:p w:rsidR="00FB15C1" w:rsidRPr="00077C10" w:rsidP="00FB15C1" w14:paraId="53619A9F" w14:textId="77777777">
      <w:pPr>
        <w:pStyle w:val="ListParagraph"/>
        <w:spacing w:after="120"/>
        <w:contextualSpacing w:val="0"/>
        <w:rPr>
          <w:szCs w:val="22"/>
        </w:rPr>
      </w:pPr>
      <w:r w:rsidRPr="00077C10">
        <w:rPr>
          <w:szCs w:val="22"/>
        </w:rPr>
        <w:t>We conclude there is good cause to waive on our own motion the general high-cost support program requirement that the relevant states (or the ETCs, if applicable) file a section 54.314 certification by October 1, 2020 with respect to the use of Auction 903 support for the applicants authorized in this Public Notice.</w:t>
      </w:r>
      <w:r>
        <w:rPr>
          <w:rStyle w:val="FootnoteReference"/>
          <w:szCs w:val="22"/>
        </w:rPr>
        <w:footnoteReference w:id="37"/>
      </w:r>
      <w:r w:rsidRPr="00077C10">
        <w:rPr>
          <w:szCs w:val="22"/>
        </w:rPr>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szCs w:val="22"/>
        </w:rPr>
        <w:footnoteReference w:id="38"/>
      </w:r>
      <w:r w:rsidRPr="00077C10">
        <w:rPr>
          <w:szCs w:val="22"/>
        </w:rPr>
        <w:t xml:space="preserve">  In this instance, the Auction 903 applicants being authorized today did not receive Auction 903 support in 2019 and will not file an annual report with respect to those supported areas on July 1, 2020.  Therefore, the state commissions and federally designated ETCs will not have the annual reporting information before them to provide an evidentiary basis for certifying that support will be used for its intended purposes in 2021 as required by the prospective section 54.314 certification due by October 1, 2020.  State commissions (or the ETCs, if applicable) will be required to certify support received in 2020 was used for its intended purposes when the section 54.314 certification is filed by October 1, 2021 and will be required to certify that support received in 2021 was used for its intended purposes when the section 54.314 certification is filed by October 1, 2022.  Accordingly, we conclude that the Commission, USAC, and the states will have assurance that Auction 903 support that is disbursed in 2020 and 2021 is used for its intended purposes even if the relevant states or federally designated ETCs do not file the section 54.314 certification on October 1, 2020.</w:t>
      </w:r>
    </w:p>
    <w:p w:rsidR="00FB15C1" w:rsidRPr="00077C10" w:rsidP="00FB15C1" w14:paraId="6275A598" w14:textId="77777777">
      <w:pPr>
        <w:spacing w:after="120"/>
        <w:ind w:firstLine="720"/>
        <w:rPr>
          <w:b/>
        </w:rPr>
      </w:pPr>
      <w:r w:rsidRPr="00077C10">
        <w:rPr>
          <w:szCs w:val="22"/>
        </w:rPr>
        <w:t xml:space="preserve">All post-designation ETC-related filings must be submitted in good faith and include a certification that, to the best of the </w:t>
      </w:r>
      <w:r w:rsidRPr="00077C10">
        <w:rPr>
          <w:szCs w:val="22"/>
        </w:rPr>
        <w:t>ETC’s</w:t>
      </w:r>
      <w:r w:rsidRPr="00077C10">
        <w:rPr>
          <w:szCs w:val="22"/>
        </w:rPr>
        <w:t xml:space="preserve"> knowledge and belief, the information is complete and accurate.</w:t>
      </w:r>
      <w:r>
        <w:rPr>
          <w:rStyle w:val="FootnoteReference"/>
          <w:szCs w:val="22"/>
        </w:rPr>
        <w:footnoteReference w:id="39"/>
      </w:r>
      <w:r w:rsidRPr="00077C10">
        <w:rPr>
          <w:szCs w:val="22"/>
        </w:rPr>
        <w:t xml:space="preserve">  In addition, ETCs have an on-going duty to correct or amend information if they have reason </w:t>
      </w:r>
      <w:r w:rsidRPr="00077C10">
        <w:rPr>
          <w:szCs w:val="22"/>
        </w:rPr>
        <w:t>to believe, either through their own investigation or upon notice from USAC, that the data are inaccurate, incomplete, or contain errors or anomalies.</w:t>
      </w:r>
      <w:r>
        <w:rPr>
          <w:rStyle w:val="FootnoteReference"/>
          <w:szCs w:val="22"/>
        </w:rPr>
        <w:footnoteReference w:id="40"/>
      </w:r>
      <w:r w:rsidRPr="00077C10">
        <w:rPr>
          <w:szCs w:val="22"/>
        </w:rPr>
        <w:t xml:space="preserve">  The failure to timely file information may result in penalties in the form of a reduction in support.</w:t>
      </w:r>
      <w:r>
        <w:rPr>
          <w:rStyle w:val="FootnoteReference"/>
          <w:szCs w:val="22"/>
        </w:rPr>
        <w:footnoteReference w:id="41"/>
      </w:r>
    </w:p>
    <w:p w:rsidR="00FB15C1" w:rsidRPr="00E92191" w:rsidP="00FB15C1" w14:paraId="565E9E45" w14:textId="77777777">
      <w:pPr>
        <w:spacing w:after="120"/>
        <w:ind w:firstLine="720"/>
        <w:rPr>
          <w:i/>
          <w:iCs/>
          <w:szCs w:val="22"/>
        </w:rPr>
      </w:pPr>
      <w:r w:rsidRPr="0012579F">
        <w:rPr>
          <w:i/>
          <w:iCs/>
        </w:rPr>
        <w:t xml:space="preserve">National Security Supply Chain Proceeding. </w:t>
      </w:r>
      <w:r w:rsidRPr="0012579F">
        <w:t>We remind winning bidders that all Auction 903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2"/>
      </w:r>
      <w:r w:rsidRPr="0012579F">
        <w:t xml:space="preserve">  The prohibition on using universal service funds applies “to upgrades and maintenance of existing equipment and services.”</w:t>
      </w:r>
      <w:r>
        <w:rPr>
          <w:rStyle w:val="FootnoteReference"/>
        </w:rPr>
        <w:footnoteReference w:id="43"/>
      </w:r>
      <w:r>
        <w:t xml:space="preserve">  </w:t>
      </w:r>
    </w:p>
    <w:p w:rsidR="00FB15C1" w:rsidRPr="00077C10" w:rsidP="00FB15C1" w14:paraId="06EAA60B" w14:textId="77777777">
      <w:pPr>
        <w:spacing w:after="120"/>
        <w:ind w:firstLine="720"/>
        <w:rPr>
          <w:b/>
        </w:rPr>
      </w:pPr>
      <w:r w:rsidRPr="00077C10">
        <w:rPr>
          <w:i/>
          <w:szCs w:val="22"/>
        </w:rPr>
        <w:t xml:space="preserve">Document Retention and Compliance Audits.  </w:t>
      </w:r>
      <w:r w:rsidRPr="00077C10">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44"/>
      </w:r>
      <w:r w:rsidRPr="00077C10">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45"/>
      </w:r>
    </w:p>
    <w:p w:rsidR="00FB15C1" w:rsidRPr="00077C10" w:rsidP="00FB15C1" w14:paraId="72F0B9D4" w14:textId="77777777">
      <w:pPr>
        <w:widowControl/>
        <w:spacing w:after="120"/>
        <w:ind w:firstLine="720"/>
        <w:rPr>
          <w:szCs w:val="22"/>
        </w:rPr>
      </w:pPr>
      <w:r w:rsidRPr="00077C10">
        <w:rPr>
          <w:i/>
          <w:szCs w:val="22"/>
        </w:rPr>
        <w:t>Consequences for Non-Compliance</w:t>
      </w:r>
      <w:r w:rsidRPr="00077C10">
        <w:rPr>
          <w:szCs w:val="22"/>
        </w:rPr>
        <w:t>.  A support recipient is subject to non-compliance measures once it becomes a support recipient if it fails or is unable to meet its minimum coverage requirement or other service requirements, or fails to fulfill any other term or condition of Phase II support.</w:t>
      </w:r>
      <w:r>
        <w:rPr>
          <w:rStyle w:val="FootnoteReference"/>
          <w:szCs w:val="22"/>
        </w:rPr>
        <w:footnoteReference w:id="46"/>
      </w:r>
      <w:r w:rsidRPr="00077C10">
        <w:rPr>
          <w:szCs w:val="22"/>
        </w:rPr>
        <w:t xml:space="preserve">  These measures scale with the extent of non-compliance and include additional reporting, withholding of support, and support recovery.</w:t>
      </w:r>
      <w:r>
        <w:rPr>
          <w:rStyle w:val="FootnoteReference"/>
          <w:szCs w:val="22"/>
        </w:rPr>
        <w:footnoteReference w:id="47"/>
      </w:r>
      <w:r w:rsidRPr="00077C10">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48"/>
      </w:r>
      <w:r w:rsidRPr="00077C10">
        <w:rPr>
          <w:szCs w:val="22"/>
        </w:rPr>
        <w:t xml:space="preserve"> </w:t>
      </w:r>
    </w:p>
    <w:p w:rsidR="00FB15C1" w:rsidRPr="00077C10" w:rsidP="00FB15C1" w14:paraId="1815DEF2" w14:textId="77777777">
      <w:pPr>
        <w:spacing w:after="120"/>
        <w:ind w:firstLine="720"/>
        <w:rPr>
          <w:b/>
        </w:rPr>
      </w:pPr>
      <w:r w:rsidRPr="00077C10">
        <w:rPr>
          <w:i/>
          <w:szCs w:val="22"/>
        </w:rPr>
        <w:t>ETC Obligations.</w:t>
      </w:r>
      <w:r w:rsidRPr="00077C10">
        <w:rPr>
          <w:szCs w:val="22"/>
        </w:rPr>
        <w:t xml:space="preserve">  All Auction 903 support recipients were required to obtain a high-cost ETC designation prior to being authorized for Auction 903 support, and thus should be familiar with ETC requirements.  For example, </w:t>
      </w:r>
      <w:r w:rsidRPr="00077C10">
        <w:rPr>
          <w:snapToGrid/>
          <w:kern w:val="0"/>
          <w:szCs w:val="22"/>
        </w:rPr>
        <w:t xml:space="preserve">all high-cost ETCs commit to serving the entire area covered by an ETC </w:t>
      </w:r>
      <w:r w:rsidRPr="00077C10">
        <w:rPr>
          <w:snapToGrid/>
          <w:kern w:val="0"/>
          <w:szCs w:val="22"/>
        </w:rPr>
        <w:t>designation and must offer Lifeline voice and broadband service throughout such area to qualifying low-income consumers pursuant to the Lifeline program rules.</w:t>
      </w:r>
      <w:r>
        <w:rPr>
          <w:rStyle w:val="FootnoteReference"/>
          <w:snapToGrid/>
          <w:kern w:val="0"/>
          <w:szCs w:val="22"/>
        </w:rPr>
        <w:footnoteReference w:id="49"/>
      </w:r>
      <w:r w:rsidRPr="00077C10">
        <w:rPr>
          <w:snapToGrid/>
          <w:kern w:val="0"/>
          <w:szCs w:val="22"/>
        </w:rPr>
        <w:t xml:space="preserve">  While an Auction 903 support recipient was not required to obtain an ETC designation that was limited only to the eligible census blocks covered by its winning bids, it may only use its Auction 903 support to offer the required voice and broadband services to locations in eligible census blocks.  If an Auction 903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903 support.</w:t>
      </w:r>
      <w:r>
        <w:rPr>
          <w:rStyle w:val="FootnoteReference"/>
          <w:snapToGrid/>
          <w:kern w:val="0"/>
          <w:szCs w:val="22"/>
        </w:rPr>
        <w:footnoteReference w:id="50"/>
      </w:r>
      <w:r w:rsidRPr="00077C10">
        <w:rPr>
          <w:snapToGrid/>
          <w:kern w:val="0"/>
          <w:szCs w:val="22"/>
        </w:rPr>
        <w:t xml:space="preserve">  A high-cost ETC may also be subject to state-specific requirements imposed by the state that designated it as an ETC.</w:t>
      </w:r>
    </w:p>
    <w:p w:rsidR="00FB15C1" w:rsidRPr="00077C10" w:rsidP="00FB15C1" w14:paraId="1A16B72B" w14:textId="77777777">
      <w:pPr>
        <w:spacing w:after="120"/>
        <w:ind w:firstLine="720"/>
        <w:rPr>
          <w:b/>
        </w:rPr>
      </w:pPr>
      <w:r w:rsidRPr="00077C10">
        <w:rPr>
          <w:i/>
          <w:szCs w:val="22"/>
        </w:rPr>
        <w:t>Discontinuance of Service and/or Relinquishment of Support.</w:t>
      </w:r>
      <w:r w:rsidRPr="00077C10">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51"/>
      </w:r>
      <w:r w:rsidRPr="00077C10">
        <w:rPr>
          <w:szCs w:val="22"/>
        </w:rPr>
        <w:t xml:space="preserve">  The ETC</w:t>
      </w:r>
      <w:r w:rsidRPr="00077C10">
        <w:rPr>
          <w:i/>
          <w:szCs w:val="22"/>
        </w:rPr>
        <w:t xml:space="preserve"> </w:t>
      </w:r>
      <w:r w:rsidRPr="00077C10">
        <w:rPr>
          <w:szCs w:val="22"/>
        </w:rPr>
        <w:t>must file a notice of relinquishment in WC Docket No. 09-197, Telecommunications Carriers Eligible for Universal Service Support, using the Commission’s Electronic Comment Filing System (</w:t>
      </w:r>
      <w:r w:rsidRPr="00077C10">
        <w:rPr>
          <w:szCs w:val="22"/>
        </w:rPr>
        <w:t>ECFS</w:t>
      </w:r>
      <w:r w:rsidRPr="00077C10">
        <w:rPr>
          <w:szCs w:val="22"/>
        </w:rPr>
        <w:t xml:space="preserve">).  </w:t>
      </w:r>
      <w:r w:rsidRPr="00077C10">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52"/>
      </w:r>
      <w:r w:rsidRPr="00077C10">
        <w:rPr>
          <w:szCs w:val="22"/>
          <w:lang w:val="en"/>
        </w:rPr>
        <w:t xml:space="preserve">  The ETC must then send a copy of its relinquishment notice and a copy of the relinquishment order (within one week of its release) to USAC at </w:t>
      </w:r>
      <w:hyperlink r:id="rId7" w:history="1">
        <w:r w:rsidRPr="00077C10">
          <w:rPr>
            <w:rStyle w:val="Hyperlink"/>
            <w:szCs w:val="22"/>
            <w:lang w:val="en"/>
          </w:rPr>
          <w:t>hcorders@usac.org</w:t>
        </w:r>
      </w:hyperlink>
      <w:r w:rsidRPr="00077C10">
        <w:rPr>
          <w:color w:val="404040"/>
          <w:szCs w:val="22"/>
          <w:lang w:val="en"/>
        </w:rPr>
        <w:t>.</w:t>
      </w:r>
      <w:r w:rsidRPr="00077C10">
        <w:rPr>
          <w:szCs w:val="22"/>
        </w:rPr>
        <w:t xml:space="preserve">  A carrier that intends to discontinue service must first seek authorization to discontinue service under section 63.71 of the Commission’s rules.</w:t>
      </w:r>
      <w:r>
        <w:rPr>
          <w:rStyle w:val="FootnoteReference"/>
          <w:szCs w:val="22"/>
        </w:rPr>
        <w:footnoteReference w:id="53"/>
      </w:r>
      <w:bookmarkStart w:id="7" w:name="_Hlk536698117"/>
    </w:p>
    <w:p w:rsidR="00FB15C1" w:rsidRPr="00077C10" w:rsidP="00FB15C1" w14:paraId="747DAA82" w14:textId="77777777">
      <w:pPr>
        <w:widowControl/>
        <w:spacing w:after="120"/>
        <w:ind w:firstLine="720"/>
        <w:rPr>
          <w:b/>
        </w:rPr>
      </w:pPr>
      <w:r w:rsidRPr="00077C10">
        <w:rPr>
          <w:i/>
          <w:szCs w:val="22"/>
        </w:rPr>
        <w:t xml:space="preserve">Transfers of Control.  </w:t>
      </w:r>
      <w:r w:rsidRPr="00077C10">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54"/>
      </w:r>
      <w:r w:rsidRPr="00077C10">
        <w:rPr>
          <w:szCs w:val="22"/>
        </w:rPr>
        <w:t xml:space="preserve">  Transfers of control and assignments of international section 214 authorizations are separately subject to section 63.24 of the Commission’s rules.</w:t>
      </w:r>
      <w:r>
        <w:rPr>
          <w:rStyle w:val="FootnoteReference"/>
          <w:szCs w:val="22"/>
        </w:rPr>
        <w:footnoteReference w:id="55"/>
      </w:r>
      <w:r w:rsidRPr="00077C10">
        <w:rPr>
          <w:szCs w:val="22"/>
        </w:rPr>
        <w:t xml:space="preserve">  More information is available on the Commission’s website at </w:t>
      </w:r>
      <w:hyperlink r:id="rId8" w:history="1">
        <w:r w:rsidRPr="00077C10">
          <w:rPr>
            <w:rStyle w:val="Hyperlink"/>
            <w:szCs w:val="22"/>
          </w:rPr>
          <w:t>http://www.fcc.gov/general/transfer-control</w:t>
        </w:r>
      </w:hyperlink>
      <w:r w:rsidRPr="00077C10">
        <w:rPr>
          <w:szCs w:val="22"/>
        </w:rPr>
        <w:t xml:space="preserve">.  </w:t>
      </w:r>
      <w:bookmarkEnd w:id="7"/>
    </w:p>
    <w:p w:rsidR="00FB15C1" w:rsidRPr="00077C10" w:rsidP="00FB15C1" w14:paraId="14033EC8" w14:textId="77777777">
      <w:pPr>
        <w:spacing w:after="120"/>
        <w:ind w:firstLine="720"/>
        <w:rPr>
          <w:szCs w:val="22"/>
        </w:rPr>
      </w:pPr>
      <w:r w:rsidRPr="00077C10">
        <w:rPr>
          <w:i/>
          <w:szCs w:val="22"/>
        </w:rPr>
        <w:t>Price Cap Carrier Obligations.</w:t>
      </w:r>
      <w:r w:rsidRPr="00077C10">
        <w:rPr>
          <w:szCs w:val="22"/>
        </w:rPr>
        <w:t xml:space="preserve">  Price cap carriers that serve the census blocks where an Auction 903 long-form applicant that is not the incumbent price cap carrier has been authorized to receive support will no longer have a federal high-cost ETC obligation to continue to offer voice service in those census blocks pursuant to the forbearance granted in the </w:t>
      </w:r>
      <w:r w:rsidRPr="00077C10">
        <w:rPr>
          <w:i/>
          <w:szCs w:val="22"/>
        </w:rPr>
        <w:t>December 2014 Connect America Order</w:t>
      </w:r>
      <w:r w:rsidRPr="00077C10">
        <w:rPr>
          <w:szCs w:val="22"/>
        </w:rPr>
        <w:t>.</w:t>
      </w:r>
      <w:r>
        <w:rPr>
          <w:rStyle w:val="FootnoteReference"/>
          <w:szCs w:val="22"/>
        </w:rPr>
        <w:footnoteReference w:id="56"/>
      </w:r>
      <w:r w:rsidRPr="00077C10">
        <w:rPr>
          <w:szCs w:val="22"/>
        </w:rPr>
        <w:t xml:space="preserve">  </w:t>
      </w:r>
    </w:p>
    <w:p w:rsidR="00FB15C1" w:rsidRPr="00077C10" w:rsidP="00FB15C1" w14:paraId="5B8C3461" w14:textId="77777777">
      <w:pPr>
        <w:spacing w:after="120"/>
        <w:ind w:firstLine="720"/>
      </w:pPr>
      <w:r w:rsidRPr="00077C10">
        <w:rPr>
          <w:i/>
        </w:rPr>
        <w:t>Transitioning Legacy Support</w:t>
      </w:r>
      <w:r w:rsidRPr="00077C10">
        <w:t>.  WCB will soon update the list of census blocks where incumbent price cap carriers will continue to receive legacy support by removing the eligible census blocks that are covered by the winning bids in Attachment A.</w:t>
      </w:r>
      <w:r>
        <w:rPr>
          <w:rStyle w:val="FootnoteReference"/>
        </w:rPr>
        <w:footnoteReference w:id="57"/>
      </w:r>
      <w:r w:rsidRPr="00077C10">
        <w:t xml:space="preserve">  Incumbent price cap carriers will no longer receive legacy support in the eligible census blocks covered by the winning bids in Attachment A beginning on the first day of the next month.</w:t>
      </w:r>
      <w:r>
        <w:rPr>
          <w:rStyle w:val="FootnoteReference"/>
        </w:rPr>
        <w:footnoteReference w:id="58"/>
      </w:r>
      <w:r w:rsidRPr="00077C10">
        <w:t xml:space="preserve">  </w:t>
      </w:r>
    </w:p>
    <w:p w:rsidR="00FB15C1" w:rsidRPr="00077C10" w:rsidP="00FB15C1" w14:paraId="2CC25025" w14:textId="77777777">
      <w:pPr>
        <w:keepNext/>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5D0575C7" w14:textId="77777777" w:rsidTr="002804B9">
        <w:tblPrEx>
          <w:tblW w:w="9828" w:type="dxa"/>
          <w:tblLayout w:type="fixed"/>
          <w:tblCellMar>
            <w:left w:w="115" w:type="dxa"/>
            <w:right w:w="115" w:type="dxa"/>
          </w:tblCellMar>
          <w:tblLook w:val="0000"/>
        </w:tblPrEx>
        <w:trPr>
          <w:cantSplit/>
          <w:trHeight w:val="720"/>
        </w:trPr>
        <w:tc>
          <w:tcPr>
            <w:tcW w:w="4968" w:type="dxa"/>
          </w:tcPr>
          <w:p w:rsidR="00FB15C1" w:rsidRPr="00077C10" w:rsidP="002804B9" w14:paraId="35896C4A" w14:textId="77777777">
            <w:pPr>
              <w:rPr>
                <w:b/>
                <w:szCs w:val="22"/>
              </w:rPr>
            </w:pPr>
          </w:p>
          <w:p w:rsidR="00FB15C1" w:rsidRPr="00077C10" w:rsidP="002804B9" w14:paraId="740C2C58" w14:textId="77777777">
            <w:pPr>
              <w:rPr>
                <w:b/>
                <w:szCs w:val="22"/>
              </w:rPr>
            </w:pPr>
            <w:r w:rsidRPr="00077C10">
              <w:rPr>
                <w:b/>
                <w:szCs w:val="22"/>
              </w:rPr>
              <w:t>Press Information</w:t>
            </w:r>
          </w:p>
        </w:tc>
        <w:tc>
          <w:tcPr>
            <w:tcW w:w="4860" w:type="dxa"/>
          </w:tcPr>
          <w:p w:rsidR="00FB15C1" w:rsidRPr="00077C10" w:rsidP="002804B9" w14:paraId="120E2787" w14:textId="77777777">
            <w:pPr>
              <w:widowControl/>
              <w:rPr>
                <w:szCs w:val="22"/>
              </w:rPr>
            </w:pPr>
          </w:p>
          <w:p w:rsidR="00FB15C1" w:rsidRPr="00077C10" w:rsidP="002804B9" w14:paraId="440F2DC0" w14:textId="77777777">
            <w:pPr>
              <w:widowControl/>
              <w:rPr>
                <w:szCs w:val="22"/>
              </w:rPr>
            </w:pPr>
            <w:r w:rsidRPr="00077C10">
              <w:rPr>
                <w:szCs w:val="22"/>
              </w:rPr>
              <w:t>(202) 418-0500</w:t>
            </w:r>
          </w:p>
          <w:p w:rsidR="00FB15C1" w:rsidRPr="00077C10" w:rsidP="002804B9" w14:paraId="155AF213" w14:textId="77777777">
            <w:pPr>
              <w:rPr>
                <w:b/>
                <w:szCs w:val="22"/>
              </w:rPr>
            </w:pPr>
          </w:p>
        </w:tc>
      </w:tr>
      <w:tr w14:paraId="7AAED4E1" w14:textId="77777777" w:rsidTr="002804B9">
        <w:tblPrEx>
          <w:tblW w:w="9828" w:type="dxa"/>
          <w:tblLayout w:type="fixed"/>
          <w:tblCellMar>
            <w:left w:w="115" w:type="dxa"/>
            <w:right w:w="115" w:type="dxa"/>
          </w:tblCellMar>
          <w:tblLook w:val="0000"/>
        </w:tblPrEx>
        <w:trPr>
          <w:cantSplit/>
          <w:trHeight w:val="900"/>
        </w:trPr>
        <w:tc>
          <w:tcPr>
            <w:tcW w:w="4968" w:type="dxa"/>
          </w:tcPr>
          <w:p w:rsidR="00FB15C1" w:rsidRPr="00077C10" w:rsidP="002804B9" w14:paraId="358439F2" w14:textId="77777777">
            <w:pPr>
              <w:rPr>
                <w:b/>
                <w:i/>
                <w:szCs w:val="22"/>
              </w:rPr>
            </w:pPr>
            <w:r w:rsidRPr="00077C10">
              <w:rPr>
                <w:b/>
                <w:szCs w:val="22"/>
              </w:rPr>
              <w:t>General Universal Service Information</w:t>
            </w:r>
          </w:p>
        </w:tc>
        <w:tc>
          <w:tcPr>
            <w:tcW w:w="4860" w:type="dxa"/>
          </w:tcPr>
          <w:p w:rsidR="00FB15C1" w:rsidRPr="00077C10" w:rsidP="002804B9" w14:paraId="2CAFCCE9" w14:textId="77777777">
            <w:pPr>
              <w:rPr>
                <w:b/>
                <w:szCs w:val="22"/>
              </w:rPr>
            </w:pPr>
            <w:r w:rsidRPr="00077C10">
              <w:rPr>
                <w:b/>
                <w:szCs w:val="22"/>
              </w:rPr>
              <w:t>Wireline Competition Bureau,</w:t>
            </w:r>
          </w:p>
          <w:p w:rsidR="00FB15C1" w:rsidRPr="00077C10" w:rsidP="002804B9" w14:paraId="6F54D1DF" w14:textId="77777777">
            <w:pPr>
              <w:rPr>
                <w:b/>
                <w:szCs w:val="22"/>
              </w:rPr>
            </w:pPr>
            <w:r w:rsidRPr="00077C10">
              <w:rPr>
                <w:b/>
                <w:szCs w:val="22"/>
              </w:rPr>
              <w:t>Telecommunications Access Policy Division</w:t>
            </w:r>
          </w:p>
          <w:p w:rsidR="00FB15C1" w:rsidRPr="00077C10" w:rsidP="002804B9" w14:paraId="24043FF0" w14:textId="77777777">
            <w:pPr>
              <w:widowControl/>
              <w:rPr>
                <w:szCs w:val="22"/>
              </w:rPr>
            </w:pPr>
            <w:r w:rsidRPr="00077C10">
              <w:rPr>
                <w:szCs w:val="22"/>
              </w:rPr>
              <w:t>Alexander Minard</w:t>
            </w:r>
          </w:p>
          <w:p w:rsidR="00FB15C1" w:rsidRPr="00077C10" w:rsidP="002804B9" w14:paraId="5215B1A1" w14:textId="77777777">
            <w:pPr>
              <w:widowControl/>
              <w:rPr>
                <w:szCs w:val="22"/>
              </w:rPr>
            </w:pPr>
            <w:r w:rsidRPr="00077C10">
              <w:rPr>
                <w:szCs w:val="22"/>
              </w:rPr>
              <w:t>Lauren Garry</w:t>
            </w:r>
          </w:p>
          <w:p w:rsidR="00FB15C1" w:rsidRPr="00077C10" w:rsidP="002804B9" w14:paraId="254C465B" w14:textId="77777777">
            <w:pPr>
              <w:widowControl/>
              <w:rPr>
                <w:szCs w:val="22"/>
              </w:rPr>
            </w:pPr>
            <w:r w:rsidRPr="00077C10">
              <w:rPr>
                <w:szCs w:val="22"/>
              </w:rPr>
              <w:t>Katie King</w:t>
            </w:r>
          </w:p>
          <w:p w:rsidR="00FB15C1" w:rsidRPr="00077C10" w:rsidP="002804B9" w14:paraId="7A33D4DE" w14:textId="77777777">
            <w:pPr>
              <w:widowControl/>
              <w:rPr>
                <w:szCs w:val="22"/>
              </w:rPr>
            </w:pPr>
            <w:r w:rsidRPr="00077C10">
              <w:rPr>
                <w:szCs w:val="22"/>
              </w:rPr>
              <w:t>Heidi Lankau</w:t>
            </w:r>
          </w:p>
          <w:p w:rsidR="00FB15C1" w:rsidRPr="00077C10" w:rsidP="002804B9" w14:paraId="317A3140" w14:textId="77777777">
            <w:pPr>
              <w:widowControl/>
              <w:rPr>
                <w:szCs w:val="22"/>
              </w:rPr>
            </w:pPr>
            <w:r w:rsidRPr="00077C10">
              <w:rPr>
                <w:szCs w:val="22"/>
              </w:rPr>
              <w:t>(202) 418-7400</w:t>
            </w:r>
          </w:p>
          <w:p w:rsidR="00FB15C1" w:rsidRPr="00077C10" w:rsidP="002804B9" w14:paraId="37C02D9B" w14:textId="77777777">
            <w:pPr>
              <w:widowControl/>
              <w:rPr>
                <w:szCs w:val="22"/>
              </w:rPr>
            </w:pPr>
          </w:p>
          <w:p w:rsidR="00FB15C1" w:rsidRPr="00077C10" w:rsidP="002804B9" w14:paraId="62A2667A" w14:textId="77777777">
            <w:pPr>
              <w:rPr>
                <w:b/>
                <w:szCs w:val="22"/>
              </w:rPr>
            </w:pPr>
            <w:r w:rsidRPr="00077C10">
              <w:rPr>
                <w:b/>
                <w:szCs w:val="22"/>
              </w:rPr>
              <w:t>Universal Service Administrative Company</w:t>
            </w:r>
          </w:p>
          <w:p w:rsidR="00FB15C1" w:rsidRPr="00077C10" w:rsidP="002804B9" w14:paraId="0B4247FD" w14:textId="77777777">
            <w:pPr>
              <w:widowControl/>
              <w:rPr>
                <w:szCs w:val="22"/>
              </w:rPr>
            </w:pPr>
            <w:r w:rsidRPr="00077C10">
              <w:rPr>
                <w:szCs w:val="22"/>
              </w:rPr>
              <w:t>Stephen Snowman</w:t>
            </w:r>
          </w:p>
          <w:p w:rsidR="00FB15C1" w:rsidRPr="00077C10" w:rsidP="002804B9" w14:paraId="08D07D72" w14:textId="77777777">
            <w:pPr>
              <w:widowControl/>
              <w:rPr>
                <w:szCs w:val="22"/>
              </w:rPr>
            </w:pPr>
            <w:r w:rsidRPr="00077C10">
              <w:rPr>
                <w:szCs w:val="22"/>
              </w:rPr>
              <w:t>(202) 263-1600</w:t>
            </w:r>
          </w:p>
          <w:p w:rsidR="00FB15C1" w:rsidRPr="00077C10" w:rsidP="002804B9" w14:paraId="41692B4C" w14:textId="77777777">
            <w:pPr>
              <w:widowControl/>
              <w:rPr>
                <w:szCs w:val="22"/>
              </w:rPr>
            </w:pPr>
          </w:p>
        </w:tc>
      </w:tr>
      <w:tr w14:paraId="1B48CC63" w14:textId="77777777" w:rsidTr="002804B9">
        <w:tblPrEx>
          <w:tblW w:w="9828" w:type="dxa"/>
          <w:tblLayout w:type="fixed"/>
          <w:tblCellMar>
            <w:left w:w="115" w:type="dxa"/>
            <w:right w:w="115" w:type="dxa"/>
          </w:tblCellMar>
          <w:tblLook w:val="0000"/>
        </w:tblPrEx>
        <w:trPr>
          <w:cantSplit/>
          <w:trHeight w:val="1440"/>
        </w:trPr>
        <w:tc>
          <w:tcPr>
            <w:tcW w:w="4968" w:type="dxa"/>
          </w:tcPr>
          <w:p w:rsidR="00FB15C1" w:rsidRPr="00077C10" w:rsidP="002804B9" w14:paraId="2029A683" w14:textId="77777777">
            <w:pPr>
              <w:rPr>
                <w:szCs w:val="22"/>
              </w:rPr>
            </w:pPr>
            <w:r w:rsidRPr="00077C10">
              <w:rPr>
                <w:b/>
                <w:szCs w:val="22"/>
              </w:rPr>
              <w:t xml:space="preserve">       Auction 903 Information</w:t>
            </w:r>
          </w:p>
          <w:p w:rsidR="00FB15C1" w:rsidRPr="00077C10" w:rsidP="002804B9" w14:paraId="78E5C348" w14:textId="77777777">
            <w:pPr>
              <w:ind w:left="360"/>
              <w:rPr>
                <w:szCs w:val="22"/>
              </w:rPr>
            </w:pPr>
            <w:r w:rsidRPr="00077C10">
              <w:rPr>
                <w:szCs w:val="22"/>
              </w:rPr>
              <w:t>General Auction Information, Process, and Procedures</w:t>
            </w:r>
          </w:p>
          <w:p w:rsidR="00FB15C1" w:rsidRPr="00077C10" w:rsidP="002804B9" w14:paraId="21819D3D" w14:textId="77777777">
            <w:pPr>
              <w:rPr>
                <w:szCs w:val="22"/>
              </w:rPr>
            </w:pPr>
          </w:p>
          <w:p w:rsidR="00FB15C1" w:rsidRPr="00077C10" w:rsidP="002804B9" w14:paraId="0479FF36" w14:textId="77777777">
            <w:pPr>
              <w:ind w:left="360"/>
              <w:rPr>
                <w:b/>
                <w:szCs w:val="22"/>
              </w:rPr>
            </w:pPr>
            <w:r w:rsidRPr="00077C10">
              <w:rPr>
                <w:szCs w:val="22"/>
              </w:rPr>
              <w:t>Post-Auction Rules, Policies, and Regulations</w:t>
            </w:r>
          </w:p>
        </w:tc>
        <w:tc>
          <w:tcPr>
            <w:tcW w:w="4860" w:type="dxa"/>
          </w:tcPr>
          <w:p w:rsidR="00FB15C1" w:rsidRPr="00077C10" w:rsidP="002804B9" w14:paraId="57406A1F" w14:textId="77777777">
            <w:pPr>
              <w:rPr>
                <w:b/>
                <w:szCs w:val="22"/>
              </w:rPr>
            </w:pPr>
            <w:r w:rsidRPr="00077C10">
              <w:rPr>
                <w:b/>
                <w:szCs w:val="22"/>
              </w:rPr>
              <w:t>Office of Economics and Analytics,</w:t>
            </w:r>
          </w:p>
          <w:p w:rsidR="00FB15C1" w:rsidRPr="00077C10" w:rsidP="002804B9" w14:paraId="5D34073E" w14:textId="77777777">
            <w:pPr>
              <w:rPr>
                <w:b/>
                <w:szCs w:val="22"/>
              </w:rPr>
            </w:pPr>
            <w:r w:rsidRPr="00077C10">
              <w:rPr>
                <w:b/>
                <w:szCs w:val="22"/>
              </w:rPr>
              <w:t xml:space="preserve">Auctions Division </w:t>
            </w:r>
          </w:p>
          <w:p w:rsidR="00FB15C1" w:rsidRPr="00077C10" w:rsidP="002804B9" w14:paraId="3006C984" w14:textId="77777777">
            <w:pPr>
              <w:rPr>
                <w:szCs w:val="22"/>
              </w:rPr>
            </w:pPr>
            <w:r w:rsidRPr="00077C10">
              <w:rPr>
                <w:szCs w:val="22"/>
              </w:rPr>
              <w:t>(717) 338-2868</w:t>
            </w:r>
          </w:p>
          <w:p w:rsidR="00FB15C1" w:rsidRPr="00077C10" w:rsidP="002804B9" w14:paraId="0F6D8753" w14:textId="77777777">
            <w:pPr>
              <w:rPr>
                <w:szCs w:val="22"/>
              </w:rPr>
            </w:pPr>
          </w:p>
          <w:p w:rsidR="00FB15C1" w:rsidRPr="00077C10" w:rsidP="002804B9" w14:paraId="77ED41BB" w14:textId="77777777">
            <w:pPr>
              <w:widowControl/>
              <w:rPr>
                <w:b/>
                <w:szCs w:val="22"/>
              </w:rPr>
            </w:pPr>
            <w:r w:rsidRPr="00077C10">
              <w:rPr>
                <w:b/>
                <w:szCs w:val="22"/>
              </w:rPr>
              <w:t>Rural Broadband Auctions Task Force</w:t>
            </w:r>
          </w:p>
          <w:p w:rsidR="00FB15C1" w:rsidRPr="00077C10" w:rsidP="002804B9" w14:paraId="63FFA72E" w14:textId="77777777">
            <w:pPr>
              <w:widowControl/>
              <w:rPr>
                <w:szCs w:val="22"/>
              </w:rPr>
            </w:pPr>
            <w:r w:rsidRPr="00077C10">
              <w:rPr>
                <w:szCs w:val="22"/>
              </w:rPr>
              <w:t>Michael Janson, (202) 418-0627</w:t>
            </w:r>
          </w:p>
          <w:p w:rsidR="00FB15C1" w:rsidRPr="00077C10" w:rsidP="002804B9" w14:paraId="61BD807A" w14:textId="77777777">
            <w:pPr>
              <w:widowControl/>
              <w:rPr>
                <w:szCs w:val="22"/>
              </w:rPr>
            </w:pPr>
            <w:r w:rsidRPr="00077C10">
              <w:rPr>
                <w:szCs w:val="22"/>
              </w:rPr>
              <w:t>Kirk Burgee, (202) 418-1599</w:t>
            </w:r>
          </w:p>
          <w:p w:rsidR="00FB15C1" w:rsidRPr="00077C10" w:rsidP="002804B9" w14:paraId="3DF6B052" w14:textId="77777777">
            <w:pPr>
              <w:widowControl/>
              <w:rPr>
                <w:szCs w:val="22"/>
              </w:rPr>
            </w:pPr>
            <w:r w:rsidRPr="00077C10">
              <w:rPr>
                <w:szCs w:val="22"/>
              </w:rPr>
              <w:t>Jonathan McCormack, (202) 418-1065</w:t>
            </w:r>
          </w:p>
          <w:p w:rsidR="00FB15C1" w:rsidRPr="00077C10" w:rsidP="002804B9" w14:paraId="3BD71820" w14:textId="77777777">
            <w:pPr>
              <w:widowControl/>
              <w:rPr>
                <w:szCs w:val="22"/>
              </w:rPr>
            </w:pPr>
            <w:r w:rsidRPr="00077C10">
              <w:rPr>
                <w:szCs w:val="22"/>
              </w:rPr>
              <w:t>Nathan Eagan, (202) 418-0991</w:t>
            </w:r>
          </w:p>
          <w:p w:rsidR="00FB15C1" w:rsidRPr="00077C10" w:rsidP="002804B9" w14:paraId="45C55167" w14:textId="77777777">
            <w:pPr>
              <w:widowControl/>
              <w:rPr>
                <w:b/>
                <w:szCs w:val="22"/>
              </w:rPr>
            </w:pPr>
          </w:p>
          <w:p w:rsidR="00FB15C1" w:rsidRPr="00077C10" w:rsidP="002804B9" w14:paraId="3DD0A4B9" w14:textId="77777777">
            <w:pPr>
              <w:widowControl/>
              <w:rPr>
                <w:b/>
                <w:szCs w:val="22"/>
              </w:rPr>
            </w:pPr>
            <w:r w:rsidRPr="00077C10">
              <w:rPr>
                <w:b/>
                <w:szCs w:val="22"/>
              </w:rPr>
              <w:t>Office of Economics and Analytics,</w:t>
            </w:r>
          </w:p>
          <w:p w:rsidR="00FB15C1" w:rsidRPr="00077C10" w:rsidP="002804B9" w14:paraId="084C31EA" w14:textId="77777777">
            <w:pPr>
              <w:widowControl/>
              <w:rPr>
                <w:b/>
                <w:szCs w:val="22"/>
              </w:rPr>
            </w:pPr>
            <w:r w:rsidRPr="00077C10">
              <w:rPr>
                <w:b/>
                <w:szCs w:val="22"/>
              </w:rPr>
              <w:t xml:space="preserve">Auctions Division </w:t>
            </w:r>
          </w:p>
          <w:p w:rsidR="00FB15C1" w:rsidRPr="00077C10" w:rsidP="002804B9" w14:paraId="6E239647" w14:textId="77777777">
            <w:pPr>
              <w:widowControl/>
              <w:rPr>
                <w:szCs w:val="22"/>
              </w:rPr>
            </w:pPr>
            <w:r w:rsidRPr="00077C10">
              <w:rPr>
                <w:szCs w:val="22"/>
              </w:rPr>
              <w:t>(202) 418-0660</w:t>
            </w:r>
          </w:p>
          <w:p w:rsidR="00FB15C1" w:rsidRPr="00077C10" w:rsidP="002804B9" w14:paraId="66490B71" w14:textId="77777777">
            <w:pPr>
              <w:rPr>
                <w:b/>
                <w:szCs w:val="22"/>
              </w:rPr>
            </w:pPr>
          </w:p>
        </w:tc>
      </w:tr>
      <w:tr w14:paraId="52CF06E3" w14:textId="77777777" w:rsidTr="002804B9">
        <w:tblPrEx>
          <w:tblW w:w="9828" w:type="dxa"/>
          <w:tblLayout w:type="fixed"/>
          <w:tblCellMar>
            <w:left w:w="115" w:type="dxa"/>
            <w:right w:w="115" w:type="dxa"/>
          </w:tblCellMar>
          <w:tblLook w:val="0000"/>
        </w:tblPrEx>
        <w:trPr>
          <w:cantSplit/>
          <w:trHeight w:val="1105"/>
        </w:trPr>
        <w:tc>
          <w:tcPr>
            <w:tcW w:w="4968" w:type="dxa"/>
          </w:tcPr>
          <w:p w:rsidR="00FB15C1" w:rsidRPr="00077C10" w:rsidP="002804B9" w14:paraId="52D5BFBD" w14:textId="77777777">
            <w:pPr>
              <w:widowControl/>
              <w:autoSpaceDE w:val="0"/>
              <w:autoSpaceDN w:val="0"/>
              <w:adjustRightInd w:val="0"/>
              <w:rPr>
                <w:b/>
                <w:bCs/>
                <w:snapToGrid/>
                <w:szCs w:val="22"/>
              </w:rPr>
            </w:pPr>
            <w:r w:rsidRPr="00077C10">
              <w:rPr>
                <w:b/>
                <w:bCs/>
                <w:snapToGrid/>
                <w:szCs w:val="22"/>
              </w:rPr>
              <w:t>Small Businesses</w:t>
            </w:r>
          </w:p>
          <w:p w:rsidR="00FB15C1" w:rsidRPr="00077C10" w:rsidP="002804B9" w14:paraId="6D29A454"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FB15C1" w:rsidRPr="00077C10" w:rsidP="002804B9" w14:paraId="71920F37" w14:textId="77777777">
            <w:pPr>
              <w:rPr>
                <w:b/>
                <w:szCs w:val="22"/>
              </w:rPr>
            </w:pPr>
          </w:p>
        </w:tc>
        <w:tc>
          <w:tcPr>
            <w:tcW w:w="4860" w:type="dxa"/>
          </w:tcPr>
          <w:p w:rsidR="00FB15C1" w:rsidRPr="00077C10" w:rsidP="002804B9" w14:paraId="0B5EB5FB" w14:textId="77777777">
            <w:pPr>
              <w:widowControl/>
              <w:autoSpaceDE w:val="0"/>
              <w:autoSpaceDN w:val="0"/>
              <w:adjustRightInd w:val="0"/>
              <w:rPr>
                <w:snapToGrid/>
                <w:szCs w:val="22"/>
              </w:rPr>
            </w:pPr>
            <w:r w:rsidRPr="00077C10">
              <w:rPr>
                <w:b/>
                <w:bCs/>
                <w:snapToGrid/>
                <w:szCs w:val="22"/>
              </w:rPr>
              <w:t>Office of Communications Business Opportunities</w:t>
            </w:r>
          </w:p>
          <w:p w:rsidR="00FB15C1" w:rsidRPr="00077C10" w:rsidP="002804B9" w14:paraId="4B78218B" w14:textId="77777777">
            <w:pPr>
              <w:widowControl/>
              <w:autoSpaceDE w:val="0"/>
              <w:autoSpaceDN w:val="0"/>
              <w:adjustRightInd w:val="0"/>
              <w:rPr>
                <w:snapToGrid/>
                <w:szCs w:val="22"/>
              </w:rPr>
            </w:pPr>
            <w:r w:rsidRPr="00077C10">
              <w:rPr>
                <w:snapToGrid/>
                <w:szCs w:val="22"/>
              </w:rPr>
              <w:t>(202) 418-0990</w:t>
            </w:r>
          </w:p>
          <w:p w:rsidR="00FB15C1" w:rsidRPr="00077C10" w:rsidP="002804B9" w14:paraId="5AABB6A6" w14:textId="77777777">
            <w:pPr>
              <w:widowControl/>
              <w:autoSpaceDE w:val="0"/>
              <w:autoSpaceDN w:val="0"/>
              <w:adjustRightInd w:val="0"/>
              <w:rPr>
                <w:snapToGrid/>
                <w:szCs w:val="22"/>
              </w:rPr>
            </w:pPr>
            <w:hyperlink r:id="rId9" w:history="1">
              <w:r w:rsidRPr="00077C10">
                <w:rPr>
                  <w:snapToGrid/>
                  <w:color w:val="0000FF"/>
                  <w:szCs w:val="22"/>
                  <w:u w:val="single"/>
                </w:rPr>
                <w:t>http://www.fcc.gov/ocbo/</w:t>
              </w:r>
            </w:hyperlink>
          </w:p>
          <w:p w:rsidR="00FB15C1" w:rsidRPr="00077C10" w:rsidP="002804B9" w14:paraId="088AE064" w14:textId="77777777">
            <w:pPr>
              <w:rPr>
                <w:b/>
                <w:szCs w:val="22"/>
              </w:rPr>
            </w:pPr>
          </w:p>
        </w:tc>
      </w:tr>
      <w:tr w14:paraId="18C55832" w14:textId="77777777" w:rsidTr="002804B9">
        <w:tblPrEx>
          <w:tblW w:w="9828" w:type="dxa"/>
          <w:tblLayout w:type="fixed"/>
          <w:tblCellMar>
            <w:left w:w="115" w:type="dxa"/>
            <w:right w:w="115" w:type="dxa"/>
          </w:tblCellMar>
          <w:tblLook w:val="0000"/>
        </w:tblPrEx>
        <w:trPr>
          <w:cantSplit/>
          <w:trHeight w:val="981"/>
        </w:trPr>
        <w:tc>
          <w:tcPr>
            <w:tcW w:w="4968" w:type="dxa"/>
          </w:tcPr>
          <w:p w:rsidR="00FB15C1" w:rsidRPr="00077C10" w:rsidP="002804B9" w14:paraId="6B4812E5" w14:textId="77777777">
            <w:pPr>
              <w:rPr>
                <w:b/>
                <w:szCs w:val="22"/>
              </w:rPr>
            </w:pPr>
            <w:r w:rsidRPr="00077C10">
              <w:rPr>
                <w:b/>
                <w:szCs w:val="22"/>
              </w:rPr>
              <w:t>Accessible Formats</w:t>
            </w:r>
          </w:p>
          <w:p w:rsidR="00FB15C1" w:rsidRPr="00077C10" w:rsidP="002804B9" w14:paraId="4709D2A1" w14:textId="77777777">
            <w:pPr>
              <w:ind w:left="360"/>
              <w:rPr>
                <w:szCs w:val="22"/>
              </w:rPr>
            </w:pPr>
            <w:r w:rsidRPr="00077C10">
              <w:rPr>
                <w:szCs w:val="22"/>
              </w:rPr>
              <w:t xml:space="preserve">Braille, large print, electronic files, or </w:t>
            </w:r>
          </w:p>
          <w:p w:rsidR="00FB15C1" w:rsidRPr="00077C10" w:rsidP="002804B9" w14:paraId="5EE232A5" w14:textId="77777777">
            <w:pPr>
              <w:ind w:left="360"/>
              <w:rPr>
                <w:b/>
                <w:szCs w:val="22"/>
              </w:rPr>
            </w:pPr>
            <w:r w:rsidRPr="00077C10">
              <w:rPr>
                <w:szCs w:val="22"/>
              </w:rPr>
              <w:t>audio format for people with disabilities</w:t>
            </w:r>
          </w:p>
        </w:tc>
        <w:tc>
          <w:tcPr>
            <w:tcW w:w="4860" w:type="dxa"/>
          </w:tcPr>
          <w:p w:rsidR="00FB15C1" w:rsidRPr="00077C10" w:rsidP="002804B9" w14:paraId="26BDBAB6" w14:textId="77777777">
            <w:pPr>
              <w:rPr>
                <w:b/>
                <w:szCs w:val="22"/>
              </w:rPr>
            </w:pPr>
            <w:r w:rsidRPr="00077C10">
              <w:rPr>
                <w:b/>
                <w:szCs w:val="22"/>
              </w:rPr>
              <w:t>Consumer and Governmental Affairs Bureau</w:t>
            </w:r>
          </w:p>
          <w:p w:rsidR="00FB15C1" w:rsidRPr="00077C10" w:rsidP="002804B9" w14:paraId="57B098A1" w14:textId="77777777">
            <w:pPr>
              <w:rPr>
                <w:szCs w:val="22"/>
              </w:rPr>
            </w:pPr>
            <w:r w:rsidRPr="00077C10">
              <w:rPr>
                <w:szCs w:val="22"/>
              </w:rPr>
              <w:t>(202) 418-0530 or (202) 418-0432 (TTY)</w:t>
            </w:r>
          </w:p>
          <w:p w:rsidR="00FB15C1" w:rsidRPr="00077C10" w:rsidP="002804B9" w14:paraId="2CDC4164" w14:textId="77777777">
            <w:pPr>
              <w:rPr>
                <w:b/>
                <w:szCs w:val="22"/>
              </w:rPr>
            </w:pPr>
            <w:hyperlink r:id="rId10" w:history="1">
              <w:r w:rsidRPr="00077C10">
                <w:rPr>
                  <w:rStyle w:val="Hyperlink"/>
                  <w:szCs w:val="22"/>
                </w:rPr>
                <w:t>fcc504@fcc.gov</w:t>
              </w:r>
            </w:hyperlink>
          </w:p>
        </w:tc>
      </w:tr>
      <w:tr w14:paraId="08D6FFFE" w14:textId="77777777" w:rsidTr="002804B9">
        <w:tblPrEx>
          <w:tblW w:w="9828" w:type="dxa"/>
          <w:tblLayout w:type="fixed"/>
          <w:tblCellMar>
            <w:left w:w="115" w:type="dxa"/>
            <w:right w:w="115" w:type="dxa"/>
          </w:tblCellMar>
          <w:tblLook w:val="0000"/>
        </w:tblPrEx>
        <w:trPr>
          <w:cantSplit/>
        </w:trPr>
        <w:tc>
          <w:tcPr>
            <w:tcW w:w="4968" w:type="dxa"/>
          </w:tcPr>
          <w:p w:rsidR="00FB15C1" w:rsidRPr="00077C10" w:rsidP="002804B9" w14:paraId="65D538D9" w14:textId="77777777">
            <w:pPr>
              <w:rPr>
                <w:b/>
                <w:szCs w:val="22"/>
              </w:rPr>
            </w:pPr>
            <w:r w:rsidRPr="00077C10">
              <w:rPr>
                <w:b/>
                <w:szCs w:val="22"/>
              </w:rPr>
              <w:t>FCC Internet Sites</w:t>
            </w:r>
          </w:p>
          <w:p w:rsidR="00FB15C1" w:rsidRPr="00077C10" w:rsidP="002804B9" w14:paraId="3FF2CFFF" w14:textId="77777777">
            <w:pPr>
              <w:rPr>
                <w:szCs w:val="22"/>
              </w:rPr>
            </w:pPr>
          </w:p>
        </w:tc>
        <w:tc>
          <w:tcPr>
            <w:tcW w:w="4860" w:type="dxa"/>
          </w:tcPr>
          <w:p w:rsidR="00FB15C1" w:rsidRPr="00077C10" w:rsidP="002804B9" w14:paraId="61224A71" w14:textId="77777777">
            <w:pPr>
              <w:rPr>
                <w:szCs w:val="22"/>
              </w:rPr>
            </w:pPr>
            <w:hyperlink r:id="rId11" w:history="1">
              <w:r w:rsidRPr="00077C10">
                <w:rPr>
                  <w:rStyle w:val="Hyperlink"/>
                  <w:szCs w:val="22"/>
                </w:rPr>
                <w:t>http://www.fcc.gov</w:t>
              </w:r>
            </w:hyperlink>
          </w:p>
          <w:p w:rsidR="00FB15C1" w:rsidRPr="00077C10" w:rsidP="002804B9" w14:paraId="7B8EC4F6" w14:textId="77777777">
            <w:pPr>
              <w:rPr>
                <w:rStyle w:val="Hyperlink"/>
                <w:szCs w:val="22"/>
              </w:rPr>
            </w:pPr>
            <w:hyperlink r:id="rId5" w:history="1">
              <w:r w:rsidRPr="00077C10">
                <w:rPr>
                  <w:rStyle w:val="Hyperlink"/>
                  <w:szCs w:val="22"/>
                </w:rPr>
                <w:t>www.fcc.gov/auction/903</w:t>
              </w:r>
            </w:hyperlink>
          </w:p>
          <w:p w:rsidR="00FB15C1" w:rsidRPr="00077C10" w:rsidP="002804B9" w14:paraId="2F27117F" w14:textId="77777777">
            <w:pPr>
              <w:rPr>
                <w:szCs w:val="22"/>
              </w:rPr>
            </w:pPr>
          </w:p>
        </w:tc>
      </w:tr>
    </w:tbl>
    <w:p w:rsidR="00FB15C1" w:rsidRPr="00077C10" w:rsidP="00FB15C1" w14:paraId="3B27785C" w14:textId="77777777"/>
    <w:p w:rsidR="00FB15C1" w:rsidRPr="00077C10" w:rsidP="00FB15C1" w14:paraId="74412707" w14:textId="77777777">
      <w:pPr>
        <w:spacing w:after="120"/>
      </w:pPr>
      <w:r w:rsidRPr="00077C10">
        <w:t>This Public Notice contains the following Attachment:</w:t>
      </w:r>
    </w:p>
    <w:p w:rsidR="00FB15C1" w:rsidRPr="00077C10" w:rsidP="00FB15C1" w14:paraId="02832DEF" w14:textId="77777777">
      <w:pPr>
        <w:spacing w:after="120"/>
      </w:pPr>
      <w:r w:rsidRPr="00077C10">
        <w:t>Attachment A: Authorized Long-Form Applicants and Winning Bids</w:t>
      </w:r>
    </w:p>
    <w:p w:rsidR="00FB15C1" w:rsidRPr="00077C10" w:rsidP="00FB15C1" w14:paraId="7D85DCFF" w14:textId="77777777">
      <w:pPr>
        <w:keepNext/>
        <w:jc w:val="center"/>
      </w:pPr>
    </w:p>
    <w:p w:rsidR="00FB15C1" w:rsidRPr="00893B45" w:rsidP="00FB15C1" w14:paraId="137C252B" w14:textId="77777777">
      <w:pPr>
        <w:widowControl/>
        <w:jc w:val="center"/>
        <w:rPr>
          <w:szCs w:val="22"/>
        </w:rPr>
      </w:pPr>
      <w:r w:rsidRPr="00077C10">
        <w:rPr>
          <w:b/>
        </w:rPr>
        <w:t>-FCC-</w:t>
      </w:r>
    </w:p>
    <w:p w:rsidR="00FB15C1" w:rsidRPr="008B165A" w:rsidP="00FB15C1" w14:paraId="1CAA96D9" w14:textId="77777777"/>
    <w:p w:rsidR="00F96F63" w:rsidRPr="00930ECF" w:rsidP="00F96F63" w14:paraId="486E1993" w14:textId="77777777">
      <w:pPr>
        <w:rPr>
          <w:sz w:val="24"/>
        </w:rPr>
      </w:pPr>
    </w:p>
    <w:bookmarkEnd w:id="1"/>
    <w:p w:rsidR="00F96F63" w:rsidP="00F96F63" w14:paraId="42D7F8DD" w14:textId="77777777">
      <w:pPr>
        <w:rPr>
          <w:sz w:val="24"/>
        </w:rPr>
      </w:pPr>
    </w:p>
    <w:p w:rsidR="00930ECF" w:rsidRPr="00930ECF" w:rsidP="00F96F63" w14:paraId="727315A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5CD0E1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A16C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9A521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52B31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15C1" w14:paraId="441323BA" w14:textId="77777777">
      <w:r>
        <w:separator/>
      </w:r>
    </w:p>
  </w:footnote>
  <w:footnote w:type="continuationSeparator" w:id="1">
    <w:p w:rsidR="00FB15C1" w14:paraId="3574BB3B" w14:textId="77777777">
      <w:pPr>
        <w:rPr>
          <w:sz w:val="20"/>
        </w:rPr>
      </w:pPr>
      <w:r>
        <w:rPr>
          <w:sz w:val="20"/>
        </w:rPr>
        <w:t xml:space="preserve">(Continued from previous page)  </w:t>
      </w:r>
      <w:r>
        <w:rPr>
          <w:sz w:val="20"/>
        </w:rPr>
        <w:separator/>
      </w:r>
    </w:p>
  </w:footnote>
  <w:footnote w:type="continuationNotice" w:id="2">
    <w:p w:rsidR="00FB15C1" w:rsidP="00910F12" w14:paraId="5508B9B5" w14:textId="77777777">
      <w:pPr>
        <w:jc w:val="right"/>
        <w:rPr>
          <w:sz w:val="20"/>
        </w:rPr>
      </w:pPr>
      <w:r>
        <w:rPr>
          <w:sz w:val="20"/>
        </w:rPr>
        <w:t>(continued….)</w:t>
      </w:r>
    </w:p>
  </w:footnote>
  <w:footnote w:id="3">
    <w:p w:rsidR="00FB15C1" w:rsidP="00FB15C1" w14:paraId="5F7FE336" w14:textId="77777777">
      <w:pPr>
        <w:pStyle w:val="FootnoteText"/>
      </w:pPr>
      <w:r>
        <w:rPr>
          <w:rStyle w:val="FootnoteReference"/>
        </w:rPr>
        <w:footnoteRef/>
      </w:r>
      <w:r>
        <w:t xml:space="preserve"> 47 CFR § 54.315(b)(6)(v); Auction 903 Closing Public Notice, 34 FCC Rcd at 8264, paras. 17-18.</w:t>
      </w:r>
    </w:p>
  </w:footnote>
  <w:footnote w:id="4">
    <w:p w:rsidR="00FB15C1" w:rsidP="00FB15C1" w14:paraId="483C823B" w14:textId="77777777">
      <w:pPr>
        <w:pStyle w:val="FootnoteText"/>
      </w:pPr>
      <w:r>
        <w:rPr>
          <w:rStyle w:val="FootnoteReference"/>
        </w:rPr>
        <w:footnoteRef/>
      </w:r>
      <w:r>
        <w:t xml:space="preserve"> </w:t>
      </w:r>
      <w:r>
        <w:rPr>
          <w:rFonts w:ascii="TimesNewRomanPS-ItalicMT" w:hAnsi="TimesNewRomanPS-ItalicMT" w:cs="TimesNewRomanPS-ItalicMT"/>
          <w:i/>
          <w:iCs/>
          <w:color w:val="000000"/>
        </w:rPr>
        <w:t xml:space="preserve">See </w:t>
      </w:r>
      <w:r>
        <w:rPr>
          <w:rFonts w:ascii="TimesNewRomanPS-ItalicMT" w:hAnsi="TimesNewRomanPS-ItalicMT" w:cs="TimesNewRomanPS-ItalicMT"/>
          <w:i/>
          <w:iCs/>
          <w:color w:val="3D3D3D"/>
        </w:rPr>
        <w:t xml:space="preserve">Connect America Fund, </w:t>
      </w:r>
      <w:r>
        <w:rPr>
          <w:rFonts w:ascii="TimesNewRomanPSMT" w:hAnsi="TimesNewRomanPSMT" w:cs="TimesNewRomanPSMT"/>
          <w:color w:val="3D3D3D"/>
        </w:rPr>
        <w:t>WC Docket No. 10-90, AU Docket 17-182, Order, 34 FCC Rcd at 12391 (WCB 2019).</w:t>
      </w:r>
    </w:p>
  </w:footnote>
  <w:footnote w:id="5">
    <w:p w:rsidR="00FB15C1" w:rsidP="00FB15C1" w14:paraId="545CF5B0" w14:textId="77777777">
      <w:pPr>
        <w:pStyle w:val="FootnoteText"/>
      </w:pPr>
      <w:r>
        <w:rPr>
          <w:rStyle w:val="FootnoteReference"/>
        </w:rPr>
        <w:footnoteRef/>
      </w:r>
      <w:r>
        <w:t xml:space="preserve"> </w:t>
      </w:r>
      <w:r>
        <w:rPr>
          <w:rFonts w:ascii="TimesNewRomanPS-ItalicMT" w:hAnsi="TimesNewRomanPS-ItalicMT" w:cs="TimesNewRomanPS-ItalicMT"/>
          <w:i/>
          <w:iCs/>
          <w:color w:val="3D3D3D"/>
        </w:rPr>
        <w:t>Connect America Fund</w:t>
      </w:r>
      <w:r>
        <w:t>, 34 FCC Rcd at 12384.</w:t>
      </w:r>
    </w:p>
  </w:footnote>
  <w:footnote w:id="6">
    <w:p w:rsidR="00FB15C1" w:rsidP="00FB15C1" w14:paraId="0D4A3C21" w14:textId="77777777">
      <w:pPr>
        <w:pStyle w:val="FootnoteText"/>
      </w:pPr>
      <w:r>
        <w:rPr>
          <w:rStyle w:val="FootnoteReference"/>
        </w:rPr>
        <w:footnoteRef/>
      </w:r>
      <w:r>
        <w:t xml:space="preserve"> Red Spectrum Petition at 2.</w:t>
      </w:r>
    </w:p>
  </w:footnote>
  <w:footnote w:id="7">
    <w:p w:rsidR="00FB15C1" w:rsidP="00FB15C1" w14:paraId="73F173A2" w14:textId="77777777">
      <w:pPr>
        <w:pStyle w:val="FootnoteText"/>
      </w:pPr>
      <w:r>
        <w:rPr>
          <w:rStyle w:val="FootnoteReference"/>
        </w:rPr>
        <w:footnoteRef/>
      </w:r>
      <w:r w:rsidRPr="00503B06">
        <w:t xml:space="preserve"> 47 CFR § 1.3.  W</w:t>
      </w:r>
      <w:r w:rsidRPr="00503B06">
        <w:rPr>
          <w:bCs/>
        </w:rPr>
        <w:t>aiver</w:t>
      </w:r>
      <w:r w:rsidRPr="00503B06">
        <w:t xml:space="preserve"> of the Commission’s rules is appropriate only if both: (1) special circumstances warrant a deviation from the general rule, and (2) such deviation will serve the public interest.  </w:t>
      </w:r>
      <w:r w:rsidRPr="00503B06">
        <w:rPr>
          <w:i/>
        </w:rPr>
        <w:t>See Northeast Cellular Tel. Co. v. FCC</w:t>
      </w:r>
      <w:r w:rsidRPr="00503B06">
        <w:t xml:space="preserve">, 897 </w:t>
      </w:r>
      <w:r w:rsidRPr="00503B06">
        <w:t>F.2d</w:t>
      </w:r>
      <w:r w:rsidRPr="00503B06">
        <w:t xml:space="preserve"> 1164, 1166 (D.C. Cir. 1990) (citing </w:t>
      </w:r>
      <w:r w:rsidRPr="00503B06">
        <w:rPr>
          <w:i/>
        </w:rPr>
        <w:t>WAIT Radio v. FCC</w:t>
      </w:r>
      <w:r w:rsidRPr="00503B06">
        <w:t xml:space="preserve">, 418 </w:t>
      </w:r>
      <w:r w:rsidRPr="00503B06">
        <w:t>F.2d</w:t>
      </w:r>
      <w:r w:rsidRPr="00503B06">
        <w:t xml:space="preserve"> 1153, 1157-59 (D.C. Cir. 1969), </w:t>
      </w:r>
      <w:r w:rsidRPr="00503B06">
        <w:rPr>
          <w:i/>
        </w:rPr>
        <w:t>cert. denied</w:t>
      </w:r>
      <w:r w:rsidRPr="00503B06">
        <w:t xml:space="preserve">, 93 </w:t>
      </w:r>
      <w:r w:rsidRPr="00503B06">
        <w:t>S.Ct</w:t>
      </w:r>
      <w:r w:rsidRPr="00503B06">
        <w:t>. 461 (1972)).</w:t>
      </w:r>
    </w:p>
  </w:footnote>
  <w:footnote w:id="8">
    <w:p w:rsidR="00FB15C1" w:rsidP="00FB15C1" w14:paraId="10EE1028" w14:textId="77777777">
      <w:pPr>
        <w:pStyle w:val="FootnoteText"/>
      </w:pPr>
      <w:r>
        <w:rPr>
          <w:rStyle w:val="FootnoteReference"/>
        </w:rPr>
        <w:footnoteRef/>
      </w:r>
      <w:r>
        <w:t xml:space="preserve"> </w:t>
      </w:r>
      <w:r w:rsidRPr="008D5D6F">
        <w:rPr>
          <w:i/>
        </w:rPr>
        <w:t>Connect America Fund et al.</w:t>
      </w:r>
      <w:r>
        <w:t>, Order, 34 FCC Rcd 7060 (WCB 2019) (</w:t>
      </w:r>
      <w:r w:rsidRPr="004E7582">
        <w:rPr>
          <w:i/>
        </w:rPr>
        <w:t xml:space="preserve">LTD </w:t>
      </w:r>
      <w:r>
        <w:rPr>
          <w:i/>
        </w:rPr>
        <w:t xml:space="preserve">Broadband </w:t>
      </w:r>
      <w:r w:rsidRPr="004E7582">
        <w:rPr>
          <w:i/>
        </w:rPr>
        <w:t>Waiver Order</w:t>
      </w:r>
      <w:r>
        <w:t xml:space="preserve">) (granting a petition for waiver of the Auction 903 Feb. 25, 2019 deadline for submitting audited financial statements for an applicant that had difficulty retaining and engaging an accountant), </w:t>
      </w:r>
      <w:r w:rsidRPr="008D5D6F">
        <w:rPr>
          <w:i/>
        </w:rPr>
        <w:t>Connect America Fund et al.</w:t>
      </w:r>
      <w:r>
        <w:t>, Order, 34 FCC Rcd 3239 (WCB 2019) (</w:t>
      </w:r>
      <w:r w:rsidRPr="000225C0">
        <w:rPr>
          <w:i/>
        </w:rPr>
        <w:t>Casey Mutual Waiver Order</w:t>
      </w:r>
      <w:r>
        <w:t xml:space="preserve">) (granting a petition for waiver of the Auction 903 letter of credit commitment letter deadline for an applicant that mistakenly believed it did not need a letter of credit).  </w:t>
      </w:r>
      <w:r w:rsidRPr="001D481D">
        <w:rPr>
          <w:i/>
        </w:rPr>
        <w:t>See</w:t>
      </w:r>
      <w:r>
        <w:rPr>
          <w:i/>
        </w:rPr>
        <w:t xml:space="preserve"> also </w:t>
      </w:r>
      <w:r w:rsidRPr="001F44C6">
        <w:rPr>
          <w:i/>
        </w:rPr>
        <w:t xml:space="preserve">Request of </w:t>
      </w:r>
      <w:r w:rsidRPr="001F44C6">
        <w:rPr>
          <w:i/>
        </w:rPr>
        <w:t>Tallie</w:t>
      </w:r>
      <w:r w:rsidRPr="001F44C6">
        <w:rPr>
          <w:i/>
        </w:rPr>
        <w:t xml:space="preserve"> Colville for Waiver of Auction 91 Form 301 Filing Deadline for Construction Permit for New FM Station, Diamond Lake, Oregon</w:t>
      </w:r>
      <w:r>
        <w:t>, Memorandum Opinion and Order and Notice of Apparent Liability for Forfeiture, 26 FCC Rcd 14216 (AD-MB 2011) (</w:t>
      </w:r>
      <w:r w:rsidRPr="00CA19D9">
        <w:rPr>
          <w:i/>
        </w:rPr>
        <w:t>Tallie</w:t>
      </w:r>
      <w:r w:rsidRPr="00CA19D9">
        <w:rPr>
          <w:i/>
        </w:rPr>
        <w:t xml:space="preserve"> Colville Order</w:t>
      </w:r>
      <w:r>
        <w:t xml:space="preserve">) (granting a waiver of the long-form application filing deadline where the applicant explained that it ‘was not ready to submit the application by the filing deadline’); </w:t>
      </w:r>
      <w:r w:rsidRPr="00EE4528">
        <w:rPr>
          <w:i/>
        </w:rPr>
        <w:t xml:space="preserve">Request of </w:t>
      </w:r>
      <w:r w:rsidRPr="00EE4528">
        <w:rPr>
          <w:i/>
        </w:rPr>
        <w:t>BKM</w:t>
      </w:r>
      <w:r w:rsidRPr="00EE4528">
        <w:rPr>
          <w:i/>
        </w:rPr>
        <w:t xml:space="preserve"> Enterprises for Waiver of Auction No. 68 Form </w:t>
      </w:r>
      <w:r>
        <w:rPr>
          <w:i/>
        </w:rPr>
        <w:t>30</w:t>
      </w:r>
      <w:r w:rsidRPr="00EE4528">
        <w:rPr>
          <w:i/>
        </w:rPr>
        <w:t xml:space="preserve">1 Filing Deadline Application for Construction Permit for New FM </w:t>
      </w:r>
      <w:r>
        <w:rPr>
          <w:i/>
        </w:rPr>
        <w:t>S</w:t>
      </w:r>
      <w:r w:rsidRPr="00EE4528">
        <w:rPr>
          <w:i/>
        </w:rPr>
        <w:t>tation, Perry, Florida</w:t>
      </w:r>
      <w:r>
        <w:t>, Memorandum Opinion and Order and Notice of Apparent Liability, 22 FCC Rcd 15221 (AD-MB 2007) (</w:t>
      </w:r>
      <w:r w:rsidRPr="00CA19D9">
        <w:rPr>
          <w:i/>
        </w:rPr>
        <w:t>BKM</w:t>
      </w:r>
      <w:r w:rsidRPr="00CA19D9">
        <w:rPr>
          <w:i/>
        </w:rPr>
        <w:t xml:space="preserve"> Enterprises Order</w:t>
      </w:r>
      <w:r>
        <w:t xml:space="preserve">) (granting the petition for waiver of an applicant that submitted its long-form application late because the applicant did not understand that it was required to file a long-form application); </w:t>
      </w:r>
      <w:r w:rsidRPr="001D481D">
        <w:rPr>
          <w:i/>
        </w:rPr>
        <w:t>Silver Palm Communications, Inc.</w:t>
      </w:r>
      <w:r>
        <w:t>, Order, 17 FCC Rcd 6606 (</w:t>
      </w:r>
      <w:r>
        <w:t>CWD-WTB</w:t>
      </w:r>
      <w:r>
        <w:t xml:space="preserve"> 2002) (</w:t>
      </w:r>
      <w:r w:rsidRPr="00CA19D9">
        <w:rPr>
          <w:i/>
        </w:rPr>
        <w:t>Silver Palm Communications Order</w:t>
      </w:r>
      <w:r>
        <w:t xml:space="preserve">) (granting the petition for waiver of an applicant that missed the deadline “due to inadvertence and unawareness that the long-form application was due”); </w:t>
      </w:r>
      <w:r w:rsidRPr="00EE5A97">
        <w:rPr>
          <w:i/>
        </w:rPr>
        <w:t>City Page &amp; Cellular Services, Inc. d/b/a City Beepers et al.</w:t>
      </w:r>
      <w:r>
        <w:t>, Order, 17 FCC Rcd 26109 (</w:t>
      </w:r>
      <w:r>
        <w:t>CWD-WTB</w:t>
      </w:r>
      <w:r>
        <w:t xml:space="preserve"> 2002) (granted the petitions for waiver of seven applicants that claimed to miss the deadline “due to inadvertence and/or unawareness that the long-form applications were due”).  </w:t>
      </w:r>
    </w:p>
  </w:footnote>
  <w:footnote w:id="9">
    <w:p w:rsidR="00FB15C1" w:rsidP="00FB15C1" w14:paraId="17EE7D37" w14:textId="77777777">
      <w:pPr>
        <w:pStyle w:val="FootnoteText"/>
      </w:pPr>
      <w:r>
        <w:rPr>
          <w:rStyle w:val="FootnoteReference"/>
        </w:rPr>
        <w:footnoteRef/>
      </w:r>
      <w:r>
        <w:t xml:space="preserve"> Red Spectrum Petition at 2-3 (explaining that “</w:t>
      </w:r>
      <w:r w:rsidRPr="001D1FBA">
        <w:t>Red Spectrum became aware of</w:t>
      </w:r>
      <w:r>
        <w:t xml:space="preserve"> </w:t>
      </w:r>
      <w:r w:rsidRPr="001D1FBA">
        <w:t>this on January 21, 2020 through an e-mail from Umpqua Bank</w:t>
      </w:r>
      <w:r>
        <w:t xml:space="preserve">” after believing the letter of credit was sent to USAC). </w:t>
      </w:r>
    </w:p>
  </w:footnote>
  <w:footnote w:id="10">
    <w:p w:rsidR="00FB15C1" w:rsidP="00FB15C1" w14:paraId="334660AD" w14:textId="77777777">
      <w:pPr>
        <w:pStyle w:val="FootnoteText"/>
      </w:pPr>
      <w:r>
        <w:rPr>
          <w:rStyle w:val="FootnoteReference"/>
        </w:rPr>
        <w:footnoteRef/>
      </w:r>
      <w:r>
        <w:t xml:space="preserve"> </w:t>
      </w:r>
      <w:r w:rsidRPr="00A16AD2">
        <w:rPr>
          <w:i/>
        </w:rPr>
        <w:t>Cf.</w:t>
      </w:r>
      <w:r>
        <w:t xml:space="preserve"> </w:t>
      </w:r>
      <w:r w:rsidRPr="00D7719B">
        <w:rPr>
          <w:i/>
        </w:rPr>
        <w:t>Connect America Fund et al.</w:t>
      </w:r>
      <w:r>
        <w:t>, Memorandum Opinion and Order, 30 FCC Rcd 8967, 8968, para. 4 (2015) (finding that for the rural broadband experiments “[s]</w:t>
      </w:r>
      <w:r>
        <w:t>trict</w:t>
      </w:r>
      <w:r>
        <w:t xml:space="preserve"> enforcement by the Bureau of the filing requirements adopted by the Commission was appropriate given the purpose of the rural broadband experiments and [the Commission’s] commitment not to allow the rural broadband experiments to delay the offer of model-based support to price cap carriers”); </w:t>
      </w:r>
      <w:r w:rsidRPr="00965384">
        <w:rPr>
          <w:i/>
        </w:rPr>
        <w:t>Connect America Fund et al.</w:t>
      </w:r>
      <w:r>
        <w:t>, Order, 30 FCC Rcd 772, 774, para. 5 (WCB 2015) (“Denying the [rural broadband experiment] waiver requests and proceeding to identify next-in-line bidders fulfills the Commission’s objective for the rural broadband experiments to inform key decisions that the Commission would be making regarding the design of the competitive bidding process that will occur in Phase II of the Connect America Fund, while not delaying implementation of Phase II”).</w:t>
      </w:r>
    </w:p>
  </w:footnote>
  <w:footnote w:id="11">
    <w:p w:rsidR="00FB15C1" w:rsidP="00FB15C1" w14:paraId="2DF7A171" w14:textId="77777777">
      <w:pPr>
        <w:pStyle w:val="FootnoteText"/>
      </w:pPr>
      <w:r>
        <w:rPr>
          <w:rStyle w:val="FootnoteReference"/>
        </w:rPr>
        <w:footnoteRef/>
      </w:r>
      <w:r>
        <w:t xml:space="preserve"> </w:t>
      </w:r>
      <w:r w:rsidRPr="006103B0">
        <w:rPr>
          <w:i/>
        </w:rPr>
        <w:t>Phase II Auction Order</w:t>
      </w:r>
      <w:r>
        <w:t>, 31 FCC Rcd at 5990, para. 120 (finding that “[l]</w:t>
      </w:r>
      <w:r w:rsidRPr="00000F37">
        <w:t>etters</w:t>
      </w:r>
      <w:r w:rsidRPr="00000F37">
        <w:t xml:space="preserve"> of credit permit the Commission to immediately reclaim support that has been provided in the event the recipient is not furthering the objectives of universal service by complying with the Commission’s rules or requirements</w:t>
      </w:r>
      <w:r>
        <w:t>)</w:t>
      </w:r>
      <w:r w:rsidRPr="00000F37">
        <w:t>.”</w:t>
      </w:r>
      <w:r>
        <w:t xml:space="preserve">  </w:t>
      </w:r>
      <w:r w:rsidRPr="000225C0">
        <w:rPr>
          <w:i/>
        </w:rPr>
        <w:t xml:space="preserve">See also LTD </w:t>
      </w:r>
      <w:r>
        <w:rPr>
          <w:i/>
        </w:rPr>
        <w:t xml:space="preserve">Broadband </w:t>
      </w:r>
      <w:r w:rsidRPr="000225C0">
        <w:rPr>
          <w:i/>
        </w:rPr>
        <w:t>Waiver Order</w:t>
      </w:r>
      <w:r>
        <w:t xml:space="preserve">, 34 FCC Rcd at 7063, para. 10; </w:t>
      </w:r>
      <w:r w:rsidRPr="000225C0">
        <w:rPr>
          <w:i/>
        </w:rPr>
        <w:t>Casey Mutual Waiver Order</w:t>
      </w:r>
      <w:r>
        <w:t>, 34 FCC Rcd at 3242-43, para. 11.</w:t>
      </w:r>
    </w:p>
  </w:footnote>
  <w:footnote w:id="12">
    <w:p w:rsidR="00FB15C1" w:rsidP="00FB15C1" w14:paraId="0FF948AA" w14:textId="77777777">
      <w:pPr>
        <w:pStyle w:val="FootnoteText"/>
      </w:pPr>
      <w:r>
        <w:rPr>
          <w:rStyle w:val="FootnoteReference"/>
        </w:rPr>
        <w:footnoteRef/>
      </w:r>
      <w:r>
        <w:t xml:space="preserve"> Red Spectrum</w:t>
      </w:r>
      <w:r w:rsidRPr="00485FD1">
        <w:t xml:space="preserve"> Petition </w:t>
      </w:r>
      <w:r>
        <w:t>at 4 (claiming that “CAF Phase II funding will provide funding to extend [Red Spectrum’s] . . .</w:t>
      </w:r>
      <w:r w:rsidRPr="00C808A8">
        <w:t xml:space="preserve"> infrastructure into locations on the Coeur d’Alene</w:t>
      </w:r>
      <w:r>
        <w:t xml:space="preserve"> </w:t>
      </w:r>
      <w:r w:rsidRPr="00C808A8">
        <w:t>Reservation where no fixed service current exists.</w:t>
      </w:r>
      <w:r>
        <w:t xml:space="preserve">”).  </w:t>
      </w:r>
    </w:p>
  </w:footnote>
  <w:footnote w:id="13">
    <w:p w:rsidR="00FB15C1" w:rsidP="00FB15C1" w14:paraId="696568B6" w14:textId="77777777">
      <w:pPr>
        <w:pStyle w:val="FootnoteText"/>
      </w:pPr>
      <w:r>
        <w:rPr>
          <w:rStyle w:val="FootnoteReference"/>
        </w:rPr>
        <w:footnoteRef/>
      </w:r>
      <w:r>
        <w:t xml:space="preserve"> </w:t>
      </w:r>
      <w:r>
        <w:rPr>
          <w:snapToGrid w:val="0"/>
        </w:rPr>
        <w:t xml:space="preserve">An Auction 903 recipient that participates in the location discrepancy process may have its total number of locations and total support reduced.  </w:t>
      </w:r>
      <w:r>
        <w:rPr>
          <w:i/>
          <w:snapToGrid w:val="0"/>
        </w:rPr>
        <w:t xml:space="preserve">See Connect America Fund, et al., </w:t>
      </w:r>
      <w:r>
        <w:rPr>
          <w:snapToGrid w:val="0"/>
        </w:rPr>
        <w:t xml:space="preserve">Order on Reconsideration, 33 FCC Rcd 1380, 1389-90, paras. 23-26 (2018); </w:t>
      </w:r>
      <w:r>
        <w:rPr>
          <w:i/>
          <w:snapToGrid w:val="0"/>
        </w:rPr>
        <w:t>Wireline Competition Bureau Seeks Comment on Procedures to Identify and Resolve Location Discrepancies in Eligible Census Blocks within Winning Bid Areas</w:t>
      </w:r>
      <w:r>
        <w:rPr>
          <w:snapToGrid w:val="0"/>
        </w:rPr>
        <w:t xml:space="preserve">, Public Notice, 33 FCC Rcd 8620 (WCB 2018); </w:t>
      </w:r>
      <w:r w:rsidRPr="001327AD">
        <w:rPr>
          <w:i/>
          <w:iCs/>
          <w:snapToGrid w:val="0"/>
        </w:rPr>
        <w:t>Connect America Fund</w:t>
      </w:r>
      <w:r>
        <w:rPr>
          <w:snapToGrid w:val="0"/>
        </w:rPr>
        <w:t>, Order, 34 FCC Rcd 10395 (WCB 2019).</w:t>
      </w:r>
    </w:p>
  </w:footnote>
  <w:footnote w:id="14">
    <w:p w:rsidR="00FB15C1" w:rsidP="00FB15C1" w14:paraId="726F0ED7" w14:textId="77777777">
      <w:pPr>
        <w:pStyle w:val="FootnoteText"/>
      </w:pPr>
      <w:r>
        <w:rPr>
          <w:rStyle w:val="FootnoteReference"/>
        </w:rPr>
        <w:footnoteRef/>
      </w:r>
      <w:r>
        <w:t xml:space="preserve"> </w:t>
      </w:r>
      <w:r w:rsidRPr="002C2FE4">
        <w:rPr>
          <w:i/>
          <w:iCs/>
        </w:rPr>
        <w:t>See Connect America Fund</w:t>
      </w:r>
      <w:r>
        <w:t xml:space="preserve"> </w:t>
      </w:r>
      <w:r>
        <w:rPr>
          <w:i/>
          <w:snapToGrid w:val="0"/>
        </w:rPr>
        <w:t>et al.</w:t>
      </w:r>
      <w:r w:rsidRPr="002C2FE4">
        <w:t xml:space="preserve">, </w:t>
      </w:r>
      <w:r>
        <w:t>WC Docket 10-90, AU Docket 17-182, Order, DA 20-108</w:t>
      </w:r>
      <w:r w:rsidRPr="002C2FE4">
        <w:rPr>
          <w:i/>
          <w:iCs/>
        </w:rPr>
        <w:t xml:space="preserve"> </w:t>
      </w:r>
      <w:r>
        <w:t>(WCB Jan. 27, 2020) (</w:t>
      </w:r>
      <w:r>
        <w:rPr>
          <w:i/>
          <w:iCs/>
        </w:rPr>
        <w:t>Alignment Order</w:t>
      </w:r>
      <w:r w:rsidRPr="002C2FE4">
        <w:t>)</w:t>
      </w:r>
      <w:r w:rsidRPr="001810A9">
        <w:t>.</w:t>
      </w:r>
    </w:p>
  </w:footnote>
  <w:footnote w:id="15">
    <w:p w:rsidR="00FB15C1" w:rsidP="00FB15C1" w14:paraId="2999508F" w14:textId="77777777">
      <w:pPr>
        <w:pStyle w:val="FootnoteText"/>
      </w:pPr>
      <w:r>
        <w:rPr>
          <w:rStyle w:val="FootnoteReference"/>
        </w:rPr>
        <w:footnoteRef/>
      </w:r>
      <w:r>
        <w:t xml:space="preserve"> </w:t>
      </w:r>
      <w:r w:rsidRPr="009231B1">
        <w:rPr>
          <w:i/>
          <w:iCs/>
        </w:rPr>
        <w:t>CAF II Auction Recipients’ Deployment and Reporting Deadlines Aligned</w:t>
      </w:r>
      <w:r>
        <w:rPr>
          <w:i/>
          <w:iCs/>
        </w:rPr>
        <w:t xml:space="preserve"> Order</w:t>
      </w:r>
      <w:r>
        <w:t xml:space="preserve"> at 5, </w:t>
      </w:r>
      <w:r>
        <w:t>n.21</w:t>
      </w:r>
      <w:r>
        <w:t xml:space="preserve"> (stating “[l]</w:t>
      </w:r>
      <w:r>
        <w:t>ong</w:t>
      </w:r>
      <w:r>
        <w:t xml:space="preserve"> form applicants that have not yet been authorized by the Bureau to begin receiving support at the time of this waiver will be subject to the same deadlines, and we do not expect the adjusted deadlines to affect their ability to meet their milestones”).</w:t>
      </w:r>
    </w:p>
  </w:footnote>
  <w:footnote w:id="16">
    <w:p w:rsidR="00FB15C1" w:rsidP="00FB15C1" w14:paraId="79B43A90"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10B65">
        <w:rPr>
          <w:i/>
        </w:rPr>
        <w:t>Connect America Fund et al.</w:t>
      </w:r>
      <w:r w:rsidRPr="00010B65">
        <w:t>, Report and Order and Further Notice of Proposed Rulemaking, 31 FCC Rcd 5949</w:t>
      </w:r>
      <w:r w:rsidRPr="0057028E">
        <w:t xml:space="preserve">, </w:t>
      </w:r>
      <w:r>
        <w:t xml:space="preserve">6010-11, para. 172 </w:t>
      </w:r>
      <w:r w:rsidRPr="008A5853">
        <w:t>(2016) (</w:t>
      </w:r>
      <w:r w:rsidRPr="008A5853">
        <w:rPr>
          <w:i/>
        </w:rPr>
        <w:t>Phase II Auction Order</w:t>
      </w:r>
      <w:r w:rsidRPr="008A5853">
        <w:t>).</w:t>
      </w:r>
    </w:p>
  </w:footnote>
  <w:footnote w:id="17">
    <w:p w:rsidR="00FB15C1" w:rsidP="00FB15C1" w14:paraId="1237A47F" w14:textId="77777777">
      <w:pPr>
        <w:pStyle w:val="FootnoteText"/>
      </w:pPr>
      <w:r>
        <w:rPr>
          <w:rStyle w:val="FootnoteReference"/>
        </w:rPr>
        <w:footnoteRef/>
      </w:r>
      <w:r>
        <w:t xml:space="preserve"> </w:t>
      </w:r>
      <w:r w:rsidRPr="00D04DE6">
        <w:t>47 CFR</w:t>
      </w:r>
      <w:r w:rsidRPr="00D04DE6">
        <w:rPr>
          <w:i/>
        </w:rPr>
        <w:t xml:space="preserve"> </w:t>
      </w:r>
      <w:r w:rsidRPr="00D04DE6">
        <w:t>§ 54.316(a)(4)</w:t>
      </w:r>
      <w:r>
        <w:t xml:space="preserve">; </w:t>
      </w:r>
      <w:r w:rsidRPr="00027A77">
        <w:rPr>
          <w:i/>
        </w:rPr>
        <w:t>Phase II Auction Order</w:t>
      </w:r>
      <w:r>
        <w:t xml:space="preserve">, 31 FCC Rcd at 6010-11, paras. 172-73.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Public Notice, 33 FCC Rcd 12316 (WCB 2018).</w:t>
      </w:r>
    </w:p>
  </w:footnote>
  <w:footnote w:id="18">
    <w:p w:rsidR="00FB15C1" w:rsidP="00FB15C1" w14:paraId="7BAE4B1D"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19">
    <w:p w:rsidR="00FB15C1" w:rsidP="00FB15C1" w14:paraId="68849377" w14:textId="77777777">
      <w:pPr>
        <w:pStyle w:val="FootnoteText"/>
      </w:pPr>
      <w:r>
        <w:rPr>
          <w:rStyle w:val="FootnoteReference"/>
        </w:rPr>
        <w:footnoteRef/>
      </w:r>
      <w:r>
        <w:t xml:space="preserve"> </w:t>
      </w:r>
      <w:r w:rsidRPr="00127486">
        <w:rPr>
          <w:i/>
        </w:rPr>
        <w:t>Phase II Auction Order</w:t>
      </w:r>
      <w:r>
        <w:t>, 31 FCC Rcd at 6011, para. 173.</w:t>
      </w:r>
    </w:p>
  </w:footnote>
  <w:footnote w:id="20">
    <w:p w:rsidR="00FB15C1" w:rsidP="00FB15C1" w14:paraId="411A26DB" w14:textId="77777777">
      <w:pPr>
        <w:pStyle w:val="FootnoteText"/>
      </w:pPr>
      <w:r>
        <w:rPr>
          <w:rStyle w:val="FootnoteReference"/>
        </w:rPr>
        <w:footnoteRef/>
      </w:r>
      <w:r>
        <w:t xml:space="preserve"> </w:t>
      </w:r>
      <w:r w:rsidRPr="007D08AC">
        <w:t>47 CFR § 54.316(c)(</w:t>
      </w:r>
      <w:r>
        <w:t>1)</w:t>
      </w:r>
      <w:r w:rsidRPr="007D08AC">
        <w:t>.</w:t>
      </w:r>
      <w:r>
        <w:t xml:space="preserve"> </w:t>
      </w:r>
    </w:p>
  </w:footnote>
  <w:footnote w:id="21">
    <w:p w:rsidR="00FB15C1" w:rsidP="00FB15C1" w14:paraId="2351653E" w14:textId="77777777">
      <w:pPr>
        <w:pStyle w:val="FootnoteText"/>
      </w:pPr>
      <w:r>
        <w:rPr>
          <w:rStyle w:val="FootnoteReference"/>
        </w:rPr>
        <w:footnoteRef/>
      </w:r>
      <w:r>
        <w:t xml:space="preserve"> </w:t>
      </w:r>
      <w:r>
        <w:rPr>
          <w:i/>
          <w:iCs/>
        </w:rPr>
        <w:t>Alignment Order</w:t>
      </w:r>
      <w:r>
        <w:t xml:space="preserve"> at 5.</w:t>
      </w:r>
    </w:p>
  </w:footnote>
  <w:footnote w:id="22">
    <w:p w:rsidR="00FB15C1" w:rsidRPr="00E375E1" w:rsidP="00FB15C1" w14:paraId="04A5D285" w14:textId="77777777">
      <w:pPr>
        <w:pStyle w:val="FootnoteText"/>
      </w:pPr>
      <w:r>
        <w:rPr>
          <w:rStyle w:val="FootnoteReference"/>
        </w:rPr>
        <w:footnoteRef/>
      </w:r>
      <w:r>
        <w:t xml:space="preserve"> Carriers will still get 120 equal monthly payments from the date of authorization.</w:t>
      </w:r>
    </w:p>
  </w:footnote>
  <w:footnote w:id="23">
    <w:p w:rsidR="00FB15C1" w:rsidP="00FB15C1" w14:paraId="6889E75F" w14:textId="77777777">
      <w:pPr>
        <w:pStyle w:val="FootnoteText"/>
      </w:pPr>
      <w:r>
        <w:rPr>
          <w:rStyle w:val="FootnoteReference"/>
        </w:rPr>
        <w:footnoteRef/>
      </w:r>
      <w:r>
        <w:t xml:space="preserve"> </w:t>
      </w:r>
      <w:r>
        <w:rPr>
          <w:i/>
          <w:iCs/>
        </w:rPr>
        <w:t>Alignment Order</w:t>
      </w:r>
      <w:r>
        <w:t xml:space="preserve"> at 4.</w:t>
      </w:r>
    </w:p>
  </w:footnote>
  <w:footnote w:id="24">
    <w:p w:rsidR="00FB15C1" w:rsidP="00FB15C1" w14:paraId="0D7E040D" w14:textId="77777777">
      <w:pPr>
        <w:pStyle w:val="FootnoteText"/>
      </w:pPr>
      <w:r>
        <w:rPr>
          <w:rStyle w:val="FootnoteReference"/>
        </w:rPr>
        <w:footnoteRef/>
      </w:r>
      <w:r>
        <w:rPr>
          <w:i/>
          <w:iCs/>
        </w:rPr>
        <w:t xml:space="preserve"> Id.</w:t>
      </w:r>
    </w:p>
  </w:footnote>
  <w:footnote w:id="25">
    <w:p w:rsidR="00FB15C1" w:rsidRPr="00D04DE6" w:rsidP="00FB15C1" w14:paraId="366E26B6" w14:textId="77777777">
      <w:pPr>
        <w:pStyle w:val="FootnoteText"/>
      </w:pPr>
      <w:r w:rsidRPr="00D04DE6">
        <w:rPr>
          <w:rStyle w:val="FootnoteReference"/>
        </w:rPr>
        <w:footnoteRef/>
      </w:r>
      <w:r w:rsidRPr="00D04DE6">
        <w:t xml:space="preserve"> 47 CFR § 54.320(d).</w:t>
      </w:r>
    </w:p>
  </w:footnote>
  <w:footnote w:id="26">
    <w:p w:rsidR="00FB15C1" w:rsidRPr="00D04DE6" w:rsidP="00FB15C1" w14:paraId="3ACFF29A"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27">
    <w:p w:rsidR="00FB15C1" w:rsidRPr="00D04DE6" w:rsidP="00FB15C1" w14:paraId="569AD9A8"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w:t>
      </w:r>
      <w:r>
        <w:rPr>
          <w:sz w:val="20"/>
        </w:rPr>
        <w:t>n.88</w:t>
      </w:r>
      <w:r>
        <w:rPr>
          <w:sz w:val="20"/>
        </w:rPr>
        <w:t xml:space="preserve">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w:t>
      </w:r>
      <w:r w:rsidRPr="00D04DE6">
        <w:rPr>
          <w:sz w:val="20"/>
        </w:rPr>
        <w:t>n.93</w:t>
      </w:r>
      <w:r w:rsidRPr="00D04DE6">
        <w:rPr>
          <w:sz w:val="20"/>
        </w:rPr>
        <w:t>).</w:t>
      </w:r>
    </w:p>
  </w:footnote>
  <w:footnote w:id="28">
    <w:p w:rsidR="00FB15C1" w:rsidRPr="00A52887" w:rsidP="00FB15C1" w14:paraId="0D9CE876" w14:textId="77777777">
      <w:pPr>
        <w:spacing w:after="120"/>
        <w:rPr>
          <w:snapToGrid/>
          <w:kern w:val="0"/>
        </w:rPr>
      </w:pPr>
      <w:r>
        <w:rPr>
          <w:rStyle w:val="FootnoteReference"/>
        </w:rPr>
        <w:footnoteRef/>
      </w:r>
      <w:r>
        <w:t xml:space="preserve"> </w:t>
      </w:r>
      <w:r w:rsidRPr="00F276C5">
        <w:rPr>
          <w:sz w:val="20"/>
        </w:rPr>
        <w:t xml:space="preserve">47 CFR 54.313; </w:t>
      </w:r>
      <w:r w:rsidRPr="00F276C5">
        <w:rPr>
          <w:i/>
          <w:sz w:val="20"/>
        </w:rPr>
        <w:t>Phase II Auction Order</w:t>
      </w:r>
      <w:r w:rsidRPr="00F276C5">
        <w:rPr>
          <w:sz w:val="20"/>
        </w:rPr>
        <w:t>, 31 FCC Rcd at 6011-13, paras. 176-79</w:t>
      </w:r>
      <w:r w:rsidRPr="00077C10">
        <w:rPr>
          <w:sz w:val="20"/>
        </w:rPr>
        <w:t xml:space="preserve">. </w:t>
      </w:r>
      <w:r w:rsidRPr="00077C10">
        <w:rPr>
          <w:i/>
          <w:iCs/>
          <w:sz w:val="20"/>
        </w:rPr>
        <w:t xml:space="preserve"> </w:t>
      </w:r>
      <w:r w:rsidRPr="00077C10">
        <w:rPr>
          <w:sz w:val="20"/>
        </w:rPr>
        <w:t>Long-form applicants being authorized by this Public Notice that have also been designated as Lifeline only ETCs in census blocks that are not eligible for Auction 903 support must comply with all relevant reporting requirements for the Lifeline program in sections 54.416 and 54.422 of the Lifeline rules, including completing and submitting FCC Form 481 on USAC’s website, if applicable.</w:t>
      </w:r>
      <w:r>
        <w:rPr>
          <w:sz w:val="20"/>
        </w:rPr>
        <w:t xml:space="preserve"> </w:t>
      </w:r>
    </w:p>
  </w:footnote>
  <w:footnote w:id="29">
    <w:p w:rsidR="00FB15C1" w:rsidRPr="00D04DE6" w:rsidP="00FB15C1" w14:paraId="578EB5F5" w14:textId="77777777">
      <w:pPr>
        <w:pStyle w:val="FootnoteText"/>
      </w:pPr>
      <w:r w:rsidRPr="00D04DE6">
        <w:rPr>
          <w:rStyle w:val="FootnoteReference"/>
        </w:rPr>
        <w:footnoteRef/>
      </w:r>
      <w:r w:rsidRPr="00D04DE6">
        <w:t xml:space="preserve"> </w:t>
      </w:r>
      <w:r>
        <w:rPr>
          <w:i/>
        </w:rPr>
        <w:t>Connect America Fund; ETC Annual Reports and Certifications</w:t>
      </w:r>
      <w:r>
        <w:t>, Report and Order, 32 FCC Rcd 5944,</w:t>
      </w:r>
      <w:r w:rsidRPr="00D04DE6">
        <w:t xml:space="preserve"> 5948, para. 15</w:t>
      </w:r>
      <w:r>
        <w:t xml:space="preserve"> (2017)</w:t>
      </w:r>
      <w:r w:rsidRPr="00D04DE6">
        <w:t xml:space="preserve"> (determining that the Commission “will no longer require ETCs to file duplicate copies of Form 481 with the FCC and with states, U.S. Territories, and/or Tribal governments beginning in 2018”); 47 CFR § 54.313.</w:t>
      </w:r>
    </w:p>
  </w:footnote>
  <w:footnote w:id="30">
    <w:p w:rsidR="00FB15C1" w:rsidRPr="00D04DE6" w:rsidP="00FB15C1" w14:paraId="18E74F99"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Universal Service Administrative Company</w:t>
      </w:r>
      <w:r>
        <w:t xml:space="preserve">, File FCC Form </w:t>
      </w:r>
      <w:r w:rsidRPr="00D04DE6">
        <w:t xml:space="preserve">481, </w:t>
      </w:r>
      <w:hyperlink r:id="rId1" w:history="1">
        <w:r>
          <w:rPr>
            <w:rStyle w:val="Hyperlink"/>
          </w:rPr>
          <w:t>https://www.usac.org/high-cost/annual-requirements/file-fcc-form-481/</w:t>
        </w:r>
      </w:hyperlink>
      <w:r>
        <w:t>.</w:t>
      </w:r>
    </w:p>
  </w:footnote>
  <w:footnote w:id="31">
    <w:p w:rsidR="00FB15C1" w:rsidRPr="00D04DE6" w:rsidP="00FB15C1" w14:paraId="7CE56104" w14:textId="77777777">
      <w:pPr>
        <w:pStyle w:val="FootnoteText"/>
      </w:pPr>
      <w:r w:rsidRPr="00D04DE6">
        <w:rPr>
          <w:rStyle w:val="FootnoteReference"/>
        </w:rPr>
        <w:footnoteRef/>
      </w:r>
      <w:r w:rsidRPr="00D04DE6">
        <w:t xml:space="preserve"> 47 CFR § 54.309.</w:t>
      </w:r>
    </w:p>
  </w:footnote>
  <w:footnote w:id="32">
    <w:p w:rsidR="00FB15C1" w:rsidRPr="00D04DE6" w:rsidP="00FB15C1" w14:paraId="06C7DEC0"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Order, </w:t>
      </w:r>
      <w:r>
        <w:t>33 FCC Rcd 6509</w:t>
      </w:r>
      <w:r w:rsidRPr="00D04DE6">
        <w:t xml:space="preserve"> </w:t>
      </w:r>
      <w:r>
        <w:t>(WCB/</w:t>
      </w:r>
      <w:r>
        <w:t>WTB</w:t>
      </w:r>
      <w:r>
        <w:t>/</w:t>
      </w:r>
      <w:r>
        <w:t>OET</w:t>
      </w:r>
      <w:r>
        <w:t xml:space="preserve"> 2018) (</w:t>
      </w:r>
      <w:r w:rsidRPr="00422659">
        <w:rPr>
          <w:i/>
        </w:rPr>
        <w:t>CAF Performance Measures Order</w:t>
      </w:r>
      <w:r>
        <w:t>)</w:t>
      </w:r>
      <w:r w:rsidRPr="00D04DE6">
        <w:t>; 47 CFR § 54.313(a)(6).</w:t>
      </w:r>
      <w:r>
        <w:t xml:space="preserve">  </w:t>
      </w:r>
      <w:r w:rsidRPr="009B2A88">
        <w:t xml:space="preserve">Further modifications were made to the performance measures requirements in subsequent reconsideration orders.  </w:t>
      </w:r>
      <w:r w:rsidRPr="009B2A88">
        <w:rPr>
          <w:i/>
          <w:iCs/>
        </w:rPr>
        <w:t>See Connect America Fund</w:t>
      </w:r>
      <w:r w:rsidRPr="009B2A88">
        <w:t>, Order on Reconsideration, 34 FCC Rcd 8081 (WCB/</w:t>
      </w:r>
      <w:r w:rsidRPr="009B2A88">
        <w:t>WTB</w:t>
      </w:r>
      <w:r w:rsidRPr="009B2A88">
        <w:t>/</w:t>
      </w:r>
      <w:r w:rsidRPr="009B2A88">
        <w:t>OET</w:t>
      </w:r>
      <w:r w:rsidRPr="009B2A88">
        <w:t xml:space="preserve"> 2019); </w:t>
      </w:r>
      <w:r w:rsidRPr="009B2A88">
        <w:rPr>
          <w:i/>
          <w:iCs/>
        </w:rPr>
        <w:t>Connect America Fund</w:t>
      </w:r>
      <w:r w:rsidRPr="009B2A88">
        <w:t xml:space="preserve">, Order on Reconsideration, </w:t>
      </w:r>
      <w:r>
        <w:t>34 FCC Rcd 10109</w:t>
      </w:r>
      <w:r w:rsidRPr="009B2A88">
        <w:t xml:space="preserve"> (2019).</w:t>
      </w:r>
    </w:p>
  </w:footnote>
  <w:footnote w:id="33">
    <w:p w:rsidR="00FB15C1" w:rsidP="00FB15C1" w14:paraId="3CB92ED0" w14:textId="77777777">
      <w:pPr>
        <w:pStyle w:val="FootnoteText"/>
      </w:pPr>
      <w:r>
        <w:rPr>
          <w:rStyle w:val="FootnoteReference"/>
        </w:rPr>
        <w:footnoteRef/>
      </w:r>
      <w:r>
        <w:t xml:space="preserve"> 47 CFR </w:t>
      </w:r>
      <w:r w:rsidRPr="00D04DE6">
        <w:t>§</w:t>
      </w:r>
      <w:r>
        <w:t xml:space="preserve"> 54.314.</w:t>
      </w:r>
    </w:p>
  </w:footnote>
  <w:footnote w:id="34">
    <w:p w:rsidR="00FB15C1" w:rsidP="00FB15C1" w14:paraId="2745AAD8" w14:textId="77777777">
      <w:pPr>
        <w:pStyle w:val="FootnoteText"/>
      </w:pPr>
      <w:r>
        <w:rPr>
          <w:rStyle w:val="FootnoteReference"/>
        </w:rPr>
        <w:footnoteRef/>
      </w:r>
      <w:r>
        <w:t xml:space="preserve"> 47 CFR § 54.314(a).  </w:t>
      </w:r>
    </w:p>
  </w:footnote>
  <w:footnote w:id="35">
    <w:p w:rsidR="00FB15C1" w:rsidP="00FB15C1" w14:paraId="36B7ECAC" w14:textId="77777777">
      <w:pPr>
        <w:pStyle w:val="FootnoteText"/>
      </w:pPr>
      <w:r>
        <w:rPr>
          <w:rStyle w:val="FootnoteReference"/>
        </w:rPr>
        <w:footnoteRef/>
      </w:r>
      <w:r>
        <w:t xml:space="preserve"> 47 CFR § 54.314(b).</w:t>
      </w:r>
    </w:p>
  </w:footnote>
  <w:footnote w:id="36">
    <w:p w:rsidR="00FB15C1" w:rsidRPr="000023B9" w:rsidP="00FB15C1" w14:paraId="48FF51E8"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t>,</w:t>
      </w:r>
      <w:r w:rsidRPr="00D04DE6">
        <w:t xml:space="preserve"> </w:t>
      </w:r>
      <w:r>
        <w:t>Certify Data with 54.314</w:t>
      </w:r>
      <w:r w:rsidRPr="00D04DE6">
        <w:t xml:space="preserve">, </w:t>
      </w:r>
      <w:hyperlink r:id="rId2" w:history="1">
        <w:r>
          <w:rPr>
            <w:rStyle w:val="Hyperlink"/>
          </w:rPr>
          <w:t>https://www.usac.org/high-cost/annual-requirements/certify-data-with-54-314/</w:t>
        </w:r>
      </w:hyperlink>
      <w:r w:rsidRPr="00AA4632">
        <w:rPr>
          <w:rStyle w:val="Hyperlink"/>
          <w:color w:val="auto"/>
          <w:u w:val="none"/>
        </w:rPr>
        <w:t xml:space="preserve"> (last visited </w:t>
      </w:r>
      <w:r>
        <w:rPr>
          <w:rStyle w:val="Hyperlink"/>
          <w:color w:val="auto"/>
          <w:u w:val="none"/>
        </w:rPr>
        <w:t>Feb. 12, 2020</w:t>
      </w:r>
      <w:r w:rsidRPr="00AA4632">
        <w:rPr>
          <w:rStyle w:val="Hyperlink"/>
          <w:color w:val="auto"/>
          <w:u w:val="none"/>
        </w:rPr>
        <w:t>)</w:t>
      </w:r>
      <w:r w:rsidRPr="00AA4632">
        <w:t>.</w:t>
      </w:r>
    </w:p>
  </w:footnote>
  <w:footnote w:id="37">
    <w:p w:rsidR="00FB15C1" w:rsidRPr="000023B9" w:rsidP="00FB15C1" w14:paraId="05F61FCE" w14:textId="77777777">
      <w:pPr>
        <w:pStyle w:val="FootnoteText"/>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w:t>
      </w:r>
      <w:r w:rsidRPr="000023B9">
        <w:t>F.2d</w:t>
      </w:r>
      <w:r w:rsidRPr="000023B9">
        <w:t xml:space="preserve"> 1164, 1166 (D.C. Cir. 1990) (citing </w:t>
      </w:r>
      <w:r w:rsidRPr="000023B9">
        <w:rPr>
          <w:i/>
        </w:rPr>
        <w:t>WAIT Radio v. FCC</w:t>
      </w:r>
      <w:r w:rsidRPr="000023B9">
        <w:t xml:space="preserve">, 418 </w:t>
      </w:r>
      <w:r w:rsidRPr="000023B9">
        <w:t>F.2d</w:t>
      </w:r>
      <w:r w:rsidRPr="000023B9">
        <w:t xml:space="preserve">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 201</w:t>
      </w:r>
      <w:r>
        <w:t>9</w:t>
      </w:r>
      <w:r w:rsidRPr="000023B9">
        <w:t xml:space="preserve"> section 54.314 certification for </w:t>
      </w:r>
      <w:r>
        <w:t>Auction 903 long-form applicants that were authorized in 2019</w:t>
      </w:r>
      <w:r w:rsidRPr="000023B9">
        <w:rPr>
          <w:i/>
        </w:rPr>
        <w:t xml:space="preserve">.  </w:t>
      </w:r>
      <w:r w:rsidRPr="004858F2">
        <w:rPr>
          <w:i/>
        </w:rPr>
        <w:t>Connect America Fund Phase II Auction Support Authorized for 459 Winning Bids</w:t>
      </w:r>
      <w:r w:rsidRPr="004858F2">
        <w:t xml:space="preserve">, Public Notice, </w:t>
      </w:r>
      <w:r>
        <w:t>34 FCC Rcd 3142</w:t>
      </w:r>
      <w:r w:rsidRPr="004858F2">
        <w:t xml:space="preserve">, </w:t>
      </w:r>
      <w:r>
        <w:t>31</w:t>
      </w:r>
      <w:r w:rsidRPr="004858F2">
        <w:t>4</w:t>
      </w:r>
      <w:r>
        <w:t>5-46</w:t>
      </w:r>
      <w:r w:rsidRPr="004858F2">
        <w:t xml:space="preserve"> (WCB 2019).</w:t>
      </w:r>
    </w:p>
  </w:footnote>
  <w:footnote w:id="38">
    <w:p w:rsidR="00FB15C1" w:rsidP="00FB15C1" w14:paraId="4E2ED23D"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xml:space="preserve">, 753 </w:t>
      </w:r>
      <w:r w:rsidRPr="000023B9">
        <w:t>F.3d</w:t>
      </w:r>
      <w:r w:rsidRPr="000023B9">
        <w:t xml:space="preserve"> 1015 (10th Cir. 2014).</w:t>
      </w:r>
      <w:r>
        <w:t xml:space="preserve"> </w:t>
      </w:r>
    </w:p>
  </w:footnote>
  <w:footnote w:id="39">
    <w:p w:rsidR="00FB15C1" w:rsidRPr="00D04DE6" w:rsidP="00FB15C1" w14:paraId="75445509"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40">
    <w:p w:rsidR="00FB15C1" w:rsidRPr="00D04DE6" w:rsidP="00FB15C1" w14:paraId="597F232B"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41">
    <w:p w:rsidR="00FB15C1" w:rsidRPr="00D04DE6" w:rsidP="00FB15C1" w14:paraId="7D750DD9"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42">
    <w:p w:rsidR="00FB15C1" w:rsidP="00FB15C1" w14:paraId="0EA126E3" w14:textId="77777777">
      <w:pPr>
        <w:pStyle w:val="FootnoteText"/>
      </w:pPr>
      <w:r>
        <w:rPr>
          <w:rStyle w:val="FootnoteReference"/>
        </w:rPr>
        <w:footnoteRef/>
      </w:r>
      <w:r>
        <w:t xml:space="preserve"> 47 CFR § 54.9(a).</w:t>
      </w:r>
    </w:p>
  </w:footnote>
  <w:footnote w:id="43">
    <w:p w:rsidR="00FB15C1" w:rsidP="00FB15C1" w14:paraId="575D790D"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Report and Order et al., 34 FCC Rcd 11423, 11453, para. 77 (2019).</w:t>
      </w:r>
    </w:p>
  </w:footnote>
  <w:footnote w:id="44">
    <w:p w:rsidR="00FB15C1" w:rsidRPr="00D04DE6" w:rsidP="00FB15C1" w14:paraId="37F9D678" w14:textId="77777777">
      <w:pPr>
        <w:pStyle w:val="FootnoteText"/>
      </w:pPr>
      <w:r w:rsidRPr="00D04DE6">
        <w:rPr>
          <w:rStyle w:val="FootnoteReference"/>
        </w:rPr>
        <w:footnoteRef/>
      </w:r>
      <w:r w:rsidRPr="00D04DE6">
        <w:t xml:space="preserve"> 47 CFR § 54.320(b).</w:t>
      </w:r>
    </w:p>
  </w:footnote>
  <w:footnote w:id="45">
    <w:p w:rsidR="00FB15C1" w:rsidRPr="00D04DE6" w:rsidP="00FB15C1" w14:paraId="06A57EE8"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46">
    <w:p w:rsidR="00FB15C1" w:rsidRPr="00D04DE6" w:rsidP="00FB15C1" w14:paraId="16023E6F" w14:textId="77777777">
      <w:pPr>
        <w:pStyle w:val="FootnoteText"/>
      </w:pPr>
      <w:r w:rsidRPr="00D04DE6">
        <w:rPr>
          <w:rStyle w:val="FootnoteReference"/>
        </w:rPr>
        <w:footnoteRef/>
      </w:r>
      <w:r w:rsidRPr="00D04DE6">
        <w:t xml:space="preserve"> 47 CFR §§ 54.315(c)(4), 54.320</w:t>
      </w:r>
      <w:r>
        <w:t xml:space="preserve">; </w:t>
      </w:r>
      <w:r w:rsidRPr="00422659">
        <w:rPr>
          <w:i/>
        </w:rPr>
        <w:t>Phase II Auction Order</w:t>
      </w:r>
      <w:r>
        <w:t xml:space="preserve">, 31 FCC Rcd at 6016-18, paras. 189-94;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47">
    <w:p w:rsidR="00FB15C1" w:rsidRPr="00D04DE6" w:rsidP="00FB15C1" w14:paraId="6F21EBFB" w14:textId="77777777">
      <w:pPr>
        <w:pStyle w:val="FootnoteText"/>
      </w:pPr>
      <w:r w:rsidRPr="00D04DE6">
        <w:rPr>
          <w:rStyle w:val="FootnoteReference"/>
        </w:rPr>
        <w:footnoteRef/>
      </w:r>
      <w:r w:rsidRPr="00D04DE6">
        <w:t xml:space="preserve"> </w:t>
      </w:r>
      <w:r>
        <w:t xml:space="preserve">47 CFR </w:t>
      </w:r>
      <w:r w:rsidRPr="00D04DE6">
        <w:t xml:space="preserve">§§ 54.315(c)(4), 54.320; </w:t>
      </w:r>
      <w:r w:rsidRPr="00D04DE6">
        <w:rPr>
          <w:i/>
        </w:rPr>
        <w:t>Phase II Auction Order</w:t>
      </w:r>
      <w:r w:rsidRPr="00D04DE6">
        <w:t xml:space="preserve">, 31 FCC Rcd at 6016-18, paras. 189-94;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48">
    <w:p w:rsidR="00FB15C1" w:rsidRPr="00D04DE6" w:rsidP="00FB15C1" w14:paraId="0366FD37" w14:textId="77777777">
      <w:pPr>
        <w:pStyle w:val="FootnoteText"/>
      </w:pPr>
      <w:r w:rsidRPr="00D04DE6">
        <w:rPr>
          <w:rStyle w:val="FootnoteReference"/>
        </w:rPr>
        <w:footnoteRef/>
      </w:r>
      <w:r w:rsidRPr="00D04DE6">
        <w:t xml:space="preserve"> 47 CFR § 54.320; </w:t>
      </w:r>
      <w:r w:rsidRPr="00D04DE6">
        <w:rPr>
          <w:i/>
        </w:rPr>
        <w:t>Phase II Auction Order</w:t>
      </w:r>
      <w:r w:rsidRPr="00D04DE6">
        <w:t>, 31 FCC Rcd at 6018, para. 194</w:t>
      </w:r>
      <w:r>
        <w:t>.</w:t>
      </w:r>
    </w:p>
  </w:footnote>
  <w:footnote w:id="49">
    <w:p w:rsidR="00FB15C1" w:rsidP="00FB15C1" w14:paraId="210CD25E"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0">
    <w:p w:rsidR="00FB15C1" w:rsidP="00FB15C1" w14:paraId="03EF1A26"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51">
    <w:p w:rsidR="00FB15C1" w:rsidRPr="00D04DE6" w:rsidP="00FB15C1" w14:paraId="06CAC78D" w14:textId="77777777">
      <w:pPr>
        <w:pStyle w:val="FootnoteText"/>
      </w:pPr>
      <w:r w:rsidRPr="00D04DE6">
        <w:rPr>
          <w:rStyle w:val="FootnoteReference"/>
        </w:rPr>
        <w:footnoteRef/>
      </w:r>
      <w:r w:rsidRPr="00D04DE6">
        <w:t xml:space="preserve"> 47 U.S.C. § 214(a); 47 CFR § 54.205.</w:t>
      </w:r>
    </w:p>
  </w:footnote>
  <w:footnote w:id="52">
    <w:p w:rsidR="00FB15C1" w:rsidRPr="00D04DE6" w:rsidP="00FB15C1" w14:paraId="2C5611FD" w14:textId="77777777">
      <w:pPr>
        <w:pStyle w:val="FootnoteText"/>
      </w:pPr>
      <w:r w:rsidRPr="00D04DE6">
        <w:rPr>
          <w:rStyle w:val="FootnoteReference"/>
        </w:rPr>
        <w:footnoteRef/>
      </w:r>
      <w:r w:rsidRPr="00D04DE6">
        <w:t xml:space="preserve"> 47 U.S.C. § 214(e)(4).</w:t>
      </w:r>
    </w:p>
  </w:footnote>
  <w:footnote w:id="53">
    <w:p w:rsidR="00FB15C1" w:rsidRPr="00D04DE6" w:rsidP="00FB15C1" w14:paraId="7CFCDF5D" w14:textId="77777777">
      <w:pPr>
        <w:pStyle w:val="FootnoteText"/>
      </w:pPr>
      <w:r w:rsidRPr="00D04DE6">
        <w:rPr>
          <w:rStyle w:val="FootnoteReference"/>
        </w:rPr>
        <w:footnoteRef/>
      </w:r>
      <w:r w:rsidRPr="00D04DE6">
        <w:t xml:space="preserve"> 47 CFR § 63.71.</w:t>
      </w:r>
    </w:p>
  </w:footnote>
  <w:footnote w:id="54">
    <w:p w:rsidR="00FB15C1" w:rsidP="00FB15C1" w14:paraId="0C11E56E"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55">
    <w:p w:rsidR="00FB15C1" w:rsidP="00FB15C1" w14:paraId="259B5D24" w14:textId="77777777">
      <w:pPr>
        <w:pStyle w:val="FootnoteText"/>
      </w:pPr>
      <w:r>
        <w:rPr>
          <w:rStyle w:val="FootnoteReference"/>
        </w:rPr>
        <w:footnoteRef/>
      </w:r>
      <w:r>
        <w:t xml:space="preserve"> 47 CFR </w:t>
      </w:r>
      <w:r w:rsidRPr="00D04DE6">
        <w:t>§</w:t>
      </w:r>
      <w:r>
        <w:t xml:space="preserve"> 63.24.</w:t>
      </w:r>
    </w:p>
  </w:footnote>
  <w:footnote w:id="56">
    <w:p w:rsidR="00FB15C1" w:rsidP="00FB15C1" w14:paraId="5451000C" w14:textId="77777777">
      <w:pPr>
        <w:pStyle w:val="FootnoteText"/>
      </w:pPr>
      <w:r>
        <w:rPr>
          <w:rStyle w:val="FootnoteReference"/>
        </w:rPr>
        <w:footnoteRef/>
      </w:r>
      <w:r>
        <w:t xml:space="preserve"> </w:t>
      </w:r>
      <w:r>
        <w:rPr>
          <w:szCs w:val="22"/>
        </w:rPr>
        <w:t xml:space="preserve">In the first month that support is disbursed to an authorized Auction 903 support recipient that is not the incumbent price cap carrier, the incumbent price cap carrier will be immediately relieved of its federal high-cost ETC obligation to offer voice telephony in those specific census blocks.  </w:t>
      </w:r>
      <w:r>
        <w:rPr>
          <w:i/>
        </w:rPr>
        <w:t>December 2014 Connect America Fund Order</w:t>
      </w:r>
      <w:r w:rsidRPr="00790AB7">
        <w:t>,</w:t>
      </w:r>
      <w:r w:rsidRPr="00952D07">
        <w:t xml:space="preserve"> 29 FCC Rcd</w:t>
      </w:r>
      <w:r>
        <w:t xml:space="preserve"> at 15663–71, paras. 50–70;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3" w:history="1">
        <w:r w:rsidRPr="00826BEA">
          <w:rPr>
            <w:rStyle w:val="Hyperlink"/>
            <w:szCs w:val="22"/>
          </w:rPr>
          <w:t>https://www.fcc.gov/encyclopedia/price-cap-resources</w:t>
        </w:r>
      </w:hyperlink>
      <w:r>
        <w:rPr>
          <w:szCs w:val="22"/>
        </w:rPr>
        <w:t xml:space="preserve">.  </w:t>
      </w:r>
    </w:p>
  </w:footnote>
  <w:footnote w:id="57">
    <w:p w:rsidR="00FB15C1" w:rsidP="00FB15C1" w14:paraId="427BC19F" w14:textId="77777777">
      <w:pPr>
        <w:pStyle w:val="FootnoteText"/>
      </w:pPr>
      <w:r>
        <w:rPr>
          <w:rStyle w:val="FootnoteReference"/>
        </w:rPr>
        <w:footnoteRef/>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34 FCC Rcd 1296 (WCB 2019). </w:t>
      </w:r>
    </w:p>
  </w:footnote>
  <w:footnote w:id="58">
    <w:p w:rsidR="00FB15C1" w:rsidRPr="00C26450" w:rsidP="00FB15C1" w14:paraId="20BFD4DE" w14:textId="77777777">
      <w:pPr>
        <w:rPr>
          <w:snapToGrid/>
          <w:kern w:val="0"/>
          <w:sz w:val="20"/>
        </w:rPr>
      </w:pPr>
      <w:r>
        <w:rPr>
          <w:rStyle w:val="FootnoteReference"/>
        </w:rPr>
        <w:footnoteRef/>
      </w:r>
      <w:r>
        <w:t xml:space="preserve"> </w:t>
      </w:r>
      <w:r w:rsidRPr="00C26450">
        <w:rPr>
          <w:i/>
          <w:sz w:val="20"/>
        </w:rPr>
        <w:t>Connect America Fund</w:t>
      </w:r>
      <w:r w:rsidRPr="00C26450">
        <w:rPr>
          <w:sz w:val="20"/>
        </w:rPr>
        <w:t xml:space="preserve">, WC Docket No. 10-90, Report and Order, FCC 19-8, at 5-6, paras. 14-15 (Feb. 15, 2019) (stating that price cap carriers will no longer receive legacy support for the census blocks where Auction 903 support is authorized beginning on the first day of the month after the Auction 903 support is authorized for those census blocks).  </w:t>
      </w:r>
    </w:p>
    <w:p w:rsidR="00FB15C1" w:rsidP="00FB15C1" w14:paraId="7A5615E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773A7DF" w14:textId="68782603">
    <w:pPr>
      <w:tabs>
        <w:tab w:val="center" w:pos="4680"/>
        <w:tab w:val="right" w:pos="9360"/>
      </w:tabs>
    </w:pPr>
    <w:r w:rsidRPr="009838BC">
      <w:rPr>
        <w:b/>
      </w:rPr>
      <w:tab/>
      <w:t>Federal Communications Commission</w:t>
    </w:r>
    <w:r w:rsidRPr="009838BC">
      <w:rPr>
        <w:b/>
      </w:rPr>
      <w:tab/>
    </w:r>
    <w:r w:rsidR="008E31F0">
      <w:rPr>
        <w:b/>
      </w:rPr>
      <w:t>DA 20-276</w:t>
    </w:r>
  </w:p>
  <w:p w:rsidR="009838BC" w:rsidRPr="009838BC" w:rsidP="009838BC" w14:paraId="6AFBF70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F41437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AA9194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34F92C0D" w14:textId="77777777">
                <w:pPr>
                  <w:rPr>
                    <w:rFonts w:ascii="Arial" w:hAnsi="Arial"/>
                    <w:b/>
                  </w:rPr>
                </w:pPr>
                <w:r>
                  <w:rPr>
                    <w:rFonts w:ascii="Arial" w:hAnsi="Arial"/>
                    <w:b/>
                  </w:rPr>
                  <w:t>Federal Communications Commission</w:t>
                </w:r>
              </w:p>
              <w:p w:rsidR="009838BC" w:rsidP="009838BC" w14:paraId="561BAD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EEABC0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43C53A6"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1F91E4E" w14:textId="77777777">
                <w:pPr>
                  <w:spacing w:before="40"/>
                  <w:jc w:val="right"/>
                  <w:rPr>
                    <w:rFonts w:ascii="Arial" w:hAnsi="Arial"/>
                    <w:b/>
                    <w:sz w:val="16"/>
                  </w:rPr>
                </w:pPr>
                <w:r>
                  <w:rPr>
                    <w:rFonts w:ascii="Arial" w:hAnsi="Arial"/>
                    <w:b/>
                    <w:sz w:val="16"/>
                  </w:rPr>
                  <w:t>News Media Information 202 / 418-0500</w:t>
                </w:r>
              </w:p>
              <w:p w:rsidR="009838BC" w:rsidP="009838BC" w14:paraId="3D0C5CC5"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1E4FC184" w14:textId="77777777">
                <w:pPr>
                  <w:jc w:val="right"/>
                </w:pPr>
                <w:r>
                  <w:rPr>
                    <w:rFonts w:ascii="Arial" w:hAnsi="Arial"/>
                    <w:b/>
                    <w:sz w:val="16"/>
                  </w:rPr>
                  <w:t>TTY: 1-888-835-5322</w:t>
                </w:r>
              </w:p>
            </w:txbxContent>
          </v:textbox>
        </v:shape>
      </w:pict>
    </w:r>
  </w:p>
  <w:p w:rsidR="006F7393" w:rsidRPr="009838BC" w:rsidP="009838BC" w14:paraId="0961D56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C1"/>
    <w:rsid w:val="00000F37"/>
    <w:rsid w:val="000023B9"/>
    <w:rsid w:val="000072CE"/>
    <w:rsid w:val="00010B65"/>
    <w:rsid w:val="00013A8B"/>
    <w:rsid w:val="00021445"/>
    <w:rsid w:val="000225C0"/>
    <w:rsid w:val="00027A77"/>
    <w:rsid w:val="00036039"/>
    <w:rsid w:val="00037F90"/>
    <w:rsid w:val="00077C10"/>
    <w:rsid w:val="000875BF"/>
    <w:rsid w:val="00096D8C"/>
    <w:rsid w:val="000C0B65"/>
    <w:rsid w:val="000E3D42"/>
    <w:rsid w:val="000E5884"/>
    <w:rsid w:val="001107C8"/>
    <w:rsid w:val="00122BD5"/>
    <w:rsid w:val="0012579F"/>
    <w:rsid w:val="00127486"/>
    <w:rsid w:val="001327AD"/>
    <w:rsid w:val="001810A9"/>
    <w:rsid w:val="001979D9"/>
    <w:rsid w:val="001D1FBA"/>
    <w:rsid w:val="001D481D"/>
    <w:rsid w:val="001D6BCF"/>
    <w:rsid w:val="001E01CA"/>
    <w:rsid w:val="001F44C6"/>
    <w:rsid w:val="002060D9"/>
    <w:rsid w:val="00226822"/>
    <w:rsid w:val="00260594"/>
    <w:rsid w:val="002804B9"/>
    <w:rsid w:val="00285017"/>
    <w:rsid w:val="002A2D2E"/>
    <w:rsid w:val="002C2FE4"/>
    <w:rsid w:val="0032666F"/>
    <w:rsid w:val="00343749"/>
    <w:rsid w:val="00357D50"/>
    <w:rsid w:val="003925DC"/>
    <w:rsid w:val="003B0550"/>
    <w:rsid w:val="003B694F"/>
    <w:rsid w:val="003F171C"/>
    <w:rsid w:val="00412FC5"/>
    <w:rsid w:val="00422276"/>
    <w:rsid w:val="00422659"/>
    <w:rsid w:val="004242F1"/>
    <w:rsid w:val="00445A00"/>
    <w:rsid w:val="00451B0F"/>
    <w:rsid w:val="0046125F"/>
    <w:rsid w:val="004858F2"/>
    <w:rsid w:val="00485FD1"/>
    <w:rsid w:val="00487524"/>
    <w:rsid w:val="00496106"/>
    <w:rsid w:val="004C12D0"/>
    <w:rsid w:val="004C2EE3"/>
    <w:rsid w:val="004E42AB"/>
    <w:rsid w:val="004E4A22"/>
    <w:rsid w:val="004E7582"/>
    <w:rsid w:val="00503B06"/>
    <w:rsid w:val="00511968"/>
    <w:rsid w:val="0055614C"/>
    <w:rsid w:val="0057028E"/>
    <w:rsid w:val="00607BA5"/>
    <w:rsid w:val="006103B0"/>
    <w:rsid w:val="00626EB6"/>
    <w:rsid w:val="006353A3"/>
    <w:rsid w:val="00655D03"/>
    <w:rsid w:val="00683F84"/>
    <w:rsid w:val="006A6A81"/>
    <w:rsid w:val="006E1582"/>
    <w:rsid w:val="006E26AF"/>
    <w:rsid w:val="006F7393"/>
    <w:rsid w:val="0070224F"/>
    <w:rsid w:val="007115F7"/>
    <w:rsid w:val="00723598"/>
    <w:rsid w:val="00785689"/>
    <w:rsid w:val="00790AB7"/>
    <w:rsid w:val="0079754B"/>
    <w:rsid w:val="007A1E6D"/>
    <w:rsid w:val="007D08AC"/>
    <w:rsid w:val="00822CE0"/>
    <w:rsid w:val="00826BEA"/>
    <w:rsid w:val="00837C62"/>
    <w:rsid w:val="00841AB1"/>
    <w:rsid w:val="00893B45"/>
    <w:rsid w:val="008A5853"/>
    <w:rsid w:val="008B165A"/>
    <w:rsid w:val="008C22FD"/>
    <w:rsid w:val="008D5D6F"/>
    <w:rsid w:val="008E31F0"/>
    <w:rsid w:val="00910F12"/>
    <w:rsid w:val="009231B1"/>
    <w:rsid w:val="00926503"/>
    <w:rsid w:val="00930ECF"/>
    <w:rsid w:val="00952D07"/>
    <w:rsid w:val="0096264B"/>
    <w:rsid w:val="00965384"/>
    <w:rsid w:val="009838BC"/>
    <w:rsid w:val="009B2A88"/>
    <w:rsid w:val="00A16AD2"/>
    <w:rsid w:val="00A45F4F"/>
    <w:rsid w:val="00A52887"/>
    <w:rsid w:val="00A600A9"/>
    <w:rsid w:val="00A866AC"/>
    <w:rsid w:val="00AA4632"/>
    <w:rsid w:val="00AA55B7"/>
    <w:rsid w:val="00AA5B9E"/>
    <w:rsid w:val="00AB2407"/>
    <w:rsid w:val="00AB53DF"/>
    <w:rsid w:val="00B07E5C"/>
    <w:rsid w:val="00B20363"/>
    <w:rsid w:val="00B326E3"/>
    <w:rsid w:val="00B811F7"/>
    <w:rsid w:val="00BA5DC6"/>
    <w:rsid w:val="00BA6196"/>
    <w:rsid w:val="00BC6D8C"/>
    <w:rsid w:val="00C16AF2"/>
    <w:rsid w:val="00C26450"/>
    <w:rsid w:val="00C34006"/>
    <w:rsid w:val="00C426B1"/>
    <w:rsid w:val="00C808A8"/>
    <w:rsid w:val="00C82B6B"/>
    <w:rsid w:val="00C90D6A"/>
    <w:rsid w:val="00CA19D9"/>
    <w:rsid w:val="00CC72B6"/>
    <w:rsid w:val="00CE738D"/>
    <w:rsid w:val="00D0218D"/>
    <w:rsid w:val="00D04DE6"/>
    <w:rsid w:val="00D216CD"/>
    <w:rsid w:val="00D7719B"/>
    <w:rsid w:val="00DA2529"/>
    <w:rsid w:val="00DB130A"/>
    <w:rsid w:val="00DC10A1"/>
    <w:rsid w:val="00DC655F"/>
    <w:rsid w:val="00DD7EBD"/>
    <w:rsid w:val="00DF62B6"/>
    <w:rsid w:val="00E07225"/>
    <w:rsid w:val="00E155B7"/>
    <w:rsid w:val="00E375E1"/>
    <w:rsid w:val="00E5409F"/>
    <w:rsid w:val="00E92191"/>
    <w:rsid w:val="00EC0185"/>
    <w:rsid w:val="00EE4528"/>
    <w:rsid w:val="00EE5A97"/>
    <w:rsid w:val="00F021FA"/>
    <w:rsid w:val="00F276C5"/>
    <w:rsid w:val="00F57ACA"/>
    <w:rsid w:val="00F62E97"/>
    <w:rsid w:val="00F64209"/>
    <w:rsid w:val="00F93BF5"/>
    <w:rsid w:val="00F96F63"/>
    <w:rsid w:val="00FB15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82637D-23E0-4B9E-914E-E6D700D6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FB15C1"/>
  </w:style>
  <w:style w:type="paragraph" w:styleId="ListParagraph">
    <w:name w:val="List Paragraph"/>
    <w:basedOn w:val="Normal"/>
    <w:uiPriority w:val="34"/>
    <w:qFormat/>
    <w:rsid w:val="00FB15C1"/>
    <w:pPr>
      <w:ind w:left="720"/>
      <w:contextualSpacing/>
    </w:pPr>
  </w:style>
  <w:style w:type="character" w:styleId="Emphasis">
    <w:name w:val="Emphasis"/>
    <w:uiPriority w:val="20"/>
    <w:qFormat/>
    <w:rsid w:val="00FB1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www.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s://www.usac.org/high-cost/annual-requirements/submit-data-in-the-hubb/" TargetMode="External" /><Relationship Id="rId7" Type="http://schemas.openxmlformats.org/officeDocument/2006/relationships/hyperlink" Target="mailto:hcorders@usac.org" TargetMode="External" /><Relationship Id="rId8" Type="http://schemas.openxmlformats.org/officeDocument/2006/relationships/hyperlink" Target="http://www.fcc.gov/general/transfer-control" TargetMode="External" /><Relationship Id="rId9" Type="http://schemas.openxmlformats.org/officeDocument/2006/relationships/hyperlink" Target="http://www.fcc.gov/ocb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encyclopedia/price-ca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