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85221" w:rsidP="00013A8B" w14:paraId="79D3B2D2" w14:textId="25078C38">
      <w:pPr>
        <w:jc w:val="right"/>
        <w:rPr>
          <w:b/>
          <w:szCs w:val="22"/>
        </w:rPr>
      </w:pPr>
      <w:r w:rsidRPr="00085221">
        <w:rPr>
          <w:b/>
          <w:szCs w:val="22"/>
        </w:rPr>
        <w:t xml:space="preserve">DA </w:t>
      </w:r>
      <w:r w:rsidRPr="00085221" w:rsidR="00466418">
        <w:rPr>
          <w:b/>
          <w:szCs w:val="22"/>
        </w:rPr>
        <w:t>20</w:t>
      </w:r>
      <w:r w:rsidRPr="00085221" w:rsidR="00D37E32">
        <w:rPr>
          <w:b/>
          <w:szCs w:val="22"/>
        </w:rPr>
        <w:t>-</w:t>
      </w:r>
      <w:r w:rsidR="00F01618">
        <w:rPr>
          <w:b/>
          <w:szCs w:val="22"/>
        </w:rPr>
        <w:t>277</w:t>
      </w:r>
    </w:p>
    <w:p w:rsidR="00013A8B" w:rsidRPr="00085221" w:rsidP="00DA11E8" w14:paraId="49802B42" w14:textId="790B8864">
      <w:pPr>
        <w:jc w:val="right"/>
        <w:rPr>
          <w:b/>
          <w:szCs w:val="22"/>
        </w:rPr>
      </w:pPr>
      <w:r w:rsidRPr="00085221">
        <w:rPr>
          <w:b/>
          <w:szCs w:val="22"/>
        </w:rPr>
        <w:t xml:space="preserve">Released:  </w:t>
      </w:r>
      <w:r w:rsidR="00BB13FB">
        <w:rPr>
          <w:b/>
          <w:szCs w:val="22"/>
        </w:rPr>
        <w:t>March</w:t>
      </w:r>
      <w:r w:rsidR="00FC2559">
        <w:rPr>
          <w:b/>
          <w:szCs w:val="22"/>
        </w:rPr>
        <w:t xml:space="preserve"> </w:t>
      </w:r>
      <w:r w:rsidR="00430CAD">
        <w:rPr>
          <w:b/>
          <w:szCs w:val="22"/>
        </w:rPr>
        <w:t>16</w:t>
      </w:r>
      <w:r w:rsidRPr="00085221" w:rsidR="00632D3F">
        <w:rPr>
          <w:b/>
          <w:szCs w:val="22"/>
        </w:rPr>
        <w:t>, 2020</w:t>
      </w:r>
    </w:p>
    <w:p w:rsidR="00013A8B" w:rsidRPr="00085221" w:rsidP="00013A8B" w14:paraId="55085E50" w14:textId="77777777">
      <w:pPr>
        <w:jc w:val="right"/>
        <w:rPr>
          <w:szCs w:val="22"/>
        </w:rPr>
      </w:pPr>
    </w:p>
    <w:p w:rsidR="00013A8B" w:rsidP="00BB13FB" w14:paraId="3D170D03" w14:textId="2C387F33">
      <w:pPr>
        <w:jc w:val="center"/>
        <w:rPr>
          <w:rFonts w:ascii="Times New Roman Bold" w:hAnsi="Times New Roman Bold"/>
          <w:b/>
          <w:caps/>
          <w:szCs w:val="22"/>
        </w:rPr>
      </w:pPr>
      <w:r w:rsidRPr="00085221">
        <w:rPr>
          <w:rFonts w:ascii="Times New Roman Bold" w:hAnsi="Times New Roman Bold"/>
          <w:b/>
          <w:caps/>
          <w:szCs w:val="22"/>
        </w:rPr>
        <w:t xml:space="preserve">Comment and Reply Comment dates </w:t>
      </w:r>
      <w:r w:rsidR="00FC2559">
        <w:rPr>
          <w:rFonts w:ascii="Times New Roman Bold" w:hAnsi="Times New Roman Bold"/>
          <w:b/>
          <w:caps/>
          <w:szCs w:val="22"/>
        </w:rPr>
        <w:t>set</w:t>
      </w:r>
      <w:r w:rsidRPr="00085221">
        <w:rPr>
          <w:rFonts w:ascii="Times New Roman Bold" w:hAnsi="Times New Roman Bold"/>
          <w:b/>
          <w:caps/>
          <w:szCs w:val="22"/>
        </w:rPr>
        <w:br/>
        <w:t xml:space="preserve">for </w:t>
      </w:r>
      <w:r w:rsidR="00BB13FB">
        <w:rPr>
          <w:rFonts w:ascii="Times New Roman Bold" w:hAnsi="Times New Roman Bold"/>
          <w:b/>
          <w:caps/>
          <w:szCs w:val="22"/>
        </w:rPr>
        <w:t xml:space="preserve">PUBLIC NOTICE </w:t>
      </w:r>
      <w:r w:rsidR="005E321F">
        <w:rPr>
          <w:rFonts w:ascii="Times New Roman Bold" w:hAnsi="Times New Roman Bold"/>
          <w:b/>
          <w:caps/>
          <w:szCs w:val="22"/>
        </w:rPr>
        <w:t xml:space="preserve">regarding </w:t>
      </w:r>
      <w:r w:rsidRPr="00BB13FB" w:rsidR="00BB13FB">
        <w:rPr>
          <w:rFonts w:ascii="Times New Roman Bold" w:hAnsi="Times New Roman Bold"/>
          <w:b/>
          <w:caps/>
          <w:szCs w:val="22"/>
        </w:rPr>
        <w:t>THE EFFECTIVE DATE OF NEW TRUTH-IN-BILLING REQUIREMENTS IN THE TELEVISION VIEWER PROTECTION ACT OF 2019</w:t>
      </w:r>
    </w:p>
    <w:p w:rsidR="005E321F" w:rsidP="005E321F" w14:paraId="189147DC" w14:textId="77777777">
      <w:pPr>
        <w:jc w:val="center"/>
        <w:rPr>
          <w:b/>
          <w:szCs w:val="22"/>
        </w:rPr>
      </w:pPr>
    </w:p>
    <w:p w:rsidR="00975DA6" w:rsidRPr="00085221" w:rsidP="00013A8B" w14:paraId="385AFFC9" w14:textId="52942661">
      <w:pPr>
        <w:spacing w:after="240"/>
        <w:jc w:val="center"/>
        <w:rPr>
          <w:rFonts w:ascii="Times New Roman Bold" w:hAnsi="Times New Roman Bold"/>
          <w:b/>
          <w:caps/>
          <w:szCs w:val="22"/>
        </w:rPr>
      </w:pPr>
      <w:r w:rsidRPr="00085221">
        <w:rPr>
          <w:b/>
          <w:szCs w:val="22"/>
        </w:rPr>
        <w:t xml:space="preserve">MB Docket No. </w:t>
      </w:r>
      <w:r w:rsidR="00AE6123">
        <w:rPr>
          <w:b/>
          <w:szCs w:val="22"/>
        </w:rPr>
        <w:t>20-</w:t>
      </w:r>
      <w:r w:rsidR="00BB13FB">
        <w:rPr>
          <w:b/>
          <w:szCs w:val="22"/>
        </w:rPr>
        <w:t>6</w:t>
      </w:r>
      <w:r w:rsidR="00AE6123">
        <w:rPr>
          <w:b/>
          <w:szCs w:val="22"/>
        </w:rPr>
        <w:t>1</w:t>
      </w:r>
    </w:p>
    <w:p w:rsidR="009A06F8" w:rsidRPr="00085221" w:rsidP="009A06F8" w14:paraId="161397BE" w14:textId="21152D38">
      <w:pPr>
        <w:jc w:val="center"/>
        <w:rPr>
          <w:b/>
          <w:szCs w:val="22"/>
        </w:rPr>
      </w:pPr>
      <w:r w:rsidRPr="00085221">
        <w:rPr>
          <w:b/>
          <w:szCs w:val="22"/>
        </w:rPr>
        <w:t xml:space="preserve">Comment Date:  </w:t>
      </w:r>
      <w:r w:rsidR="00430CAD">
        <w:rPr>
          <w:b/>
          <w:szCs w:val="22"/>
        </w:rPr>
        <w:t>April 6</w:t>
      </w:r>
      <w:r w:rsidR="00512593">
        <w:rPr>
          <w:b/>
          <w:szCs w:val="22"/>
        </w:rPr>
        <w:t>, 2020</w:t>
      </w:r>
    </w:p>
    <w:p w:rsidR="00013A8B" w:rsidRPr="00085221" w:rsidP="009A06F8" w14:paraId="08B0FFB6" w14:textId="2082FB33">
      <w:pPr>
        <w:spacing w:after="240"/>
        <w:jc w:val="center"/>
        <w:rPr>
          <w:b/>
          <w:szCs w:val="22"/>
        </w:rPr>
      </w:pPr>
      <w:r w:rsidRPr="00085221">
        <w:rPr>
          <w:b/>
          <w:szCs w:val="22"/>
        </w:rPr>
        <w:t xml:space="preserve">Reply Comment Date:  </w:t>
      </w:r>
      <w:r w:rsidR="00430CAD">
        <w:rPr>
          <w:b/>
          <w:szCs w:val="22"/>
        </w:rPr>
        <w:t>April 13</w:t>
      </w:r>
      <w:r w:rsidR="00512593">
        <w:rPr>
          <w:b/>
          <w:szCs w:val="22"/>
        </w:rPr>
        <w:t>, 2020</w:t>
      </w:r>
    </w:p>
    <w:p w:rsidR="00DA11E8" w:rsidP="005E321F" w14:paraId="5C2AA6EE" w14:textId="77777777">
      <w:pPr>
        <w:ind w:firstLine="720"/>
        <w:rPr>
          <w:szCs w:val="22"/>
        </w:rPr>
      </w:pPr>
      <w:r w:rsidRPr="00085221">
        <w:rPr>
          <w:szCs w:val="22"/>
        </w:rPr>
        <w:t xml:space="preserve">On </w:t>
      </w:r>
      <w:r w:rsidR="00BB13FB">
        <w:rPr>
          <w:szCs w:val="22"/>
        </w:rPr>
        <w:t>February 27</w:t>
      </w:r>
      <w:r w:rsidRPr="00085221" w:rsidR="008018C8">
        <w:rPr>
          <w:szCs w:val="22"/>
        </w:rPr>
        <w:t>, 20</w:t>
      </w:r>
      <w:r w:rsidR="00AE6123">
        <w:rPr>
          <w:szCs w:val="22"/>
        </w:rPr>
        <w:t>20</w:t>
      </w:r>
      <w:r w:rsidRPr="00085221">
        <w:rPr>
          <w:szCs w:val="22"/>
        </w:rPr>
        <w:t xml:space="preserve">, the </w:t>
      </w:r>
      <w:r w:rsidR="00BB13FB">
        <w:rPr>
          <w:szCs w:val="22"/>
        </w:rPr>
        <w:t>Media Bureau issued</w:t>
      </w:r>
      <w:r w:rsidRPr="00085221">
        <w:rPr>
          <w:szCs w:val="22"/>
        </w:rPr>
        <w:t xml:space="preserve"> a </w:t>
      </w:r>
      <w:r w:rsidRPr="00CB7518" w:rsidR="00BB13FB">
        <w:rPr>
          <w:i/>
          <w:iCs/>
          <w:szCs w:val="22"/>
        </w:rPr>
        <w:t xml:space="preserve">Public </w:t>
      </w:r>
      <w:r w:rsidRPr="00CB7518">
        <w:rPr>
          <w:i/>
          <w:iCs/>
          <w:szCs w:val="22"/>
        </w:rPr>
        <w:t>Notice</w:t>
      </w:r>
      <w:r>
        <w:rPr>
          <w:rStyle w:val="FootnoteReference"/>
          <w:szCs w:val="22"/>
        </w:rPr>
        <w:footnoteReference w:id="3"/>
      </w:r>
      <w:r w:rsidR="00BB13FB">
        <w:rPr>
          <w:szCs w:val="22"/>
        </w:rPr>
        <w:t xml:space="preserve"> seeking comment on whether to extend the effective date of new truth-in-billing requirements set forth in section 642 of the Communications Act of 1934, as added by </w:t>
      </w:r>
      <w:r w:rsidRPr="00AE6123" w:rsidR="00AE6123">
        <w:rPr>
          <w:szCs w:val="22"/>
        </w:rPr>
        <w:t>the Television Viewer Protection Act of 2019 (TVPA)</w:t>
      </w:r>
      <w:r w:rsidR="00AE6123">
        <w:rPr>
          <w:szCs w:val="22"/>
        </w:rPr>
        <w:t>.</w:t>
      </w:r>
      <w:r>
        <w:rPr>
          <w:rStyle w:val="FootnoteReference"/>
          <w:szCs w:val="22"/>
        </w:rPr>
        <w:footnoteReference w:id="4"/>
      </w:r>
      <w:r w:rsidR="00AE6123">
        <w:rPr>
          <w:szCs w:val="22"/>
        </w:rPr>
        <w:t xml:space="preserve">  </w:t>
      </w:r>
      <w:r w:rsidRPr="0085174B" w:rsidR="0085174B">
        <w:rPr>
          <w:szCs w:val="22"/>
        </w:rPr>
        <w:t>Section 642 becomes effective June 20, 2020, six months after the date of enactment of the TVPA; however, the Commission for “good cause” may extend the effective date by six months.</w:t>
      </w:r>
      <w:r>
        <w:rPr>
          <w:rStyle w:val="FootnoteReference"/>
          <w:szCs w:val="22"/>
        </w:rPr>
        <w:footnoteReference w:id="5"/>
      </w:r>
      <w:r w:rsidRPr="0085174B" w:rsidR="0085174B">
        <w:rPr>
          <w:szCs w:val="22"/>
        </w:rPr>
        <w:t xml:space="preserve">  In th</w:t>
      </w:r>
      <w:r w:rsidR="0085174B">
        <w:rPr>
          <w:szCs w:val="22"/>
        </w:rPr>
        <w:t>e</w:t>
      </w:r>
      <w:r w:rsidRPr="0085174B" w:rsidR="0085174B">
        <w:rPr>
          <w:szCs w:val="22"/>
        </w:rPr>
        <w:t xml:space="preserve"> </w:t>
      </w:r>
      <w:r w:rsidRPr="00CB7518" w:rsidR="0085174B">
        <w:rPr>
          <w:i/>
          <w:iCs/>
          <w:szCs w:val="22"/>
        </w:rPr>
        <w:t>Public Notice</w:t>
      </w:r>
      <w:r w:rsidRPr="0085174B" w:rsidR="0085174B">
        <w:rPr>
          <w:szCs w:val="22"/>
        </w:rPr>
        <w:t xml:space="preserve">, </w:t>
      </w:r>
      <w:r w:rsidR="0085174B">
        <w:rPr>
          <w:szCs w:val="22"/>
        </w:rPr>
        <w:t xml:space="preserve">the Bureau </w:t>
      </w:r>
      <w:r w:rsidRPr="0085174B" w:rsidR="0085174B">
        <w:rPr>
          <w:szCs w:val="22"/>
        </w:rPr>
        <w:t>s</w:t>
      </w:r>
      <w:r w:rsidR="0085174B">
        <w:rPr>
          <w:szCs w:val="22"/>
        </w:rPr>
        <w:t>ought</w:t>
      </w:r>
      <w:r w:rsidRPr="0085174B" w:rsidR="0085174B">
        <w:rPr>
          <w:szCs w:val="22"/>
        </w:rPr>
        <w:t xml:space="preserve"> comment on whether good cause exists for granting a blanket extension of section 642’s effective date by six months, until December 20, 2020.</w:t>
      </w:r>
      <w:r>
        <w:rPr>
          <w:rStyle w:val="FootnoteReference"/>
          <w:szCs w:val="22"/>
        </w:rPr>
        <w:footnoteReference w:id="6"/>
      </w:r>
      <w:r w:rsidRPr="0085174B" w:rsidR="0085174B">
        <w:rPr>
          <w:szCs w:val="22"/>
        </w:rPr>
        <w:t xml:space="preserve">  </w:t>
      </w:r>
      <w:r w:rsidR="00CB7518">
        <w:rPr>
          <w:szCs w:val="22"/>
        </w:rPr>
        <w:t xml:space="preserve">The </w:t>
      </w:r>
      <w:r w:rsidRPr="00CB7518" w:rsidR="00CB7518">
        <w:rPr>
          <w:i/>
          <w:iCs/>
          <w:szCs w:val="22"/>
        </w:rPr>
        <w:t>Public Notice</w:t>
      </w:r>
      <w:r w:rsidR="00CB7518">
        <w:rPr>
          <w:szCs w:val="22"/>
        </w:rPr>
        <w:t xml:space="preserve"> set deadlines for filing comment</w:t>
      </w:r>
      <w:r w:rsidR="005E321F">
        <w:rPr>
          <w:szCs w:val="22"/>
        </w:rPr>
        <w:t>s</w:t>
      </w:r>
      <w:r w:rsidR="00CB7518">
        <w:rPr>
          <w:szCs w:val="22"/>
        </w:rPr>
        <w:t xml:space="preserve"> and reply comments at 21 and 28 days, respectively, after publication of the </w:t>
      </w:r>
      <w:r w:rsidR="00CB7518">
        <w:rPr>
          <w:i/>
          <w:iCs/>
          <w:szCs w:val="22"/>
        </w:rPr>
        <w:t xml:space="preserve">Public Notice </w:t>
      </w:r>
      <w:r w:rsidR="00CB7518">
        <w:rPr>
          <w:szCs w:val="22"/>
        </w:rPr>
        <w:t>in the Federal Register.</w:t>
      </w:r>
      <w:r>
        <w:rPr>
          <w:rStyle w:val="FootnoteReference"/>
          <w:szCs w:val="22"/>
        </w:rPr>
        <w:footnoteReference w:id="7"/>
      </w:r>
      <w:r w:rsidR="00CB7518">
        <w:rPr>
          <w:szCs w:val="22"/>
        </w:rPr>
        <w:t xml:space="preserve">  </w:t>
      </w:r>
    </w:p>
    <w:p w:rsidR="00DA11E8" w:rsidP="005E321F" w14:paraId="64BC35BC" w14:textId="77777777">
      <w:pPr>
        <w:ind w:firstLine="720"/>
        <w:rPr>
          <w:szCs w:val="22"/>
        </w:rPr>
      </w:pPr>
    </w:p>
    <w:p w:rsidR="009A06F8" w:rsidRPr="00085221" w:rsidP="005E321F" w14:paraId="71886FD2" w14:textId="6F9F06C9">
      <w:pPr>
        <w:ind w:firstLine="720"/>
        <w:rPr>
          <w:szCs w:val="22"/>
        </w:rPr>
      </w:pPr>
      <w:r>
        <w:rPr>
          <w:szCs w:val="22"/>
        </w:rPr>
        <w:t>T</w:t>
      </w:r>
      <w:r w:rsidRPr="00085221" w:rsidR="005D009D">
        <w:rPr>
          <w:szCs w:val="22"/>
        </w:rPr>
        <w:t xml:space="preserve">he Media Bureau announces that the </w:t>
      </w:r>
      <w:r>
        <w:rPr>
          <w:i/>
          <w:iCs/>
          <w:szCs w:val="22"/>
        </w:rPr>
        <w:t xml:space="preserve">Public Notice </w:t>
      </w:r>
      <w:r>
        <w:rPr>
          <w:szCs w:val="22"/>
        </w:rPr>
        <w:t>w</w:t>
      </w:r>
      <w:r w:rsidRPr="00085221" w:rsidR="005D009D">
        <w:rPr>
          <w:szCs w:val="22"/>
        </w:rPr>
        <w:t xml:space="preserve">as published in the Federal Register on </w:t>
      </w:r>
      <w:r>
        <w:rPr>
          <w:szCs w:val="22"/>
        </w:rPr>
        <w:t xml:space="preserve">March </w:t>
      </w:r>
      <w:r w:rsidR="00430CAD">
        <w:rPr>
          <w:szCs w:val="22"/>
        </w:rPr>
        <w:t>16</w:t>
      </w:r>
      <w:r w:rsidRPr="00085221" w:rsidR="00F73951">
        <w:rPr>
          <w:szCs w:val="22"/>
        </w:rPr>
        <w:t>, 2020</w:t>
      </w:r>
      <w:r w:rsidRPr="00085221" w:rsidR="005D009D">
        <w:rPr>
          <w:szCs w:val="22"/>
        </w:rPr>
        <w:t>.</w:t>
      </w:r>
      <w:r>
        <w:rPr>
          <w:rStyle w:val="FootnoteReference"/>
          <w:szCs w:val="22"/>
        </w:rPr>
        <w:footnoteReference w:id="8"/>
      </w:r>
      <w:r w:rsidRPr="00085221" w:rsidR="005D009D">
        <w:rPr>
          <w:szCs w:val="22"/>
        </w:rPr>
        <w:t xml:space="preserve">  </w:t>
      </w:r>
      <w:r w:rsidRPr="00085221" w:rsidR="00F32DCE">
        <w:rPr>
          <w:szCs w:val="22"/>
        </w:rPr>
        <w:t>Accordingly, c</w:t>
      </w:r>
      <w:r w:rsidRPr="00085221" w:rsidR="005D009D">
        <w:rPr>
          <w:szCs w:val="22"/>
        </w:rPr>
        <w:t xml:space="preserve">omments must be submitted </w:t>
      </w:r>
      <w:r w:rsidR="00FA24CA">
        <w:rPr>
          <w:szCs w:val="22"/>
        </w:rPr>
        <w:t>by</w:t>
      </w:r>
      <w:r w:rsidRPr="00085221" w:rsidR="005D009D">
        <w:rPr>
          <w:szCs w:val="22"/>
        </w:rPr>
        <w:t xml:space="preserve"> </w:t>
      </w:r>
      <w:r w:rsidR="00430CAD">
        <w:rPr>
          <w:szCs w:val="22"/>
        </w:rPr>
        <w:t>April 6, 2020</w:t>
      </w:r>
      <w:r w:rsidR="00FA24CA">
        <w:rPr>
          <w:szCs w:val="22"/>
        </w:rPr>
        <w:t>;</w:t>
      </w:r>
      <w:r w:rsidRPr="00085221" w:rsidR="005D009D">
        <w:rPr>
          <w:szCs w:val="22"/>
        </w:rPr>
        <w:t xml:space="preserve"> </w:t>
      </w:r>
      <w:r w:rsidR="00FA24CA">
        <w:rPr>
          <w:szCs w:val="22"/>
        </w:rPr>
        <w:t>r</w:t>
      </w:r>
      <w:r w:rsidRPr="00085221" w:rsidR="005D009D">
        <w:rPr>
          <w:szCs w:val="22"/>
        </w:rPr>
        <w:t xml:space="preserve">eply </w:t>
      </w:r>
      <w:r w:rsidR="00FF2DCC">
        <w:rPr>
          <w:szCs w:val="22"/>
        </w:rPr>
        <w:t>c</w:t>
      </w:r>
      <w:r w:rsidRPr="00085221" w:rsidR="005D009D">
        <w:rPr>
          <w:szCs w:val="22"/>
        </w:rPr>
        <w:t xml:space="preserve">omments must be submitted </w:t>
      </w:r>
      <w:r w:rsidR="00FA24CA">
        <w:rPr>
          <w:szCs w:val="22"/>
        </w:rPr>
        <w:t>by</w:t>
      </w:r>
      <w:r w:rsidRPr="00085221" w:rsidR="005D009D">
        <w:rPr>
          <w:szCs w:val="22"/>
        </w:rPr>
        <w:t xml:space="preserve"> </w:t>
      </w:r>
      <w:r w:rsidR="00430CAD">
        <w:rPr>
          <w:szCs w:val="22"/>
        </w:rPr>
        <w:t>April 13, 2020</w:t>
      </w:r>
      <w:r w:rsidRPr="00085221" w:rsidR="005D009D">
        <w:rPr>
          <w:szCs w:val="22"/>
        </w:rPr>
        <w:t xml:space="preserve">.  Commenters </w:t>
      </w:r>
      <w:r w:rsidR="00FF2DCC">
        <w:rPr>
          <w:szCs w:val="22"/>
        </w:rPr>
        <w:t>must</w:t>
      </w:r>
      <w:r w:rsidRPr="00085221" w:rsidR="005D009D">
        <w:rPr>
          <w:szCs w:val="22"/>
        </w:rPr>
        <w:t xml:space="preserve"> follow the filing instructions </w:t>
      </w:r>
      <w:r w:rsidR="005E321F">
        <w:rPr>
          <w:szCs w:val="22"/>
        </w:rPr>
        <w:t>set forth</w:t>
      </w:r>
      <w:r w:rsidRPr="00085221" w:rsidR="005D009D">
        <w:rPr>
          <w:szCs w:val="22"/>
        </w:rPr>
        <w:t xml:space="preserve"> in the </w:t>
      </w:r>
      <w:r w:rsidR="005E321F">
        <w:rPr>
          <w:i/>
          <w:iCs/>
          <w:szCs w:val="22"/>
        </w:rPr>
        <w:t>Public Notice</w:t>
      </w:r>
      <w:r w:rsidRPr="00085221" w:rsidR="005D009D">
        <w:rPr>
          <w:szCs w:val="22"/>
        </w:rPr>
        <w:t>.</w:t>
      </w:r>
      <w:r>
        <w:rPr>
          <w:rStyle w:val="FootnoteReference"/>
          <w:szCs w:val="22"/>
        </w:rPr>
        <w:footnoteReference w:id="9"/>
      </w:r>
      <w:r w:rsidRPr="00085221" w:rsidR="005D009D">
        <w:rPr>
          <w:szCs w:val="22"/>
        </w:rPr>
        <w:t xml:space="preserve">  </w:t>
      </w:r>
    </w:p>
    <w:p w:rsidR="008F34F9" w:rsidRPr="00085221" w:rsidP="009A06F8" w14:paraId="1A36B83D" w14:textId="77777777">
      <w:pPr>
        <w:rPr>
          <w:szCs w:val="22"/>
        </w:rPr>
      </w:pPr>
    </w:p>
    <w:p w:rsidR="009A06F8" w:rsidRPr="00085221" w:rsidP="00FF2DCC" w14:paraId="736DCAA4" w14:textId="4A8829FB">
      <w:pPr>
        <w:pStyle w:val="Paranum0"/>
        <w:numPr>
          <w:ilvl w:val="0"/>
          <w:numId w:val="0"/>
        </w:numPr>
        <w:ind w:firstLine="720"/>
        <w:jc w:val="left"/>
        <w:rPr>
          <w:szCs w:val="22"/>
        </w:rPr>
      </w:pPr>
      <w:r w:rsidRPr="00085221">
        <w:rPr>
          <w:szCs w:val="22"/>
        </w:rPr>
        <w:t xml:space="preserve">For additional information on this proceeding, contact </w:t>
      </w:r>
      <w:r w:rsidR="00FF2DCC">
        <w:rPr>
          <w:szCs w:val="22"/>
        </w:rPr>
        <w:t>Raelynn Remy</w:t>
      </w:r>
      <w:r w:rsidRPr="00085221">
        <w:rPr>
          <w:szCs w:val="22"/>
        </w:rPr>
        <w:t xml:space="preserve"> of the Media Bureau, </w:t>
      </w:r>
      <w:r w:rsidRPr="00085221" w:rsidR="00023044">
        <w:rPr>
          <w:szCs w:val="22"/>
        </w:rPr>
        <w:t>Policy Division</w:t>
      </w:r>
      <w:r w:rsidRPr="00085221">
        <w:rPr>
          <w:szCs w:val="22"/>
        </w:rPr>
        <w:t xml:space="preserve">, </w:t>
      </w:r>
      <w:r w:rsidR="00FF2DCC">
        <w:rPr>
          <w:szCs w:val="22"/>
        </w:rPr>
        <w:t xml:space="preserve">at </w:t>
      </w:r>
      <w:hyperlink r:id="rId5" w:history="1">
        <w:r w:rsidRPr="003137B8" w:rsidR="00FF2DCC">
          <w:rPr>
            <w:rStyle w:val="Hyperlink"/>
            <w:szCs w:val="22"/>
          </w:rPr>
          <w:t>Raelynn.Remy@fcc.gov</w:t>
        </w:r>
      </w:hyperlink>
      <w:r w:rsidR="00FF2DCC">
        <w:rPr>
          <w:szCs w:val="22"/>
        </w:rPr>
        <w:t xml:space="preserve"> or </w:t>
      </w:r>
      <w:r w:rsidRPr="00085221">
        <w:rPr>
          <w:szCs w:val="22"/>
        </w:rPr>
        <w:t>(202) 418-2</w:t>
      </w:r>
      <w:r w:rsidRPr="00085221" w:rsidR="00023044">
        <w:rPr>
          <w:szCs w:val="22"/>
        </w:rPr>
        <w:t>120</w:t>
      </w:r>
      <w:r w:rsidRPr="00085221">
        <w:rPr>
          <w:szCs w:val="22"/>
        </w:rPr>
        <w:t xml:space="preserve">.  Press inquiries should be directed to </w:t>
      </w:r>
      <w:bookmarkStart w:id="0" w:name="SR;1105"/>
      <w:bookmarkEnd w:id="0"/>
      <w:r w:rsidRPr="00085221">
        <w:rPr>
          <w:rStyle w:val="searchterm"/>
          <w:szCs w:val="22"/>
        </w:rPr>
        <w:t>Janice Wise</w:t>
      </w:r>
      <w:r w:rsidRPr="00085221">
        <w:rPr>
          <w:szCs w:val="22"/>
        </w:rPr>
        <w:t>, (202) 418-8165.</w:t>
      </w:r>
    </w:p>
    <w:p w:rsidR="009A06F8" w:rsidRPr="00085221" w:rsidP="009A06F8" w14:paraId="5603F4BB" w14:textId="77777777">
      <w:pPr>
        <w:rPr>
          <w:szCs w:val="22"/>
        </w:rPr>
      </w:pPr>
    </w:p>
    <w:p w:rsidR="00930ECF" w:rsidRPr="00085221" w:rsidP="007E301D" w14:paraId="70D08D36" w14:textId="77777777">
      <w:pPr>
        <w:jc w:val="center"/>
        <w:rPr>
          <w:b/>
          <w:szCs w:val="22"/>
        </w:rPr>
      </w:pPr>
      <w:r w:rsidRPr="00085221">
        <w:rPr>
          <w:szCs w:val="22"/>
        </w:rPr>
        <w:t>--FCC--</w:t>
      </w: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51E9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B6C99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71689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E2AE2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A4D" w14:paraId="6A73B27D" w14:textId="77777777">
      <w:r>
        <w:separator/>
      </w:r>
    </w:p>
  </w:footnote>
  <w:footnote w:type="continuationSeparator" w:id="1">
    <w:p w:rsidR="002B0A4D" w14:paraId="772FBAE8" w14:textId="77777777">
      <w:pPr>
        <w:rPr>
          <w:sz w:val="20"/>
        </w:rPr>
      </w:pPr>
      <w:r>
        <w:rPr>
          <w:sz w:val="20"/>
        </w:rPr>
        <w:t xml:space="preserve">(Continued from previous page)  </w:t>
      </w:r>
      <w:r>
        <w:rPr>
          <w:sz w:val="20"/>
        </w:rPr>
        <w:separator/>
      </w:r>
    </w:p>
  </w:footnote>
  <w:footnote w:type="continuationNotice" w:id="2">
    <w:p w:rsidR="002B0A4D" w:rsidP="00910F12" w14:paraId="253514A5" w14:textId="77777777">
      <w:pPr>
        <w:jc w:val="right"/>
        <w:rPr>
          <w:sz w:val="20"/>
        </w:rPr>
      </w:pPr>
      <w:r>
        <w:rPr>
          <w:sz w:val="20"/>
        </w:rPr>
        <w:t>(continued….)</w:t>
      </w:r>
    </w:p>
  </w:footnote>
  <w:footnote w:id="3">
    <w:p w:rsidR="00980522" w:rsidRPr="00900AC7" w14:paraId="2F95CB2F" w14:textId="3099B6A4">
      <w:pPr>
        <w:pStyle w:val="FootnoteText"/>
      </w:pPr>
      <w:r>
        <w:rPr>
          <w:rStyle w:val="FootnoteReference"/>
        </w:rPr>
        <w:footnoteRef/>
      </w:r>
      <w:r>
        <w:t xml:space="preserve"> </w:t>
      </w:r>
      <w:r w:rsidRPr="00900AC7">
        <w:rPr>
          <w:i/>
          <w:iCs/>
        </w:rPr>
        <w:t>Media Bureau Seeks Comment on Whether to Extend the Effective Date of New Truth-in-Billing Requirements in the Television Viewer Protection Act of 2019</w:t>
      </w:r>
      <w:r w:rsidRPr="00900AC7">
        <w:t xml:space="preserve">, MB Docket No. 20-61, Public Notice, DA 20-203 (MB Feb. 27, 2020), available at </w:t>
      </w:r>
      <w:hyperlink r:id="rId1" w:history="1">
        <w:r w:rsidRPr="00900AC7">
          <w:rPr>
            <w:rStyle w:val="Hyperlink"/>
          </w:rPr>
          <w:t>https://docs.fcc.gov/public/attachments/DA-20-203A1.docx</w:t>
        </w:r>
      </w:hyperlink>
      <w:r w:rsidRPr="00900AC7" w:rsidR="00CB7518">
        <w:t xml:space="preserve"> (</w:t>
      </w:r>
      <w:r w:rsidRPr="00900AC7" w:rsidR="00CB7518">
        <w:rPr>
          <w:i/>
          <w:iCs/>
        </w:rPr>
        <w:t>Public Notice</w:t>
      </w:r>
      <w:r w:rsidRPr="00900AC7" w:rsidR="00CB7518">
        <w:t>).</w:t>
      </w:r>
      <w:r w:rsidRPr="00900AC7">
        <w:t xml:space="preserve"> </w:t>
      </w:r>
    </w:p>
  </w:footnote>
  <w:footnote w:id="4">
    <w:p w:rsidR="00AE6123" w:rsidRPr="00900AC7" w14:paraId="573790EB" w14:textId="0EA35F81">
      <w:pPr>
        <w:pStyle w:val="FootnoteText"/>
        <w:rPr>
          <w:iCs/>
        </w:rPr>
      </w:pPr>
      <w:r w:rsidRPr="00900AC7">
        <w:rPr>
          <w:rStyle w:val="FootnoteReference"/>
          <w:sz w:val="20"/>
        </w:rPr>
        <w:footnoteRef/>
      </w:r>
      <w:r w:rsidRPr="00900AC7" w:rsidR="0085174B">
        <w:t xml:space="preserve"> </w:t>
      </w:r>
      <w:r w:rsidRPr="00900AC7" w:rsidR="00980522">
        <w:t xml:space="preserve">The Television Viewer Protection Act of 2019, Pub. L. No. 116-94, 133 Stat. 2534 (2019).  </w:t>
      </w:r>
      <w:r w:rsidRPr="00900AC7" w:rsidR="0085174B">
        <w:t xml:space="preserve">Section 642 requires multichannel video programming distributors (MVPDs) to “give consumers a breakdown of all charges related to the MVPD’s video service” before entering into a contract with a consumer for service, and also gives consumers 24 hours in which to cancel such service without penalty.  </w:t>
      </w:r>
      <w:r w:rsidRPr="00900AC7" w:rsidR="00980522">
        <w:rPr>
          <w:i/>
          <w:iCs/>
        </w:rPr>
        <w:t xml:space="preserve">See </w:t>
      </w:r>
      <w:r w:rsidRPr="00900AC7" w:rsidR="00980522">
        <w:t>H.R. Rep. No. 116-329, 116</w:t>
      </w:r>
      <w:r w:rsidRPr="00900AC7" w:rsidR="00980522">
        <w:rPr>
          <w:vertAlign w:val="superscript"/>
        </w:rPr>
        <w:t>th</w:t>
      </w:r>
      <w:r w:rsidRPr="00900AC7" w:rsidR="00980522">
        <w:t xml:space="preserve"> Cong., 1</w:t>
      </w:r>
      <w:r w:rsidRPr="00900AC7" w:rsidR="00980522">
        <w:rPr>
          <w:vertAlign w:val="superscript"/>
        </w:rPr>
        <w:t>st</w:t>
      </w:r>
      <w:r w:rsidRPr="00900AC7" w:rsidR="00980522">
        <w:t xml:space="preserve"> Sess. 2019 at 4. </w:t>
      </w:r>
      <w:r w:rsidRPr="00900AC7" w:rsidR="0085174B">
        <w:t>In addition, section 642 requires greater transparency in electronic bills and prohibits MVPDs and providers of fixed broadband Internet access service from charging consumers for equipment they do not provide.</w:t>
      </w:r>
      <w:r w:rsidRPr="00900AC7" w:rsidR="00980522">
        <w:t xml:space="preserve">  </w:t>
      </w:r>
      <w:r w:rsidRPr="00900AC7" w:rsidR="00980522">
        <w:rPr>
          <w:i/>
          <w:iCs/>
        </w:rPr>
        <w:t>Id.</w:t>
      </w:r>
      <w:r w:rsidRPr="00900AC7" w:rsidR="0085174B">
        <w:t xml:space="preserve">  </w:t>
      </w:r>
    </w:p>
  </w:footnote>
  <w:footnote w:id="5">
    <w:p w:rsidR="00980522" w:rsidRPr="00900AC7" w14:paraId="1A5EFD4C" w14:textId="706E44EB">
      <w:pPr>
        <w:pStyle w:val="FootnoteText"/>
      </w:pPr>
      <w:r w:rsidRPr="00900AC7">
        <w:rPr>
          <w:rStyle w:val="FootnoteReference"/>
          <w:sz w:val="20"/>
        </w:rPr>
        <w:footnoteRef/>
      </w:r>
      <w:r w:rsidRPr="00900AC7">
        <w:t xml:space="preserve"> </w:t>
      </w:r>
      <w:r w:rsidRPr="00900AC7" w:rsidR="00CB7518">
        <w:rPr>
          <w:i/>
          <w:iCs/>
        </w:rPr>
        <w:t xml:space="preserve">See </w:t>
      </w:r>
      <w:r w:rsidRPr="00900AC7">
        <w:rPr>
          <w:iCs/>
        </w:rPr>
        <w:t xml:space="preserve">TVPA, </w:t>
      </w:r>
      <w:r w:rsidRPr="00900AC7">
        <w:t>§ 1004(b).</w:t>
      </w:r>
    </w:p>
  </w:footnote>
  <w:footnote w:id="6">
    <w:p w:rsidR="005E321F" w:rsidRPr="00900AC7" w14:paraId="2BF1FE3A" w14:textId="514F4306">
      <w:pPr>
        <w:pStyle w:val="FootnoteText"/>
      </w:pPr>
      <w:r w:rsidRPr="00900AC7">
        <w:rPr>
          <w:rStyle w:val="FootnoteReference"/>
          <w:sz w:val="20"/>
        </w:rPr>
        <w:footnoteRef/>
      </w:r>
      <w:r w:rsidRPr="00900AC7">
        <w:t xml:space="preserve"> </w:t>
      </w:r>
      <w:r w:rsidRPr="00900AC7">
        <w:rPr>
          <w:i/>
          <w:iCs/>
        </w:rPr>
        <w:t xml:space="preserve">Public Notice </w:t>
      </w:r>
      <w:r w:rsidRPr="00900AC7">
        <w:t>at 1-2.</w:t>
      </w:r>
    </w:p>
  </w:footnote>
  <w:footnote w:id="7">
    <w:p w:rsidR="00CB7518" w:rsidRPr="00900AC7" w14:paraId="4FB72F09" w14:textId="56129E64">
      <w:pPr>
        <w:pStyle w:val="FootnoteText"/>
      </w:pPr>
      <w:r w:rsidRPr="00900AC7">
        <w:rPr>
          <w:rStyle w:val="FootnoteReference"/>
          <w:sz w:val="20"/>
        </w:rPr>
        <w:footnoteRef/>
      </w:r>
      <w:r w:rsidRPr="00900AC7">
        <w:t xml:space="preserve"> </w:t>
      </w:r>
      <w:r w:rsidRPr="00900AC7" w:rsidR="005E321F">
        <w:rPr>
          <w:i/>
          <w:iCs/>
        </w:rPr>
        <w:t>Id.</w:t>
      </w:r>
      <w:r w:rsidRPr="00900AC7">
        <w:t xml:space="preserve"> at 1.</w:t>
      </w:r>
    </w:p>
  </w:footnote>
  <w:footnote w:id="8">
    <w:p w:rsidR="009A06F8" w:rsidRPr="00900AC7" w:rsidP="009A06F8" w14:paraId="0B7CE215" w14:textId="551DAC5F">
      <w:pPr>
        <w:pStyle w:val="FootnoteText"/>
      </w:pPr>
      <w:r w:rsidRPr="00900AC7">
        <w:rPr>
          <w:rStyle w:val="FootnoteReference"/>
          <w:sz w:val="20"/>
        </w:rPr>
        <w:footnoteRef/>
      </w:r>
      <w:r w:rsidRPr="00900AC7">
        <w:t xml:space="preserve"> </w:t>
      </w:r>
      <w:r w:rsidRPr="00900AC7" w:rsidR="00FB0AF6">
        <w:rPr>
          <w:i/>
          <w:iCs/>
        </w:rPr>
        <w:t xml:space="preserve">See </w:t>
      </w:r>
      <w:hyperlink r:id="rId2" w:history="1">
        <w:r w:rsidRPr="00900AC7" w:rsidR="00430CAD">
          <w:rPr>
            <w:rStyle w:val="Hyperlink"/>
            <w:snapToGrid w:val="0"/>
            <w:kern w:val="28"/>
          </w:rPr>
          <w:t>https://www.federalregister.gov/documents/2020/03/16/2020-05284/media-bureau-seeks-comment-on-whether-to-extend-the-effective-date-of-new-truth-in-billing</w:t>
        </w:r>
      </w:hyperlink>
      <w:r w:rsidRPr="00900AC7" w:rsidR="00430CAD">
        <w:rPr>
          <w:snapToGrid w:val="0"/>
          <w:color w:val="0000FF"/>
          <w:kern w:val="28"/>
          <w:u w:val="single"/>
        </w:rPr>
        <w:t>.</w:t>
      </w:r>
    </w:p>
  </w:footnote>
  <w:footnote w:id="9">
    <w:p w:rsidR="009A06F8" w:rsidRPr="00900AC7" w:rsidP="009A06F8" w14:paraId="50F9F1E8" w14:textId="140EFA8E">
      <w:pPr>
        <w:pStyle w:val="FootnoteText"/>
      </w:pPr>
      <w:r w:rsidRPr="00900AC7">
        <w:rPr>
          <w:rStyle w:val="FootnoteReference"/>
          <w:sz w:val="20"/>
        </w:rPr>
        <w:footnoteRef/>
      </w:r>
      <w:r w:rsidRPr="00900AC7">
        <w:t xml:space="preserve"> </w:t>
      </w:r>
      <w:r w:rsidRPr="00900AC7" w:rsidR="005E321F">
        <w:rPr>
          <w:i/>
        </w:rPr>
        <w:t>Public Notice</w:t>
      </w:r>
      <w:r w:rsidRPr="00900AC7">
        <w:t xml:space="preserve"> at </w:t>
      </w:r>
      <w:r w:rsidRPr="00900AC7" w:rsidR="005E321F">
        <w:t>2-3</w:t>
      </w:r>
      <w:r w:rsidRPr="00900A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1618" w14:paraId="2ED8B6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F01618" w14:paraId="648A3131" w14:textId="20718035">
    <w:pPr>
      <w:tabs>
        <w:tab w:val="center" w:pos="4680"/>
        <w:tab w:val="right" w:pos="9360"/>
      </w:tabs>
    </w:pPr>
    <w:r w:rsidRPr="009838BC">
      <w:rPr>
        <w:b/>
      </w:rPr>
      <w:tab/>
      <w:t>Federal Communications Commission</w:t>
    </w:r>
    <w:r w:rsidR="00F01618">
      <w:rPr>
        <w:b/>
      </w:rPr>
      <w:tab/>
      <w:t xml:space="preserve">DA </w:t>
    </w:r>
    <w:r w:rsidR="00F01618">
      <w:rPr>
        <w:b/>
      </w:rPr>
      <w:t>20-277</w:t>
    </w:r>
    <w:bookmarkStart w:id="1" w:name="_GoBack"/>
    <w:bookmarkEnd w:id="1"/>
  </w:p>
  <w:p w:rsidR="009838BC" w:rsidRPr="009838BC" w:rsidP="009838BC" w14:paraId="248E00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6AB0888" w14:textId="2DE3BD26">
    <w:pPr>
      <w:spacing w:before="40"/>
      <w:rPr>
        <w:rFonts w:ascii="Arial" w:hAnsi="Arial" w:cs="Arial"/>
        <w:b/>
        <w:sz w:val="20"/>
      </w:rPr>
    </w:pPr>
    <w:r>
      <w:rPr>
        <w:rFonts w:ascii="Arial" w:hAnsi="Arial" w:cs="Arial"/>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A1B78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64DBDD2" w14:textId="77777777">
                    <w:pPr>
                      <w:rPr>
                        <w:rFonts w:ascii="Arial" w:hAnsi="Arial"/>
                        <w:b/>
                      </w:rPr>
                    </w:pPr>
                    <w:r>
                      <w:rPr>
                        <w:rFonts w:ascii="Arial" w:hAnsi="Arial"/>
                        <w:b/>
                      </w:rPr>
                      <w:t>Federal Communications Commission</w:t>
                    </w:r>
                  </w:p>
                  <w:p w:rsidR="009838BC" w:rsidP="009838BC" w14:paraId="1F780F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C062ED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00A385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97CB369" w14:textId="77777777">
                    <w:pPr>
                      <w:spacing w:before="40"/>
                      <w:jc w:val="right"/>
                      <w:rPr>
                        <w:rFonts w:ascii="Arial" w:hAnsi="Arial"/>
                        <w:b/>
                        <w:sz w:val="16"/>
                      </w:rPr>
                    </w:pPr>
                    <w:r>
                      <w:rPr>
                        <w:rFonts w:ascii="Arial" w:hAnsi="Arial"/>
                        <w:b/>
                        <w:sz w:val="16"/>
                      </w:rPr>
                      <w:t>News Media Information 202 / 418-0500</w:t>
                    </w:r>
                  </w:p>
                  <w:p w:rsidR="009838BC" w:rsidP="009838BC" w14:paraId="4FFBA4E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3F2F384" w14:textId="77777777">
                    <w:pPr>
                      <w:jc w:val="right"/>
                    </w:pPr>
                    <w:r>
                      <w:rPr>
                        <w:rFonts w:ascii="Arial" w:hAnsi="Arial"/>
                        <w:b/>
                        <w:sz w:val="16"/>
                      </w:rPr>
                      <w:t>TTY: 1-888-835-5322</w:t>
                    </w:r>
                  </w:p>
                </w:txbxContent>
              </v:textbox>
            </v:shape>
          </w:pict>
        </mc:Fallback>
      </mc:AlternateContent>
    </w:r>
  </w:p>
  <w:p w:rsidR="006F7393" w:rsidRPr="009838BC" w:rsidP="009838BC" w14:paraId="132139D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23044"/>
    <w:rsid w:val="00036039"/>
    <w:rsid w:val="00037F90"/>
    <w:rsid w:val="00085221"/>
    <w:rsid w:val="000875BF"/>
    <w:rsid w:val="00096D8C"/>
    <w:rsid w:val="000C0B65"/>
    <w:rsid w:val="000C4960"/>
    <w:rsid w:val="000E3D42"/>
    <w:rsid w:val="000E5884"/>
    <w:rsid w:val="00113592"/>
    <w:rsid w:val="00122BD5"/>
    <w:rsid w:val="00130905"/>
    <w:rsid w:val="00160F06"/>
    <w:rsid w:val="001761A9"/>
    <w:rsid w:val="001979D9"/>
    <w:rsid w:val="001C71F6"/>
    <w:rsid w:val="001D6BCF"/>
    <w:rsid w:val="001E01CA"/>
    <w:rsid w:val="002060D9"/>
    <w:rsid w:val="0021217A"/>
    <w:rsid w:val="00226822"/>
    <w:rsid w:val="00232395"/>
    <w:rsid w:val="00260594"/>
    <w:rsid w:val="00285017"/>
    <w:rsid w:val="002A2D2E"/>
    <w:rsid w:val="002B0A4D"/>
    <w:rsid w:val="00305521"/>
    <w:rsid w:val="003137B8"/>
    <w:rsid w:val="00343749"/>
    <w:rsid w:val="00357D50"/>
    <w:rsid w:val="003925DC"/>
    <w:rsid w:val="003B0550"/>
    <w:rsid w:val="003B694F"/>
    <w:rsid w:val="003D11F8"/>
    <w:rsid w:val="003E0821"/>
    <w:rsid w:val="003E69A2"/>
    <w:rsid w:val="003F171C"/>
    <w:rsid w:val="00412FC5"/>
    <w:rsid w:val="00422276"/>
    <w:rsid w:val="004242F1"/>
    <w:rsid w:val="00430CAD"/>
    <w:rsid w:val="00435CB4"/>
    <w:rsid w:val="00445A00"/>
    <w:rsid w:val="00451B0F"/>
    <w:rsid w:val="00453E07"/>
    <w:rsid w:val="0046125F"/>
    <w:rsid w:val="00466418"/>
    <w:rsid w:val="00481BD3"/>
    <w:rsid w:val="00486230"/>
    <w:rsid w:val="00487524"/>
    <w:rsid w:val="00496106"/>
    <w:rsid w:val="004C12D0"/>
    <w:rsid w:val="004C2EE3"/>
    <w:rsid w:val="004E4A22"/>
    <w:rsid w:val="00511968"/>
    <w:rsid w:val="00512593"/>
    <w:rsid w:val="005233F3"/>
    <w:rsid w:val="00550760"/>
    <w:rsid w:val="0055614C"/>
    <w:rsid w:val="005771CC"/>
    <w:rsid w:val="00581FB8"/>
    <w:rsid w:val="005938ED"/>
    <w:rsid w:val="005A53C8"/>
    <w:rsid w:val="005A6CD2"/>
    <w:rsid w:val="005C644D"/>
    <w:rsid w:val="005D009D"/>
    <w:rsid w:val="005E321F"/>
    <w:rsid w:val="00607BA5"/>
    <w:rsid w:val="00626EB6"/>
    <w:rsid w:val="006327DA"/>
    <w:rsid w:val="00632D3F"/>
    <w:rsid w:val="00634516"/>
    <w:rsid w:val="006353A3"/>
    <w:rsid w:val="00635F11"/>
    <w:rsid w:val="00655D03"/>
    <w:rsid w:val="00683F84"/>
    <w:rsid w:val="006A6A81"/>
    <w:rsid w:val="006D66CC"/>
    <w:rsid w:val="006E26AF"/>
    <w:rsid w:val="006E6708"/>
    <w:rsid w:val="006F7393"/>
    <w:rsid w:val="0070224F"/>
    <w:rsid w:val="007115F7"/>
    <w:rsid w:val="0075084D"/>
    <w:rsid w:val="00785689"/>
    <w:rsid w:val="0079754B"/>
    <w:rsid w:val="007A1E6D"/>
    <w:rsid w:val="007D3ED8"/>
    <w:rsid w:val="007E301D"/>
    <w:rsid w:val="008018C8"/>
    <w:rsid w:val="00822CE0"/>
    <w:rsid w:val="00832C65"/>
    <w:rsid w:val="00837C62"/>
    <w:rsid w:val="00841AB1"/>
    <w:rsid w:val="0085174B"/>
    <w:rsid w:val="00871707"/>
    <w:rsid w:val="008C22FD"/>
    <w:rsid w:val="008F34F9"/>
    <w:rsid w:val="00900AC7"/>
    <w:rsid w:val="00910F12"/>
    <w:rsid w:val="00917887"/>
    <w:rsid w:val="00926503"/>
    <w:rsid w:val="00930ECF"/>
    <w:rsid w:val="00935EFC"/>
    <w:rsid w:val="00975DA6"/>
    <w:rsid w:val="00980522"/>
    <w:rsid w:val="009838BC"/>
    <w:rsid w:val="009A0018"/>
    <w:rsid w:val="009A06F8"/>
    <w:rsid w:val="009D4FD1"/>
    <w:rsid w:val="009E20A9"/>
    <w:rsid w:val="00A45F4F"/>
    <w:rsid w:val="00A600A9"/>
    <w:rsid w:val="00A66F4D"/>
    <w:rsid w:val="00A866AC"/>
    <w:rsid w:val="00AA55B7"/>
    <w:rsid w:val="00AA5B9E"/>
    <w:rsid w:val="00AA6D52"/>
    <w:rsid w:val="00AB2407"/>
    <w:rsid w:val="00AB53DF"/>
    <w:rsid w:val="00AE6123"/>
    <w:rsid w:val="00AE6264"/>
    <w:rsid w:val="00B07E5C"/>
    <w:rsid w:val="00B20363"/>
    <w:rsid w:val="00B326E3"/>
    <w:rsid w:val="00B75E2E"/>
    <w:rsid w:val="00B811F7"/>
    <w:rsid w:val="00B87A03"/>
    <w:rsid w:val="00BA5DC6"/>
    <w:rsid w:val="00BA6196"/>
    <w:rsid w:val="00BB13FB"/>
    <w:rsid w:val="00BC6D8C"/>
    <w:rsid w:val="00BE5545"/>
    <w:rsid w:val="00BF3FA8"/>
    <w:rsid w:val="00C16AF2"/>
    <w:rsid w:val="00C34006"/>
    <w:rsid w:val="00C426B1"/>
    <w:rsid w:val="00C73012"/>
    <w:rsid w:val="00C82B6B"/>
    <w:rsid w:val="00C90D6A"/>
    <w:rsid w:val="00CA644A"/>
    <w:rsid w:val="00CB7518"/>
    <w:rsid w:val="00CC72B6"/>
    <w:rsid w:val="00CF485E"/>
    <w:rsid w:val="00CF53D2"/>
    <w:rsid w:val="00D0218D"/>
    <w:rsid w:val="00D216CD"/>
    <w:rsid w:val="00D37E32"/>
    <w:rsid w:val="00D5343F"/>
    <w:rsid w:val="00D94A9D"/>
    <w:rsid w:val="00D95A5C"/>
    <w:rsid w:val="00DA11E8"/>
    <w:rsid w:val="00DA2529"/>
    <w:rsid w:val="00DB130A"/>
    <w:rsid w:val="00DC10A1"/>
    <w:rsid w:val="00DC655F"/>
    <w:rsid w:val="00DD7EBD"/>
    <w:rsid w:val="00DF3F27"/>
    <w:rsid w:val="00DF62B6"/>
    <w:rsid w:val="00E07225"/>
    <w:rsid w:val="00E155B7"/>
    <w:rsid w:val="00E50A5D"/>
    <w:rsid w:val="00E5409F"/>
    <w:rsid w:val="00EB65AC"/>
    <w:rsid w:val="00EB73A5"/>
    <w:rsid w:val="00EC0185"/>
    <w:rsid w:val="00EF7A4F"/>
    <w:rsid w:val="00F01618"/>
    <w:rsid w:val="00F021FA"/>
    <w:rsid w:val="00F32DCE"/>
    <w:rsid w:val="00F57ACA"/>
    <w:rsid w:val="00F62E97"/>
    <w:rsid w:val="00F64209"/>
    <w:rsid w:val="00F73951"/>
    <w:rsid w:val="00F74236"/>
    <w:rsid w:val="00F93BF5"/>
    <w:rsid w:val="00F96F63"/>
    <w:rsid w:val="00FA24CA"/>
    <w:rsid w:val="00FA42D2"/>
    <w:rsid w:val="00FB0AF6"/>
    <w:rsid w:val="00FB5766"/>
    <w:rsid w:val="00FC2559"/>
    <w:rsid w:val="00FF2D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9A06F8"/>
  </w:style>
  <w:style w:type="character" w:customStyle="1" w:styleId="UnresolvedMention1">
    <w:name w:val="Unresolved Mention1"/>
    <w:basedOn w:val="DefaultParagraphFont"/>
    <w:uiPriority w:val="99"/>
    <w:semiHidden/>
    <w:unhideWhenUsed/>
    <w:rsid w:val="00632D3F"/>
    <w:rPr>
      <w:color w:val="605E5C"/>
      <w:shd w:val="clear" w:color="auto" w:fill="E1DFDD"/>
    </w:rPr>
  </w:style>
  <w:style w:type="character" w:customStyle="1" w:styleId="UnresolvedMention">
    <w:name w:val="Unresolved Mention"/>
    <w:basedOn w:val="DefaultParagraphFont"/>
    <w:uiPriority w:val="99"/>
    <w:rsid w:val="00FF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elynn.Remy@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20-203A1.docx" TargetMode="External" /><Relationship Id="rId2" Type="http://schemas.openxmlformats.org/officeDocument/2006/relationships/hyperlink" Target="https://www.federalregister.gov/documents/2020/03/16/2020-05284/media-bureau-seeks-comment-on-whether-to-extend-the-effective-date-of-new-truth-in-billing"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