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15D20" w14:paraId="3D75F979" w14:textId="77777777">
      <w:pPr>
        <w:rPr>
          <w:rFonts w:ascii="Times New Roman" w:eastAsia="Times New Roman" w:hAnsi="Times New Roman" w:cs="Times New Roman"/>
          <w:sz w:val="20"/>
          <w:szCs w:val="20"/>
        </w:rPr>
      </w:pPr>
    </w:p>
    <w:p w:rsidR="00715D20" w14:paraId="71F06F72" w14:textId="77777777">
      <w:pPr>
        <w:spacing w:before="196" w:line="320" w:lineRule="exact"/>
        <w:ind w:left="3408" w:right="2779"/>
        <w:jc w:val="center"/>
        <w:rPr>
          <w:rFonts w:ascii="Times New Roman" w:eastAsia="Times New Roman" w:hAnsi="Times New Roman" w:cs="Times New Roman"/>
          <w:sz w:val="28"/>
          <w:szCs w:val="28"/>
        </w:rPr>
      </w:pPr>
      <w:r>
        <w:rPr>
          <w:noProof/>
        </w:rPr>
        <w:drawing>
          <wp:anchor distT="0" distB="0" distL="114300" distR="114300" simplePos="0" relativeHeight="251658240" behindDoc="0" locked="0" layoutInCell="1" allowOverlap="1">
            <wp:simplePos x="0" y="0"/>
            <wp:positionH relativeFrom="page">
              <wp:posOffset>510540</wp:posOffset>
            </wp:positionH>
            <wp:positionV relativeFrom="paragraph">
              <wp:posOffset>-93980</wp:posOffset>
            </wp:positionV>
            <wp:extent cx="864235" cy="8229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22269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64235" cy="8229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color w:val="242021"/>
          <w:spacing w:val="-1"/>
          <w:sz w:val="28"/>
        </w:rPr>
        <w:t>Federal Communications Commission</w:t>
      </w:r>
      <w:r>
        <w:rPr>
          <w:rFonts w:ascii="Times New Roman"/>
          <w:color w:val="242021"/>
          <w:spacing w:val="22"/>
          <w:sz w:val="28"/>
        </w:rPr>
        <w:t xml:space="preserve"> </w:t>
      </w:r>
      <w:r>
        <w:rPr>
          <w:rFonts w:ascii="Times New Roman"/>
          <w:color w:val="242021"/>
          <w:spacing w:val="-1"/>
          <w:sz w:val="28"/>
        </w:rPr>
        <w:t>Washington,</w:t>
      </w:r>
      <w:r>
        <w:rPr>
          <w:rFonts w:ascii="Times New Roman"/>
          <w:color w:val="242021"/>
          <w:spacing w:val="-2"/>
          <w:sz w:val="28"/>
        </w:rPr>
        <w:t xml:space="preserve"> </w:t>
      </w:r>
      <w:r>
        <w:rPr>
          <w:rFonts w:ascii="Times New Roman"/>
          <w:color w:val="242021"/>
          <w:spacing w:val="-1"/>
          <w:sz w:val="28"/>
        </w:rPr>
        <w:t>D.C. 20554</w:t>
      </w:r>
    </w:p>
    <w:p w:rsidR="00715D20" w:rsidP="00715D20" w14:paraId="2FF06D1D" w14:textId="54A998E9">
      <w:pPr>
        <w:pStyle w:val="Heading1"/>
        <w:tabs>
          <w:tab w:val="center" w:pos="5562"/>
          <w:tab w:val="left" w:pos="8280"/>
          <w:tab w:val="right" w:pos="8524"/>
        </w:tabs>
        <w:spacing w:before="249"/>
        <w:ind w:right="1976"/>
      </w:pPr>
      <w:r>
        <w:rPr>
          <w:color w:val="242021"/>
        </w:rPr>
        <w:tab/>
      </w:r>
      <w:r w:rsidR="00562EE0">
        <w:rPr>
          <w:color w:val="242021"/>
        </w:rPr>
        <w:t>March 16</w:t>
      </w:r>
      <w:r>
        <w:rPr>
          <w:color w:val="242021"/>
        </w:rPr>
        <w:t>, 20</w:t>
      </w:r>
      <w:r w:rsidR="004C6A90">
        <w:rPr>
          <w:color w:val="242021"/>
        </w:rPr>
        <w:t>20</w:t>
      </w:r>
    </w:p>
    <w:p w:rsidR="00715D20" w14:paraId="3596BF63" w14:textId="77777777">
      <w:pPr>
        <w:spacing w:before="5"/>
        <w:rPr>
          <w:rFonts w:ascii="Times New Roman" w:eastAsia="Times New Roman" w:hAnsi="Times New Roman" w:cs="Times New Roman"/>
          <w:sz w:val="14"/>
          <w:szCs w:val="14"/>
        </w:rPr>
      </w:pPr>
    </w:p>
    <w:p w:rsidR="00715D20" w14:paraId="7339083C" w14:textId="70142C80">
      <w:pPr>
        <w:spacing w:before="69"/>
        <w:ind w:right="111"/>
        <w:jc w:val="right"/>
        <w:rPr>
          <w:rFonts w:ascii="Times New Roman" w:eastAsia="Times New Roman" w:hAnsi="Times New Roman" w:cs="Times New Roman"/>
          <w:sz w:val="24"/>
          <w:szCs w:val="24"/>
        </w:rPr>
      </w:pPr>
      <w:r w:rsidRPr="00FB077F">
        <w:rPr>
          <w:rFonts w:ascii="Times New Roman"/>
          <w:b/>
          <w:color w:val="242021"/>
          <w:spacing w:val="-1"/>
          <w:sz w:val="24"/>
        </w:rPr>
        <w:t xml:space="preserve">DA </w:t>
      </w:r>
      <w:r w:rsidR="00562EE0">
        <w:rPr>
          <w:rFonts w:ascii="Times New Roman"/>
          <w:b/>
          <w:color w:val="242021"/>
          <w:spacing w:val="-1"/>
          <w:sz w:val="24"/>
        </w:rPr>
        <w:t>20</w:t>
      </w:r>
      <w:r w:rsidRPr="00FB077F">
        <w:rPr>
          <w:rFonts w:ascii="Times New Roman"/>
          <w:b/>
          <w:color w:val="242021"/>
          <w:spacing w:val="-1"/>
          <w:sz w:val="24"/>
        </w:rPr>
        <w:t>-</w:t>
      </w:r>
      <w:r w:rsidR="00562EE0">
        <w:rPr>
          <w:rFonts w:ascii="Times New Roman"/>
          <w:b/>
          <w:color w:val="242021"/>
          <w:spacing w:val="-1"/>
          <w:sz w:val="24"/>
        </w:rPr>
        <w:t>284</w:t>
      </w:r>
    </w:p>
    <w:p w:rsidR="00715D20" w14:paraId="6DFDECBE" w14:textId="77777777">
      <w:pPr>
        <w:rPr>
          <w:rFonts w:ascii="Times New Roman" w:eastAsia="Times New Roman" w:hAnsi="Times New Roman" w:cs="Times New Roman"/>
          <w:b/>
          <w:bCs/>
          <w:sz w:val="20"/>
          <w:szCs w:val="20"/>
        </w:rPr>
      </w:pPr>
    </w:p>
    <w:p w:rsidR="00715D20" w14:paraId="4170141C" w14:textId="77777777">
      <w:pPr>
        <w:rPr>
          <w:rFonts w:ascii="Times New Roman" w:eastAsia="Times New Roman" w:hAnsi="Times New Roman" w:cs="Times New Roman"/>
          <w:b/>
          <w:bCs/>
          <w:sz w:val="20"/>
          <w:szCs w:val="20"/>
        </w:rPr>
      </w:pPr>
    </w:p>
    <w:p w:rsidR="00715D20" w14:paraId="03C03CFC" w14:textId="77777777">
      <w:pPr>
        <w:spacing w:before="184"/>
        <w:ind w:left="2601" w:right="1974"/>
        <w:jc w:val="center"/>
        <w:rPr>
          <w:rFonts w:ascii="Times New Roman" w:eastAsia="Times New Roman" w:hAnsi="Times New Roman" w:cs="Times New Roman"/>
          <w:sz w:val="36"/>
          <w:szCs w:val="36"/>
        </w:rPr>
      </w:pPr>
      <w:r>
        <w:rPr>
          <w:rFonts w:ascii="Times New Roman"/>
          <w:b/>
          <w:color w:val="242021"/>
          <w:spacing w:val="-1"/>
          <w:sz w:val="36"/>
        </w:rPr>
        <w:t>Small</w:t>
      </w:r>
      <w:r>
        <w:rPr>
          <w:rFonts w:ascii="Times New Roman"/>
          <w:b/>
          <w:color w:val="242021"/>
          <w:spacing w:val="-15"/>
          <w:sz w:val="36"/>
        </w:rPr>
        <w:t xml:space="preserve"> </w:t>
      </w:r>
      <w:r>
        <w:rPr>
          <w:rFonts w:ascii="Times New Roman"/>
          <w:b/>
          <w:color w:val="242021"/>
          <w:spacing w:val="-1"/>
          <w:sz w:val="36"/>
        </w:rPr>
        <w:t>Entity</w:t>
      </w:r>
      <w:r>
        <w:rPr>
          <w:rFonts w:ascii="Times New Roman"/>
          <w:b/>
          <w:color w:val="242021"/>
          <w:spacing w:val="-14"/>
          <w:sz w:val="36"/>
        </w:rPr>
        <w:t xml:space="preserve"> </w:t>
      </w:r>
      <w:r>
        <w:rPr>
          <w:rFonts w:ascii="Times New Roman"/>
          <w:b/>
          <w:color w:val="242021"/>
          <w:spacing w:val="-1"/>
          <w:sz w:val="36"/>
        </w:rPr>
        <w:t>Compliance</w:t>
      </w:r>
      <w:r>
        <w:rPr>
          <w:rFonts w:ascii="Times New Roman"/>
          <w:b/>
          <w:color w:val="242021"/>
          <w:spacing w:val="-14"/>
          <w:sz w:val="36"/>
        </w:rPr>
        <w:t xml:space="preserve"> </w:t>
      </w:r>
      <w:r>
        <w:rPr>
          <w:rFonts w:ascii="Times New Roman"/>
          <w:b/>
          <w:color w:val="242021"/>
          <w:spacing w:val="-1"/>
          <w:sz w:val="36"/>
        </w:rPr>
        <w:t>Guide</w:t>
      </w:r>
      <w:bookmarkStart w:id="0" w:name="_GoBack"/>
      <w:bookmarkEnd w:id="0"/>
    </w:p>
    <w:p w:rsidR="00715D20" w14:paraId="00F0359D" w14:textId="77777777">
      <w:pPr>
        <w:spacing w:before="277"/>
        <w:ind w:left="2601" w:right="1976"/>
        <w:jc w:val="center"/>
        <w:rPr>
          <w:rFonts w:ascii="Times New Roman" w:eastAsia="Times New Roman" w:hAnsi="Times New Roman" w:cs="Times New Roman"/>
          <w:sz w:val="28"/>
          <w:szCs w:val="28"/>
        </w:rPr>
      </w:pPr>
      <w:r w:rsidRPr="00A26A99">
        <w:rPr>
          <w:rFonts w:ascii="Times New Roman"/>
          <w:b/>
          <w:color w:val="242021"/>
          <w:spacing w:val="-1"/>
          <w:sz w:val="28"/>
        </w:rPr>
        <w:t>Updating the Intercarrier Compensation Regime to Eliminate Access Arbitrage</w:t>
      </w:r>
    </w:p>
    <w:p w:rsidR="00715D20" w:rsidRPr="00E865E8" w14:paraId="1A458601" w14:textId="5DCF2CDE">
      <w:pPr>
        <w:pStyle w:val="Heading1"/>
        <w:spacing w:before="245"/>
        <w:ind w:right="1976"/>
        <w:jc w:val="center"/>
        <w:rPr>
          <w:b/>
        </w:rPr>
      </w:pPr>
      <w:r w:rsidRPr="00FB077F">
        <w:rPr>
          <w:b/>
          <w:color w:val="242021"/>
          <w:spacing w:val="-2"/>
        </w:rPr>
        <w:t>FCC</w:t>
      </w:r>
      <w:r w:rsidRPr="00FB077F">
        <w:rPr>
          <w:b/>
          <w:color w:val="242021"/>
          <w:spacing w:val="-5"/>
        </w:rPr>
        <w:t xml:space="preserve"> </w:t>
      </w:r>
      <w:r w:rsidRPr="00FB077F" w:rsidR="00FB077F">
        <w:rPr>
          <w:b/>
          <w:color w:val="242021"/>
          <w:spacing w:val="-3"/>
        </w:rPr>
        <w:t>19</w:t>
      </w:r>
      <w:r w:rsidRPr="00FB077F">
        <w:rPr>
          <w:b/>
          <w:color w:val="242021"/>
          <w:spacing w:val="-3"/>
        </w:rPr>
        <w:t>-</w:t>
      </w:r>
      <w:r w:rsidRPr="00FB077F" w:rsidR="00FB077F">
        <w:rPr>
          <w:b/>
          <w:color w:val="242021"/>
          <w:spacing w:val="-3"/>
        </w:rPr>
        <w:t>94</w:t>
      </w:r>
    </w:p>
    <w:p w:rsidR="00715D20" w:rsidRPr="00E865E8" w14:paraId="78329027" w14:textId="77777777">
      <w:pPr>
        <w:ind w:left="4390" w:right="3762" w:firstLine="2"/>
        <w:jc w:val="center"/>
        <w:rPr>
          <w:rFonts w:ascii="Times New Roman"/>
          <w:b/>
          <w:color w:val="242021"/>
          <w:spacing w:val="-7"/>
          <w:sz w:val="24"/>
        </w:rPr>
      </w:pPr>
      <w:r>
        <w:rPr>
          <w:rFonts w:ascii="Times New Roman"/>
          <w:b/>
          <w:color w:val="242021"/>
          <w:spacing w:val="-2"/>
          <w:sz w:val="24"/>
        </w:rPr>
        <w:t>WC</w:t>
      </w:r>
      <w:r w:rsidRPr="00E865E8">
        <w:rPr>
          <w:rFonts w:ascii="Times New Roman"/>
          <w:b/>
          <w:color w:val="242021"/>
          <w:spacing w:val="-8"/>
          <w:sz w:val="24"/>
        </w:rPr>
        <w:t xml:space="preserve"> </w:t>
      </w:r>
      <w:r w:rsidRPr="00E865E8">
        <w:rPr>
          <w:rFonts w:ascii="Times New Roman"/>
          <w:b/>
          <w:color w:val="242021"/>
          <w:spacing w:val="-3"/>
          <w:sz w:val="24"/>
        </w:rPr>
        <w:t>Docket</w:t>
      </w:r>
      <w:r w:rsidRPr="00E865E8">
        <w:rPr>
          <w:rFonts w:ascii="Times New Roman"/>
          <w:b/>
          <w:color w:val="242021"/>
          <w:spacing w:val="-8"/>
          <w:sz w:val="24"/>
        </w:rPr>
        <w:t xml:space="preserve"> </w:t>
      </w:r>
      <w:r w:rsidRPr="00E865E8">
        <w:rPr>
          <w:rFonts w:ascii="Times New Roman"/>
          <w:b/>
          <w:color w:val="242021"/>
          <w:spacing w:val="-2"/>
          <w:sz w:val="24"/>
        </w:rPr>
        <w:t>No.</w:t>
      </w:r>
      <w:r w:rsidRPr="00E865E8">
        <w:rPr>
          <w:rFonts w:ascii="Times New Roman"/>
          <w:b/>
          <w:color w:val="242021"/>
          <w:spacing w:val="-7"/>
          <w:sz w:val="24"/>
        </w:rPr>
        <w:t xml:space="preserve"> </w:t>
      </w:r>
      <w:r w:rsidRPr="00876851" w:rsidR="00876851">
        <w:rPr>
          <w:rFonts w:ascii="Times New Roman"/>
          <w:b/>
          <w:color w:val="242021"/>
          <w:spacing w:val="-7"/>
          <w:sz w:val="24"/>
        </w:rPr>
        <w:t>18</w:t>
      </w:r>
      <w:r w:rsidRPr="00876851" w:rsidR="00DA391B">
        <w:rPr>
          <w:rFonts w:ascii="Times New Roman"/>
          <w:b/>
          <w:color w:val="242021"/>
          <w:spacing w:val="-7"/>
          <w:sz w:val="24"/>
        </w:rPr>
        <w:t>-</w:t>
      </w:r>
      <w:r w:rsidRPr="00876851" w:rsidR="00876851">
        <w:rPr>
          <w:rFonts w:ascii="Times New Roman"/>
          <w:b/>
          <w:color w:val="242021"/>
          <w:spacing w:val="-7"/>
          <w:sz w:val="24"/>
        </w:rPr>
        <w:t>155</w:t>
      </w:r>
    </w:p>
    <w:p w:rsidR="00715D20" w:rsidRPr="00E865E8" w:rsidP="00715D20" w14:paraId="46D131EC" w14:textId="2366EFD1">
      <w:pPr>
        <w:ind w:left="3888" w:right="3312"/>
        <w:jc w:val="center"/>
        <w:rPr>
          <w:rFonts w:ascii="Times New Roman" w:hAnsi="Times New Roman" w:cs="Times New Roman"/>
          <w:b/>
          <w:color w:val="262626" w:themeColor="text1" w:themeTint="D9"/>
          <w:sz w:val="24"/>
          <w:szCs w:val="24"/>
        </w:rPr>
      </w:pPr>
      <w:r w:rsidRPr="00E865E8">
        <w:rPr>
          <w:rFonts w:ascii="Times New Roman" w:hAnsi="Times New Roman" w:cs="Times New Roman"/>
          <w:b/>
          <w:color w:val="262626" w:themeColor="text1" w:themeTint="D9"/>
          <w:sz w:val="24"/>
          <w:szCs w:val="24"/>
        </w:rPr>
        <w:t>Released:</w:t>
      </w:r>
      <w:r w:rsidR="00A25B71">
        <w:rPr>
          <w:rFonts w:ascii="Times New Roman" w:hAnsi="Times New Roman" w:cs="Times New Roman"/>
          <w:b/>
          <w:color w:val="262626" w:themeColor="text1" w:themeTint="D9"/>
          <w:sz w:val="24"/>
          <w:szCs w:val="24"/>
        </w:rPr>
        <w:t xml:space="preserve"> </w:t>
      </w:r>
      <w:r w:rsidRPr="00FB077F" w:rsidR="00FB077F">
        <w:rPr>
          <w:rFonts w:ascii="Times New Roman" w:hAnsi="Times New Roman" w:cs="Times New Roman"/>
          <w:b/>
          <w:color w:val="262626" w:themeColor="text1" w:themeTint="D9"/>
          <w:sz w:val="24"/>
          <w:szCs w:val="24"/>
        </w:rPr>
        <w:t>September 27</w:t>
      </w:r>
      <w:r w:rsidRPr="00FB077F" w:rsidR="00DA391B">
        <w:rPr>
          <w:rFonts w:ascii="Times New Roman" w:hAnsi="Times New Roman" w:cs="Times New Roman"/>
          <w:b/>
          <w:color w:val="262626" w:themeColor="text1" w:themeTint="D9"/>
          <w:sz w:val="24"/>
          <w:szCs w:val="24"/>
        </w:rPr>
        <w:t>, 2019</w:t>
      </w:r>
    </w:p>
    <w:p w:rsidR="00715D20" w14:paraId="627515CE" w14:textId="77777777">
      <w:pPr>
        <w:spacing w:before="8"/>
        <w:rPr>
          <w:rFonts w:ascii="Times New Roman" w:eastAsia="Times New Roman" w:hAnsi="Times New Roman" w:cs="Times New Roman"/>
        </w:rPr>
      </w:pPr>
    </w:p>
    <w:p w:rsidR="00715D20" w:rsidRPr="00511023" w:rsidP="00715D20" w14:paraId="40D26F54" w14:textId="77777777">
      <w:pPr>
        <w:ind w:left="1080"/>
        <w:rPr>
          <w:rFonts w:ascii="Times New Roman" w:hAnsi="Times New Roman" w:cs="Times New Roman"/>
          <w:b/>
        </w:rPr>
      </w:pPr>
      <w:r w:rsidRPr="00B12C82">
        <w:rPr>
          <w:rFonts w:ascii="Times New Roman" w:hAnsi="Times New Roman" w:cs="Times New Roman"/>
          <w:b/>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w:t>
      </w:r>
      <w:r w:rsidRPr="00E2092F">
        <w:rPr>
          <w:rFonts w:ascii="Times New Roman" w:hAnsi="Times New Roman" w:cs="Times New Roman"/>
          <w:b/>
        </w:rPr>
        <w:t xml:space="preserve">revised rules adopted in the above-referenced Federal Communications Commission (FCC or Commission) rulemaking dockets.  This Guide is not intended to replace or supersede these rules, but to facilitate compliance with the rules.  Although we have attempted to cover all parts of the rules that might be especially important to small entities, the coverage may not be exhaustive.  This Guide cannot anticipate all situations in which the rules apply.   Furthermore, the Commission retains the discretion to adopt case-by-case approaches, where appropriate, that may differ from this Guide.  Any decision regarding a </w:t>
      </w:r>
      <w:r w:rsidRPr="00E2092F">
        <w:rPr>
          <w:rFonts w:ascii="Times New Roman" w:hAnsi="Times New Roman" w:cs="Times New Roman"/>
          <w:b/>
        </w:rPr>
        <w:t>particular small</w:t>
      </w:r>
      <w:r w:rsidRPr="00E2092F">
        <w:rPr>
          <w:rFonts w:ascii="Times New Roman" w:hAnsi="Times New Roman" w:cs="Times New Roman"/>
          <w:b/>
        </w:rPr>
        <w:t xml:space="preserve"> entity will be based on the statute and any relevant rules</w:t>
      </w:r>
      <w:r w:rsidRPr="00511023">
        <w:rPr>
          <w:rFonts w:ascii="Times New Roman" w:hAnsi="Times New Roman" w:cs="Times New Roman"/>
          <w:b/>
        </w:rPr>
        <w:t xml:space="preserve">. </w:t>
      </w:r>
    </w:p>
    <w:p w:rsidR="00715D20" w:rsidRPr="00511023" w:rsidP="00715D20" w14:paraId="6405CE24" w14:textId="77777777">
      <w:pPr>
        <w:pStyle w:val="ListParagraph"/>
        <w:ind w:left="1080" w:hanging="1080"/>
        <w:rPr>
          <w:rFonts w:ascii="Times New Roman" w:hAnsi="Times New Roman" w:cs="Times New Roman"/>
          <w:b/>
        </w:rPr>
      </w:pPr>
    </w:p>
    <w:p w:rsidR="00715D20" w:rsidRPr="00511023" w:rsidP="00715D20" w14:paraId="4DC2391B" w14:textId="77777777">
      <w:pPr>
        <w:pStyle w:val="ListParagraph"/>
        <w:ind w:left="1080"/>
        <w:rPr>
          <w:rFonts w:ascii="Times New Roman" w:hAnsi="Times New Roman" w:cs="Times New Roman"/>
          <w:b/>
        </w:rPr>
      </w:pPr>
      <w:r w:rsidRPr="00E2092F">
        <w:rPr>
          <w:rFonts w:ascii="Times New Roman" w:hAnsi="Times New Roman" w:cs="Times New Roman"/>
          <w:b/>
        </w:rPr>
        <w:t xml:space="preserve">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w:t>
      </w:r>
      <w:r w:rsidRPr="00E2092F">
        <w:rPr>
          <w:rFonts w:ascii="Times New Roman" w:hAnsi="Times New Roman" w:cs="Times New Roman"/>
          <w:b/>
        </w:rPr>
        <w:t>particular situation</w:t>
      </w:r>
      <w:r w:rsidRPr="00E2092F">
        <w:rPr>
          <w:rFonts w:ascii="Times New Roman" w:hAnsi="Times New Roman" w:cs="Times New Roman"/>
          <w:b/>
        </w:rPr>
        <w:t>. The FCC will then consider whether the recommendations or interpretations in the Guide are appropriate in that situation.  The FCC may decide to revise this Guide without public notice to reflect changes in the FCC’s approach to implementing a rule, or it may clarify or update the text of the Guide.  Direct your comments and recommendations, or calls for further assistance, to the FCC’s Consumer Center</w:t>
      </w:r>
      <w:r w:rsidRPr="00511023">
        <w:rPr>
          <w:rFonts w:ascii="Times New Roman" w:hAnsi="Times New Roman" w:cs="Times New Roman"/>
          <w:b/>
        </w:rPr>
        <w:t>:</w:t>
      </w:r>
    </w:p>
    <w:p w:rsidR="00715D20" w:rsidRPr="00511023" w:rsidP="00715D20" w14:paraId="2F15AE94" w14:textId="77777777">
      <w:pPr>
        <w:pStyle w:val="ListParagraph"/>
        <w:ind w:left="1080"/>
        <w:rPr>
          <w:rFonts w:ascii="Times New Roman" w:hAnsi="Times New Roman" w:cs="Times New Roman"/>
          <w:b/>
        </w:rPr>
      </w:pPr>
    </w:p>
    <w:p w:rsidR="00715D20" w:rsidRPr="00E2092F" w:rsidP="00715D20" w14:paraId="6DD74193" w14:textId="77777777">
      <w:pPr>
        <w:pStyle w:val="ListParagraph"/>
        <w:ind w:left="1080"/>
        <w:jc w:val="center"/>
        <w:rPr>
          <w:rFonts w:ascii="Times New Roman" w:hAnsi="Times New Roman" w:cs="Times New Roman"/>
          <w:b/>
        </w:rPr>
      </w:pPr>
      <w:r w:rsidRPr="00E2092F">
        <w:rPr>
          <w:rFonts w:ascii="Times New Roman" w:hAnsi="Times New Roman" w:cs="Times New Roman"/>
          <w:b/>
        </w:rPr>
        <w:t>1-888-CALL-FCC (1-888-225-5322)</w:t>
      </w:r>
    </w:p>
    <w:p w:rsidR="00715D20" w:rsidRPr="00E2092F" w:rsidP="00715D20" w14:paraId="75FB8E20" w14:textId="77777777">
      <w:pPr>
        <w:pStyle w:val="ListParagraph"/>
        <w:ind w:left="1080"/>
        <w:jc w:val="center"/>
        <w:rPr>
          <w:rFonts w:ascii="Times New Roman" w:hAnsi="Times New Roman" w:cs="Times New Roman"/>
          <w:b/>
        </w:rPr>
      </w:pPr>
      <w:r w:rsidRPr="00E2092F">
        <w:rPr>
          <w:rFonts w:ascii="Times New Roman" w:hAnsi="Times New Roman" w:cs="Times New Roman"/>
          <w:b/>
        </w:rPr>
        <w:t>TTY: 1-888-TELL-FCC (1-888-835-5322)</w:t>
      </w:r>
    </w:p>
    <w:p w:rsidR="00715D20" w:rsidRPr="00E2092F" w:rsidP="00715D20" w14:paraId="4E8846DA" w14:textId="77777777">
      <w:pPr>
        <w:pStyle w:val="ListParagraph"/>
        <w:ind w:left="1080"/>
        <w:jc w:val="center"/>
        <w:rPr>
          <w:rFonts w:ascii="Times New Roman" w:hAnsi="Times New Roman" w:cs="Times New Roman"/>
          <w:b/>
        </w:rPr>
      </w:pPr>
      <w:r w:rsidRPr="00E2092F">
        <w:rPr>
          <w:rFonts w:ascii="Times New Roman" w:hAnsi="Times New Roman" w:cs="Times New Roman"/>
          <w:b/>
        </w:rPr>
        <w:t>Videophone: 1-844-4-FCC-ASL (1-844-432-2275)</w:t>
      </w:r>
    </w:p>
    <w:p w:rsidR="00715D20" w14:paraId="5D130251" w14:textId="77777777">
      <w:pPr>
        <w:ind w:left="2601" w:right="1973"/>
        <w:jc w:val="center"/>
        <w:rPr>
          <w:rFonts w:ascii="Times New Roman" w:eastAsia="Times New Roman" w:hAnsi="Times New Roman" w:cs="Times New Roman"/>
        </w:rPr>
      </w:pPr>
      <w:r w:rsidRPr="00E2092F">
        <w:rPr>
          <w:rFonts w:ascii="Times New Roman" w:hAnsi="Times New Roman" w:cs="Times New Roman"/>
          <w:b/>
        </w:rPr>
        <w:t>Fax: 1-866-418-0232</w:t>
      </w:r>
    </w:p>
    <w:p w:rsidR="00715D20" w:rsidP="0093243A" w14:paraId="3D4CD78F" w14:textId="77777777">
      <w:pPr>
        <w:rPr>
          <w:rFonts w:ascii="Times New Roman" w:eastAsia="Times New Roman" w:hAnsi="Times New Roman" w:cs="Times New Roman"/>
        </w:rPr>
        <w:sectPr w:rsidSect="00A93705">
          <w:footerReference w:type="default" r:id="rId6"/>
          <w:type w:val="continuous"/>
          <w:pgSz w:w="12240" w:h="15840"/>
          <w:pgMar w:top="640" w:right="1040" w:bottom="280" w:left="700" w:header="720" w:footer="720" w:gutter="0"/>
          <w:cols w:space="720"/>
          <w:titlePg/>
          <w:docGrid w:linePitch="299"/>
        </w:sectPr>
      </w:pPr>
    </w:p>
    <w:p w:rsidR="00715D20" w:rsidRPr="00BB16DF" w:rsidP="00715D20" w14:paraId="4260F752" w14:textId="77777777">
      <w:pPr>
        <w:jc w:val="center"/>
        <w:rPr>
          <w:rFonts w:ascii="Times New Roman" w:hAnsi="Times New Roman" w:cs="Times New Roman"/>
          <w:b/>
          <w:u w:val="single"/>
        </w:rPr>
      </w:pPr>
      <w:r w:rsidRPr="00BB16DF">
        <w:rPr>
          <w:rFonts w:ascii="Times New Roman" w:hAnsi="Times New Roman" w:cs="Times New Roman"/>
          <w:b/>
          <w:u w:val="single"/>
        </w:rPr>
        <w:t>TABLE OF CONTENTS</w:t>
      </w:r>
    </w:p>
    <w:p w:rsidR="00715D20" w:rsidRPr="00BB16DF" w:rsidP="00715D20" w14:paraId="1CFCE141" w14:textId="77777777">
      <w:pPr>
        <w:rPr>
          <w:rFonts w:ascii="Times New Roman" w:hAnsi="Times New Roman" w:cs="Times New Roman"/>
        </w:rPr>
      </w:pPr>
    </w:p>
    <w:p w:rsidR="00715D20" w:rsidRPr="0053766B" w:rsidP="00715D20" w14:paraId="2C5A33A3" w14:textId="6A78296B">
      <w:pPr>
        <w:tabs>
          <w:tab w:val="right" w:leader="dot" w:pos="8640"/>
          <w:tab w:val="right" w:leader="dot" w:pos="11520"/>
        </w:tabs>
        <w:spacing w:after="240"/>
        <w:rPr>
          <w:rFonts w:ascii="Times New Roman" w:hAnsi="Times New Roman" w:cs="Times New Roman"/>
        </w:rPr>
      </w:pPr>
      <w:r w:rsidRPr="00BB16DF">
        <w:rPr>
          <w:rFonts w:ascii="Times New Roman" w:hAnsi="Times New Roman" w:cs="Times New Roman"/>
        </w:rPr>
        <w:t xml:space="preserve">I.    OBJECTIVES OF THE PROCEEDING </w:t>
      </w:r>
      <w:r w:rsidRPr="00BB16DF">
        <w:rPr>
          <w:rFonts w:ascii="Times New Roman" w:hAnsi="Times New Roman" w:cs="Times New Roman"/>
        </w:rPr>
        <w:tab/>
      </w:r>
      <w:r w:rsidR="0093243A">
        <w:rPr>
          <w:rFonts w:ascii="Times New Roman" w:hAnsi="Times New Roman" w:cs="Times New Roman"/>
        </w:rPr>
        <w:t>3</w:t>
      </w:r>
    </w:p>
    <w:p w:rsidR="00715D20" w:rsidRPr="0053766B" w:rsidP="00715D20" w14:paraId="1B7BB076" w14:textId="2985C904">
      <w:pPr>
        <w:tabs>
          <w:tab w:val="right" w:leader="dot" w:pos="8640"/>
          <w:tab w:val="right" w:leader="dot" w:pos="11520"/>
        </w:tabs>
        <w:spacing w:after="240"/>
        <w:rPr>
          <w:rFonts w:ascii="Times New Roman" w:hAnsi="Times New Roman" w:cs="Times New Roman"/>
        </w:rPr>
      </w:pPr>
      <w:r w:rsidRPr="0053766B">
        <w:rPr>
          <w:rFonts w:ascii="Times New Roman" w:hAnsi="Times New Roman" w:cs="Times New Roman"/>
        </w:rPr>
        <w:t xml:space="preserve">II.   COMPLIANCE REQUIREMENTS </w:t>
      </w:r>
      <w:r w:rsidRPr="0053766B">
        <w:rPr>
          <w:rFonts w:ascii="Times New Roman" w:hAnsi="Times New Roman" w:cs="Times New Roman"/>
        </w:rPr>
        <w:tab/>
      </w:r>
      <w:r w:rsidR="0093243A">
        <w:rPr>
          <w:rFonts w:ascii="Times New Roman" w:hAnsi="Times New Roman" w:cs="Times New Roman"/>
        </w:rPr>
        <w:t>3</w:t>
      </w:r>
    </w:p>
    <w:p w:rsidR="00715D20" w:rsidRPr="0053766B" w:rsidP="00715D20" w14:paraId="732D53D7" w14:textId="01C64578">
      <w:pPr>
        <w:tabs>
          <w:tab w:val="right" w:leader="dot" w:pos="8640"/>
          <w:tab w:val="right" w:leader="dot" w:pos="11520"/>
        </w:tabs>
        <w:spacing w:after="240"/>
        <w:rPr>
          <w:rFonts w:ascii="Times New Roman" w:hAnsi="Times New Roman" w:cs="Times New Roman"/>
        </w:rPr>
      </w:pPr>
      <w:r w:rsidRPr="0053766B">
        <w:rPr>
          <w:rFonts w:ascii="Times New Roman" w:hAnsi="Times New Roman" w:cs="Times New Roman"/>
        </w:rPr>
        <w:t xml:space="preserve">III.  RECORDKEEPING AND REPORTING REQUIREMENTS </w:t>
      </w:r>
      <w:r w:rsidRPr="0053766B">
        <w:rPr>
          <w:rFonts w:ascii="Times New Roman" w:hAnsi="Times New Roman" w:cs="Times New Roman"/>
        </w:rPr>
        <w:tab/>
      </w:r>
      <w:r w:rsidR="008B7122">
        <w:rPr>
          <w:rFonts w:ascii="Times New Roman" w:hAnsi="Times New Roman" w:cs="Times New Roman"/>
        </w:rPr>
        <w:t>4</w:t>
      </w:r>
    </w:p>
    <w:p w:rsidR="00715D20" w:rsidRPr="0053766B" w:rsidP="00715D20" w14:paraId="2CF6490E" w14:textId="40F04FC9">
      <w:pPr>
        <w:tabs>
          <w:tab w:val="right" w:leader="dot" w:pos="8640"/>
          <w:tab w:val="right" w:leader="dot" w:pos="11520"/>
        </w:tabs>
        <w:spacing w:after="240"/>
        <w:rPr>
          <w:rFonts w:ascii="Times New Roman" w:hAnsi="Times New Roman" w:cs="Times New Roman"/>
        </w:rPr>
      </w:pPr>
      <w:r w:rsidRPr="0053766B">
        <w:rPr>
          <w:rFonts w:ascii="Times New Roman" w:hAnsi="Times New Roman" w:cs="Times New Roman"/>
        </w:rPr>
        <w:t xml:space="preserve">IV.  IMPLEMENTATION DATE </w:t>
      </w:r>
      <w:r w:rsidRPr="0053766B">
        <w:rPr>
          <w:rFonts w:ascii="Times New Roman" w:hAnsi="Times New Roman" w:cs="Times New Roman"/>
        </w:rPr>
        <w:tab/>
      </w:r>
      <w:r w:rsidR="0093243A">
        <w:rPr>
          <w:rFonts w:ascii="Times New Roman" w:hAnsi="Times New Roman" w:cs="Times New Roman"/>
        </w:rPr>
        <w:t>5</w:t>
      </w:r>
    </w:p>
    <w:p w:rsidR="00715D20" w:rsidRPr="00BB16DF" w:rsidP="00715D20" w14:paraId="7F5D71ED" w14:textId="32392CFE">
      <w:pPr>
        <w:tabs>
          <w:tab w:val="right" w:leader="dot" w:pos="8640"/>
          <w:tab w:val="right" w:leader="dot" w:pos="11520"/>
        </w:tabs>
        <w:spacing w:after="240"/>
        <w:rPr>
          <w:rFonts w:ascii="Times New Roman" w:hAnsi="Times New Roman" w:cs="Times New Roman"/>
        </w:rPr>
      </w:pPr>
      <w:r w:rsidRPr="0053766B">
        <w:rPr>
          <w:rFonts w:ascii="Times New Roman" w:hAnsi="Times New Roman" w:cs="Times New Roman"/>
        </w:rPr>
        <w:t xml:space="preserve">V.   INTERNET LINKS </w:t>
      </w:r>
      <w:r w:rsidRPr="0053766B">
        <w:rPr>
          <w:rFonts w:ascii="Times New Roman" w:hAnsi="Times New Roman" w:cs="Times New Roman"/>
        </w:rPr>
        <w:tab/>
      </w:r>
      <w:r w:rsidR="0093243A">
        <w:rPr>
          <w:rFonts w:ascii="Times New Roman" w:hAnsi="Times New Roman" w:cs="Times New Roman"/>
        </w:rPr>
        <w:t>5</w:t>
      </w:r>
    </w:p>
    <w:p w:rsidR="00715D20" w:rsidP="00715D20" w14:paraId="3EE89B1E" w14:textId="67AB5B47">
      <w:pPr>
        <w:widowControl/>
        <w:autoSpaceDE w:val="0"/>
        <w:autoSpaceDN w:val="0"/>
        <w:adjustRightInd w:val="0"/>
        <w:rPr>
          <w:rFonts w:ascii="Times New Roman" w:hAnsi="Times New Roman" w:cs="Times New Roman"/>
        </w:rPr>
      </w:pPr>
    </w:p>
    <w:p w:rsidR="0093243A" w:rsidP="00715D20" w14:paraId="33D99480" w14:textId="3D22C6F2">
      <w:pPr>
        <w:widowControl/>
        <w:autoSpaceDE w:val="0"/>
        <w:autoSpaceDN w:val="0"/>
        <w:adjustRightInd w:val="0"/>
        <w:rPr>
          <w:rFonts w:ascii="Times New Roman" w:hAnsi="Times New Roman" w:cs="Times New Roman"/>
        </w:rPr>
      </w:pPr>
    </w:p>
    <w:p w:rsidR="0093243A" w:rsidP="00715D20" w14:paraId="7A370096" w14:textId="2B1E700E">
      <w:pPr>
        <w:widowControl/>
        <w:autoSpaceDE w:val="0"/>
        <w:autoSpaceDN w:val="0"/>
        <w:adjustRightInd w:val="0"/>
        <w:rPr>
          <w:rFonts w:ascii="Times New Roman" w:hAnsi="Times New Roman" w:cs="Times New Roman"/>
        </w:rPr>
      </w:pPr>
    </w:p>
    <w:p w:rsidR="0093243A" w:rsidP="00715D20" w14:paraId="49BDA2C6" w14:textId="0B1A7008">
      <w:pPr>
        <w:widowControl/>
        <w:autoSpaceDE w:val="0"/>
        <w:autoSpaceDN w:val="0"/>
        <w:adjustRightInd w:val="0"/>
        <w:rPr>
          <w:rFonts w:ascii="Times New Roman" w:hAnsi="Times New Roman" w:cs="Times New Roman"/>
        </w:rPr>
      </w:pPr>
    </w:p>
    <w:p w:rsidR="0093243A" w:rsidP="00715D20" w14:paraId="10489E2E" w14:textId="4CE8F1D3">
      <w:pPr>
        <w:widowControl/>
        <w:autoSpaceDE w:val="0"/>
        <w:autoSpaceDN w:val="0"/>
        <w:adjustRightInd w:val="0"/>
        <w:rPr>
          <w:rFonts w:ascii="Times New Roman" w:hAnsi="Times New Roman" w:cs="Times New Roman"/>
        </w:rPr>
      </w:pPr>
    </w:p>
    <w:p w:rsidR="0093243A" w:rsidP="00715D20" w14:paraId="1F91FE73" w14:textId="3EDB509A">
      <w:pPr>
        <w:widowControl/>
        <w:autoSpaceDE w:val="0"/>
        <w:autoSpaceDN w:val="0"/>
        <w:adjustRightInd w:val="0"/>
        <w:rPr>
          <w:rFonts w:ascii="Times New Roman" w:hAnsi="Times New Roman" w:cs="Times New Roman"/>
        </w:rPr>
      </w:pPr>
    </w:p>
    <w:p w:rsidR="0093243A" w:rsidP="00715D20" w14:paraId="7EB00114" w14:textId="41265400">
      <w:pPr>
        <w:widowControl/>
        <w:autoSpaceDE w:val="0"/>
        <w:autoSpaceDN w:val="0"/>
        <w:adjustRightInd w:val="0"/>
        <w:rPr>
          <w:rFonts w:ascii="Times New Roman" w:hAnsi="Times New Roman" w:cs="Times New Roman"/>
        </w:rPr>
      </w:pPr>
    </w:p>
    <w:p w:rsidR="0093243A" w:rsidP="00715D20" w14:paraId="76716807" w14:textId="77B0C130">
      <w:pPr>
        <w:widowControl/>
        <w:autoSpaceDE w:val="0"/>
        <w:autoSpaceDN w:val="0"/>
        <w:adjustRightInd w:val="0"/>
        <w:rPr>
          <w:rFonts w:ascii="Times New Roman" w:hAnsi="Times New Roman" w:cs="Times New Roman"/>
        </w:rPr>
      </w:pPr>
    </w:p>
    <w:p w:rsidR="0093243A" w:rsidP="00715D20" w14:paraId="52F036F6" w14:textId="64796431">
      <w:pPr>
        <w:widowControl/>
        <w:autoSpaceDE w:val="0"/>
        <w:autoSpaceDN w:val="0"/>
        <w:adjustRightInd w:val="0"/>
        <w:rPr>
          <w:rFonts w:ascii="Times New Roman" w:hAnsi="Times New Roman" w:cs="Times New Roman"/>
        </w:rPr>
      </w:pPr>
    </w:p>
    <w:p w:rsidR="0093243A" w:rsidP="00715D20" w14:paraId="20058A10" w14:textId="0F8E4E9F">
      <w:pPr>
        <w:widowControl/>
        <w:autoSpaceDE w:val="0"/>
        <w:autoSpaceDN w:val="0"/>
        <w:adjustRightInd w:val="0"/>
        <w:rPr>
          <w:rFonts w:ascii="Times New Roman" w:hAnsi="Times New Roman" w:cs="Times New Roman"/>
        </w:rPr>
      </w:pPr>
    </w:p>
    <w:p w:rsidR="0093243A" w:rsidP="00715D20" w14:paraId="616AF630" w14:textId="5F7373C4">
      <w:pPr>
        <w:widowControl/>
        <w:autoSpaceDE w:val="0"/>
        <w:autoSpaceDN w:val="0"/>
        <w:adjustRightInd w:val="0"/>
        <w:rPr>
          <w:rFonts w:ascii="Times New Roman" w:hAnsi="Times New Roman" w:cs="Times New Roman"/>
        </w:rPr>
      </w:pPr>
    </w:p>
    <w:p w:rsidR="0093243A" w:rsidP="00715D20" w14:paraId="6B2D085B" w14:textId="39A68950">
      <w:pPr>
        <w:widowControl/>
        <w:autoSpaceDE w:val="0"/>
        <w:autoSpaceDN w:val="0"/>
        <w:adjustRightInd w:val="0"/>
        <w:rPr>
          <w:rFonts w:ascii="Times New Roman" w:hAnsi="Times New Roman" w:cs="Times New Roman"/>
        </w:rPr>
      </w:pPr>
    </w:p>
    <w:p w:rsidR="0093243A" w:rsidP="00715D20" w14:paraId="44EE9E73" w14:textId="11417A32">
      <w:pPr>
        <w:widowControl/>
        <w:autoSpaceDE w:val="0"/>
        <w:autoSpaceDN w:val="0"/>
        <w:adjustRightInd w:val="0"/>
        <w:rPr>
          <w:rFonts w:ascii="Times New Roman" w:hAnsi="Times New Roman" w:cs="Times New Roman"/>
        </w:rPr>
      </w:pPr>
    </w:p>
    <w:p w:rsidR="0093243A" w:rsidP="00715D20" w14:paraId="17F99088" w14:textId="5C2A6601">
      <w:pPr>
        <w:widowControl/>
        <w:autoSpaceDE w:val="0"/>
        <w:autoSpaceDN w:val="0"/>
        <w:adjustRightInd w:val="0"/>
        <w:rPr>
          <w:rFonts w:ascii="Times New Roman" w:hAnsi="Times New Roman" w:cs="Times New Roman"/>
        </w:rPr>
      </w:pPr>
    </w:p>
    <w:p w:rsidR="0093243A" w:rsidP="00715D20" w14:paraId="619821D5" w14:textId="2456D0AE">
      <w:pPr>
        <w:widowControl/>
        <w:autoSpaceDE w:val="0"/>
        <w:autoSpaceDN w:val="0"/>
        <w:adjustRightInd w:val="0"/>
        <w:rPr>
          <w:rFonts w:ascii="Times New Roman" w:hAnsi="Times New Roman" w:cs="Times New Roman"/>
        </w:rPr>
      </w:pPr>
    </w:p>
    <w:p w:rsidR="0093243A" w:rsidP="00715D20" w14:paraId="3190770F" w14:textId="0E3437BE">
      <w:pPr>
        <w:widowControl/>
        <w:autoSpaceDE w:val="0"/>
        <w:autoSpaceDN w:val="0"/>
        <w:adjustRightInd w:val="0"/>
        <w:rPr>
          <w:rFonts w:ascii="Times New Roman" w:hAnsi="Times New Roman" w:cs="Times New Roman"/>
        </w:rPr>
      </w:pPr>
    </w:p>
    <w:p w:rsidR="0093243A" w:rsidP="00715D20" w14:paraId="044B3DD5" w14:textId="558FC4A2">
      <w:pPr>
        <w:widowControl/>
        <w:autoSpaceDE w:val="0"/>
        <w:autoSpaceDN w:val="0"/>
        <w:adjustRightInd w:val="0"/>
        <w:rPr>
          <w:rFonts w:ascii="Times New Roman" w:hAnsi="Times New Roman" w:cs="Times New Roman"/>
        </w:rPr>
      </w:pPr>
    </w:p>
    <w:p w:rsidR="0093243A" w:rsidP="00715D20" w14:paraId="077753CC" w14:textId="07D65D87">
      <w:pPr>
        <w:widowControl/>
        <w:autoSpaceDE w:val="0"/>
        <w:autoSpaceDN w:val="0"/>
        <w:adjustRightInd w:val="0"/>
        <w:rPr>
          <w:rFonts w:ascii="Times New Roman" w:hAnsi="Times New Roman" w:cs="Times New Roman"/>
        </w:rPr>
      </w:pPr>
    </w:p>
    <w:p w:rsidR="0093243A" w:rsidP="00715D20" w14:paraId="45CEC229" w14:textId="27FB68A0">
      <w:pPr>
        <w:widowControl/>
        <w:autoSpaceDE w:val="0"/>
        <w:autoSpaceDN w:val="0"/>
        <w:adjustRightInd w:val="0"/>
        <w:rPr>
          <w:rFonts w:ascii="Times New Roman" w:hAnsi="Times New Roman" w:cs="Times New Roman"/>
        </w:rPr>
      </w:pPr>
    </w:p>
    <w:p w:rsidR="0093243A" w:rsidP="00715D20" w14:paraId="72E991C5" w14:textId="058A35FF">
      <w:pPr>
        <w:widowControl/>
        <w:autoSpaceDE w:val="0"/>
        <w:autoSpaceDN w:val="0"/>
        <w:adjustRightInd w:val="0"/>
        <w:rPr>
          <w:rFonts w:ascii="Times New Roman" w:hAnsi="Times New Roman" w:cs="Times New Roman"/>
        </w:rPr>
      </w:pPr>
    </w:p>
    <w:p w:rsidR="0093243A" w:rsidP="00715D20" w14:paraId="22461BD4" w14:textId="76A66396">
      <w:pPr>
        <w:widowControl/>
        <w:autoSpaceDE w:val="0"/>
        <w:autoSpaceDN w:val="0"/>
        <w:adjustRightInd w:val="0"/>
        <w:rPr>
          <w:rFonts w:ascii="Times New Roman" w:hAnsi="Times New Roman" w:cs="Times New Roman"/>
        </w:rPr>
      </w:pPr>
    </w:p>
    <w:p w:rsidR="0093243A" w:rsidP="00715D20" w14:paraId="68476DF2" w14:textId="1751D1E1">
      <w:pPr>
        <w:widowControl/>
        <w:autoSpaceDE w:val="0"/>
        <w:autoSpaceDN w:val="0"/>
        <w:adjustRightInd w:val="0"/>
        <w:rPr>
          <w:rFonts w:ascii="Times New Roman" w:hAnsi="Times New Roman" w:cs="Times New Roman"/>
        </w:rPr>
      </w:pPr>
    </w:p>
    <w:p w:rsidR="0093243A" w:rsidP="00715D20" w14:paraId="38ED6CF8" w14:textId="077A43D5">
      <w:pPr>
        <w:widowControl/>
        <w:autoSpaceDE w:val="0"/>
        <w:autoSpaceDN w:val="0"/>
        <w:adjustRightInd w:val="0"/>
        <w:rPr>
          <w:rFonts w:ascii="Times New Roman" w:hAnsi="Times New Roman" w:cs="Times New Roman"/>
        </w:rPr>
      </w:pPr>
    </w:p>
    <w:p w:rsidR="0093243A" w:rsidP="00715D20" w14:paraId="7888FEC5" w14:textId="3AA2B4D7">
      <w:pPr>
        <w:widowControl/>
        <w:autoSpaceDE w:val="0"/>
        <w:autoSpaceDN w:val="0"/>
        <w:adjustRightInd w:val="0"/>
        <w:rPr>
          <w:rFonts w:ascii="Times New Roman" w:hAnsi="Times New Roman" w:cs="Times New Roman"/>
        </w:rPr>
      </w:pPr>
    </w:p>
    <w:p w:rsidR="0093243A" w:rsidP="00715D20" w14:paraId="0F007DE4" w14:textId="20EA48E1">
      <w:pPr>
        <w:widowControl/>
        <w:autoSpaceDE w:val="0"/>
        <w:autoSpaceDN w:val="0"/>
        <w:adjustRightInd w:val="0"/>
        <w:rPr>
          <w:rFonts w:ascii="Times New Roman" w:hAnsi="Times New Roman" w:cs="Times New Roman"/>
        </w:rPr>
      </w:pPr>
    </w:p>
    <w:p w:rsidR="0093243A" w:rsidP="00715D20" w14:paraId="56FAAA4A" w14:textId="6963CED1">
      <w:pPr>
        <w:widowControl/>
        <w:autoSpaceDE w:val="0"/>
        <w:autoSpaceDN w:val="0"/>
        <w:adjustRightInd w:val="0"/>
        <w:rPr>
          <w:rFonts w:ascii="Times New Roman" w:hAnsi="Times New Roman" w:cs="Times New Roman"/>
        </w:rPr>
      </w:pPr>
    </w:p>
    <w:p w:rsidR="0093243A" w:rsidP="00715D20" w14:paraId="35022462" w14:textId="2E3A9221">
      <w:pPr>
        <w:widowControl/>
        <w:autoSpaceDE w:val="0"/>
        <w:autoSpaceDN w:val="0"/>
        <w:adjustRightInd w:val="0"/>
        <w:rPr>
          <w:rFonts w:ascii="Times New Roman" w:hAnsi="Times New Roman" w:cs="Times New Roman"/>
        </w:rPr>
      </w:pPr>
    </w:p>
    <w:p w:rsidR="0093243A" w:rsidP="00715D20" w14:paraId="1804BD41" w14:textId="08DD221C">
      <w:pPr>
        <w:widowControl/>
        <w:autoSpaceDE w:val="0"/>
        <w:autoSpaceDN w:val="0"/>
        <w:adjustRightInd w:val="0"/>
        <w:rPr>
          <w:rFonts w:ascii="Times New Roman" w:hAnsi="Times New Roman" w:cs="Times New Roman"/>
        </w:rPr>
      </w:pPr>
    </w:p>
    <w:p w:rsidR="0093243A" w:rsidP="00715D20" w14:paraId="26724831" w14:textId="0948463D">
      <w:pPr>
        <w:widowControl/>
        <w:autoSpaceDE w:val="0"/>
        <w:autoSpaceDN w:val="0"/>
        <w:adjustRightInd w:val="0"/>
        <w:rPr>
          <w:rFonts w:ascii="Times New Roman" w:hAnsi="Times New Roman" w:cs="Times New Roman"/>
        </w:rPr>
      </w:pPr>
    </w:p>
    <w:p w:rsidR="0093243A" w:rsidP="00715D20" w14:paraId="34BB3BBF" w14:textId="0DEFE0F6">
      <w:pPr>
        <w:widowControl/>
        <w:autoSpaceDE w:val="0"/>
        <w:autoSpaceDN w:val="0"/>
        <w:adjustRightInd w:val="0"/>
        <w:rPr>
          <w:rFonts w:ascii="Times New Roman" w:hAnsi="Times New Roman" w:cs="Times New Roman"/>
        </w:rPr>
      </w:pPr>
    </w:p>
    <w:p w:rsidR="0093243A" w:rsidP="00715D20" w14:paraId="4695F749" w14:textId="023C9506">
      <w:pPr>
        <w:widowControl/>
        <w:autoSpaceDE w:val="0"/>
        <w:autoSpaceDN w:val="0"/>
        <w:adjustRightInd w:val="0"/>
        <w:rPr>
          <w:rFonts w:ascii="Times New Roman" w:hAnsi="Times New Roman" w:cs="Times New Roman"/>
        </w:rPr>
      </w:pPr>
    </w:p>
    <w:p w:rsidR="0093243A" w:rsidP="00715D20" w14:paraId="692DB110" w14:textId="18EEA143">
      <w:pPr>
        <w:widowControl/>
        <w:autoSpaceDE w:val="0"/>
        <w:autoSpaceDN w:val="0"/>
        <w:adjustRightInd w:val="0"/>
        <w:rPr>
          <w:rFonts w:ascii="Times New Roman" w:hAnsi="Times New Roman" w:cs="Times New Roman"/>
        </w:rPr>
      </w:pPr>
    </w:p>
    <w:p w:rsidR="0093243A" w:rsidP="00715D20" w14:paraId="15AD47C8" w14:textId="33A77F3A">
      <w:pPr>
        <w:widowControl/>
        <w:autoSpaceDE w:val="0"/>
        <w:autoSpaceDN w:val="0"/>
        <w:adjustRightInd w:val="0"/>
        <w:rPr>
          <w:rFonts w:ascii="Times New Roman" w:hAnsi="Times New Roman" w:cs="Times New Roman"/>
        </w:rPr>
      </w:pPr>
    </w:p>
    <w:p w:rsidR="0093243A" w:rsidP="00715D20" w14:paraId="3BC8970F" w14:textId="1957DCC3">
      <w:pPr>
        <w:widowControl/>
        <w:autoSpaceDE w:val="0"/>
        <w:autoSpaceDN w:val="0"/>
        <w:adjustRightInd w:val="0"/>
        <w:rPr>
          <w:rFonts w:ascii="Times New Roman" w:hAnsi="Times New Roman" w:cs="Times New Roman"/>
        </w:rPr>
      </w:pPr>
    </w:p>
    <w:p w:rsidR="0093243A" w:rsidP="00715D20" w14:paraId="5ABCF529" w14:textId="1E161B4F">
      <w:pPr>
        <w:widowControl/>
        <w:autoSpaceDE w:val="0"/>
        <w:autoSpaceDN w:val="0"/>
        <w:adjustRightInd w:val="0"/>
        <w:rPr>
          <w:rFonts w:ascii="Times New Roman" w:hAnsi="Times New Roman" w:cs="Times New Roman"/>
        </w:rPr>
      </w:pPr>
    </w:p>
    <w:p w:rsidR="0093243A" w:rsidP="00715D20" w14:paraId="51227160" w14:textId="31645B40">
      <w:pPr>
        <w:widowControl/>
        <w:autoSpaceDE w:val="0"/>
        <w:autoSpaceDN w:val="0"/>
        <w:adjustRightInd w:val="0"/>
        <w:rPr>
          <w:rFonts w:ascii="Times New Roman" w:hAnsi="Times New Roman" w:cs="Times New Roman"/>
        </w:rPr>
      </w:pPr>
    </w:p>
    <w:p w:rsidR="0093243A" w:rsidP="00715D20" w14:paraId="720D64E3" w14:textId="06E452FA">
      <w:pPr>
        <w:widowControl/>
        <w:autoSpaceDE w:val="0"/>
        <w:autoSpaceDN w:val="0"/>
        <w:adjustRightInd w:val="0"/>
        <w:rPr>
          <w:rFonts w:ascii="Times New Roman" w:hAnsi="Times New Roman" w:cs="Times New Roman"/>
        </w:rPr>
      </w:pPr>
    </w:p>
    <w:p w:rsidR="0093243A" w:rsidP="00715D20" w14:paraId="004FF3B3" w14:textId="77777777">
      <w:pPr>
        <w:widowControl/>
        <w:autoSpaceDE w:val="0"/>
        <w:autoSpaceDN w:val="0"/>
        <w:adjustRightInd w:val="0"/>
        <w:rPr>
          <w:rFonts w:ascii="Times New Roman" w:hAnsi="Times New Roman" w:cs="Times New Roman"/>
        </w:rPr>
      </w:pPr>
    </w:p>
    <w:p w:rsidR="00715D20" w:rsidRPr="005C30CD" w:rsidP="00715D20" w14:paraId="7C9397D9" w14:textId="77777777">
      <w:pPr>
        <w:pStyle w:val="Heading2"/>
        <w:keepNext/>
        <w:numPr>
          <w:ilvl w:val="0"/>
          <w:numId w:val="1"/>
        </w:numPr>
        <w:tabs>
          <w:tab w:val="left" w:pos="820"/>
        </w:tabs>
        <w:ind w:left="720"/>
        <w:rPr>
          <w:rFonts w:cs="Times New Roman"/>
          <w:b w:val="0"/>
          <w:bCs w:val="0"/>
        </w:rPr>
      </w:pPr>
      <w:r w:rsidRPr="005C30CD">
        <w:rPr>
          <w:rFonts w:cs="Times New Roman"/>
          <w:color w:val="242021"/>
          <w:spacing w:val="-1"/>
        </w:rPr>
        <w:t>OBJECTIVES</w:t>
      </w:r>
      <w:r w:rsidRPr="005C30CD">
        <w:rPr>
          <w:rFonts w:cs="Times New Roman"/>
          <w:color w:val="242021"/>
          <w:spacing w:val="-2"/>
        </w:rPr>
        <w:t xml:space="preserve"> </w:t>
      </w:r>
      <w:r w:rsidRPr="005C30CD">
        <w:rPr>
          <w:rFonts w:cs="Times New Roman"/>
          <w:color w:val="242021"/>
          <w:spacing w:val="-1"/>
        </w:rPr>
        <w:t xml:space="preserve">OF THE </w:t>
      </w:r>
      <w:r w:rsidRPr="005C30CD">
        <w:rPr>
          <w:rFonts w:cs="Times New Roman"/>
          <w:color w:val="242021"/>
          <w:spacing w:val="-2"/>
        </w:rPr>
        <w:t>PROCEEDING</w:t>
      </w:r>
    </w:p>
    <w:p w:rsidR="00715D20" w:rsidRPr="00E865E8" w:rsidP="00715D20" w14:paraId="45356AC0" w14:textId="77777777">
      <w:pPr>
        <w:keepNext/>
        <w:rPr>
          <w:rFonts w:ascii="Times New Roman" w:eastAsia="Times New Roman" w:hAnsi="Times New Roman" w:cs="Times New Roman"/>
          <w:b/>
          <w:bCs/>
        </w:rPr>
      </w:pPr>
    </w:p>
    <w:p w:rsidR="006E6678" w:rsidP="00715D20" w14:paraId="64467D20" w14:textId="5975707B">
      <w:pPr>
        <w:spacing w:after="200"/>
        <w:rPr>
          <w:rFonts w:ascii="Times New Roman" w:hAnsi="Times New Roman" w:cs="Times New Roman"/>
        </w:rPr>
      </w:pPr>
      <w:r>
        <w:rPr>
          <w:rFonts w:ascii="Times New Roman" w:hAnsi="Times New Roman" w:cs="Times New Roman"/>
        </w:rPr>
        <w:t xml:space="preserve">In </w:t>
      </w:r>
      <w:r w:rsidR="001B54C3">
        <w:rPr>
          <w:rFonts w:ascii="Times New Roman" w:hAnsi="Times New Roman" w:cs="Times New Roman"/>
        </w:rPr>
        <w:t>the</w:t>
      </w:r>
      <w:r>
        <w:rPr>
          <w:rFonts w:ascii="Times New Roman" w:hAnsi="Times New Roman" w:cs="Times New Roman"/>
        </w:rPr>
        <w:t xml:space="preserve"> </w:t>
      </w:r>
      <w:r>
        <w:rPr>
          <w:rFonts w:ascii="Times New Roman" w:hAnsi="Times New Roman" w:cs="Times New Roman"/>
          <w:i/>
        </w:rPr>
        <w:t>Updating the Intercarrier Compensation Regime to Eliminate Access Arbitrage</w:t>
      </w:r>
      <w:r>
        <w:rPr>
          <w:rFonts w:ascii="Times New Roman" w:hAnsi="Times New Roman" w:cs="Times New Roman"/>
        </w:rPr>
        <w:t>, Report and Order and Modification of Section 214 Authorizations, WC Docket No. 18-155 (rel. Sept. 27, 2019),</w:t>
      </w:r>
      <w:r w:rsidR="001B54C3">
        <w:rPr>
          <w:rFonts w:ascii="Times New Roman" w:hAnsi="Times New Roman" w:cs="Times New Roman"/>
        </w:rPr>
        <w:t xml:space="preserve"> </w:t>
      </w:r>
      <w:r>
        <w:rPr>
          <w:rFonts w:ascii="Times New Roman" w:hAnsi="Times New Roman" w:cs="Times New Roman"/>
        </w:rPr>
        <w:t xml:space="preserve">the Federal Communications Commission acted </w:t>
      </w:r>
      <w:r w:rsidR="00825C86">
        <w:rPr>
          <w:rFonts w:ascii="Times New Roman" w:hAnsi="Times New Roman" w:cs="Times New Roman"/>
        </w:rPr>
        <w:t xml:space="preserve">to </w:t>
      </w:r>
      <w:r w:rsidR="00B07F84">
        <w:rPr>
          <w:rFonts w:ascii="Times New Roman" w:hAnsi="Times New Roman" w:cs="Times New Roman"/>
        </w:rPr>
        <w:t>reduce</w:t>
      </w:r>
      <w:r w:rsidR="006711F1">
        <w:rPr>
          <w:rFonts w:ascii="Times New Roman" w:hAnsi="Times New Roman" w:cs="Times New Roman"/>
        </w:rPr>
        <w:t xml:space="preserve"> financial</w:t>
      </w:r>
      <w:r w:rsidR="00B07F84">
        <w:rPr>
          <w:rFonts w:ascii="Times New Roman" w:hAnsi="Times New Roman" w:cs="Times New Roman"/>
        </w:rPr>
        <w:t xml:space="preserve"> incentives for </w:t>
      </w:r>
      <w:r w:rsidR="00FA5A75">
        <w:rPr>
          <w:rFonts w:ascii="Times New Roman" w:hAnsi="Times New Roman" w:cs="Times New Roman"/>
        </w:rPr>
        <w:t xml:space="preserve">arbitrage </w:t>
      </w:r>
      <w:r w:rsidR="00B07F84">
        <w:rPr>
          <w:rFonts w:ascii="Times New Roman" w:hAnsi="Times New Roman" w:cs="Times New Roman"/>
        </w:rPr>
        <w:t xml:space="preserve">activities </w:t>
      </w:r>
      <w:r w:rsidR="00FA5A75">
        <w:rPr>
          <w:rFonts w:ascii="Times New Roman" w:hAnsi="Times New Roman" w:cs="Times New Roman"/>
        </w:rPr>
        <w:t>that harm consumers, undermine broadband deployment, and distort competition.</w:t>
      </w:r>
      <w:r>
        <w:rPr>
          <w:rStyle w:val="FootnoteReference"/>
          <w:rFonts w:cs="Times New Roman"/>
        </w:rPr>
        <w:footnoteReference w:id="2"/>
      </w:r>
      <w:r w:rsidR="00FA5A75">
        <w:rPr>
          <w:rFonts w:ascii="Times New Roman" w:hAnsi="Times New Roman" w:cs="Times New Roman"/>
        </w:rPr>
        <w:t xml:space="preserve"> </w:t>
      </w:r>
      <w:r w:rsidR="00737190">
        <w:rPr>
          <w:rFonts w:ascii="Times New Roman" w:hAnsi="Times New Roman" w:cs="Times New Roman"/>
        </w:rPr>
        <w:t xml:space="preserve"> </w:t>
      </w:r>
    </w:p>
    <w:p w:rsidR="00A0566B" w:rsidP="00715D20" w14:paraId="396C2296" w14:textId="1CA0D1CB">
      <w:pPr>
        <w:spacing w:after="200"/>
        <w:rPr>
          <w:rFonts w:ascii="Times New Roman" w:hAnsi="Times New Roman" w:cs="Times New Roman"/>
        </w:rPr>
      </w:pPr>
      <w:r>
        <w:rPr>
          <w:rFonts w:ascii="Times New Roman" w:hAnsi="Times New Roman" w:cs="Times New Roman"/>
        </w:rPr>
        <w:t xml:space="preserve">Access stimulation is a form of arbitrage which occurs when a local exchange carrier (LEC) </w:t>
      </w:r>
      <w:r w:rsidR="00623696">
        <w:rPr>
          <w:rFonts w:ascii="Times New Roman" w:hAnsi="Times New Roman" w:cs="Times New Roman"/>
        </w:rPr>
        <w:t>serves</w:t>
      </w:r>
      <w:r w:rsidRPr="001161AD" w:rsidR="001161AD">
        <w:rPr>
          <w:rFonts w:ascii="Times New Roman" w:hAnsi="Times New Roman" w:cs="Times New Roman"/>
        </w:rPr>
        <w:t xml:space="preserve"> high-volume calling service</w:t>
      </w:r>
      <w:r w:rsidR="007416BF">
        <w:rPr>
          <w:rFonts w:ascii="Times New Roman" w:hAnsi="Times New Roman" w:cs="Times New Roman"/>
        </w:rPr>
        <w:t xml:space="preserve"> provider</w:t>
      </w:r>
      <w:r w:rsidRPr="001161AD" w:rsidR="001161AD">
        <w:rPr>
          <w:rFonts w:ascii="Times New Roman" w:hAnsi="Times New Roman" w:cs="Times New Roman"/>
        </w:rPr>
        <w:t>s, such as “free” conference calling providers or chat lines, to stimulate calls directed to those services to increase the LECs’ access charge revenue and that of the intermediate</w:t>
      </w:r>
      <w:r w:rsidR="006878B1">
        <w:rPr>
          <w:rFonts w:ascii="Times New Roman" w:hAnsi="Times New Roman" w:cs="Times New Roman"/>
        </w:rPr>
        <w:t xml:space="preserve"> access</w:t>
      </w:r>
      <w:r w:rsidRPr="001161AD" w:rsidR="001161AD">
        <w:rPr>
          <w:rFonts w:ascii="Times New Roman" w:hAnsi="Times New Roman" w:cs="Times New Roman"/>
        </w:rPr>
        <w:t xml:space="preserve"> providers they use to deliver calls to their networks</w:t>
      </w:r>
      <w:r>
        <w:rPr>
          <w:rFonts w:ascii="Times New Roman" w:hAnsi="Times New Roman" w:cs="Times New Roman"/>
        </w:rPr>
        <w:t>.</w:t>
      </w:r>
      <w:r w:rsidR="001C3BC9">
        <w:rPr>
          <w:rFonts w:ascii="Times New Roman" w:hAnsi="Times New Roman" w:cs="Times New Roman"/>
        </w:rPr>
        <w:t xml:space="preserve"> </w:t>
      </w:r>
      <w:r w:rsidR="00F07253">
        <w:rPr>
          <w:rFonts w:ascii="Times New Roman" w:hAnsi="Times New Roman" w:cs="Times New Roman"/>
        </w:rPr>
        <w:t xml:space="preserve"> </w:t>
      </w:r>
      <w:r w:rsidR="001161AD">
        <w:rPr>
          <w:rFonts w:ascii="Times New Roman" w:hAnsi="Times New Roman" w:cs="Times New Roman"/>
        </w:rPr>
        <w:t xml:space="preserve">Access-stimulating LECs and their partners </w:t>
      </w:r>
      <w:r w:rsidR="00723BE9">
        <w:rPr>
          <w:rFonts w:ascii="Times New Roman" w:hAnsi="Times New Roman" w:cs="Times New Roman"/>
        </w:rPr>
        <w:t>take</w:t>
      </w:r>
      <w:r w:rsidR="006E6678">
        <w:rPr>
          <w:rFonts w:ascii="Times New Roman" w:hAnsi="Times New Roman" w:cs="Times New Roman"/>
        </w:rPr>
        <w:t xml:space="preserve"> advantage of intercarrier compensation rates originally designed to ensure people living in </w:t>
      </w:r>
      <w:r w:rsidR="00E71EB4">
        <w:rPr>
          <w:rFonts w:ascii="Times New Roman" w:hAnsi="Times New Roman" w:cs="Times New Roman"/>
        </w:rPr>
        <w:t xml:space="preserve">rural </w:t>
      </w:r>
      <w:r w:rsidR="006E6678">
        <w:rPr>
          <w:rFonts w:ascii="Times New Roman" w:hAnsi="Times New Roman" w:cs="Times New Roman"/>
        </w:rPr>
        <w:t>areas</w:t>
      </w:r>
      <w:r w:rsidR="00AC2E10">
        <w:rPr>
          <w:rFonts w:ascii="Times New Roman" w:hAnsi="Times New Roman" w:cs="Times New Roman"/>
        </w:rPr>
        <w:t xml:space="preserve"> have access to affordable telephone service</w:t>
      </w:r>
      <w:r w:rsidR="00723BE9">
        <w:rPr>
          <w:rFonts w:ascii="Times New Roman" w:hAnsi="Times New Roman" w:cs="Times New Roman"/>
        </w:rPr>
        <w:t>.</w:t>
      </w:r>
      <w:r w:rsidR="00EB1A0A">
        <w:rPr>
          <w:rFonts w:ascii="Times New Roman" w:hAnsi="Times New Roman" w:cs="Times New Roman"/>
        </w:rPr>
        <w:t xml:space="preserve"> </w:t>
      </w:r>
    </w:p>
    <w:p w:rsidR="00D904D8" w:rsidP="00715D20" w14:paraId="788391ED" w14:textId="4F243114">
      <w:pPr>
        <w:spacing w:after="200"/>
        <w:rPr>
          <w:rFonts w:ascii="Times New Roman" w:hAnsi="Times New Roman" w:cs="Times New Roman"/>
        </w:rPr>
      </w:pPr>
      <w:r w:rsidRPr="00346DD9">
        <w:rPr>
          <w:rFonts w:ascii="Times New Roman" w:hAnsi="Times New Roman" w:cs="Times New Roman"/>
        </w:rPr>
        <w:t xml:space="preserve">The </w:t>
      </w:r>
      <w:r w:rsidR="003D1B8E">
        <w:rPr>
          <w:rFonts w:ascii="Times New Roman" w:hAnsi="Times New Roman" w:cs="Times New Roman"/>
        </w:rPr>
        <w:t>regulations</w:t>
      </w:r>
      <w:r w:rsidR="001C5B72">
        <w:rPr>
          <w:rFonts w:ascii="Times New Roman" w:hAnsi="Times New Roman" w:cs="Times New Roman"/>
        </w:rPr>
        <w:t xml:space="preserve"> adopted in the </w:t>
      </w:r>
      <w:r w:rsidRPr="00353048">
        <w:rPr>
          <w:rFonts w:ascii="Times New Roman" w:hAnsi="Times New Roman" w:cs="Times New Roman"/>
          <w:i/>
        </w:rPr>
        <w:t>Access Arbitrage</w:t>
      </w:r>
      <w:r w:rsidRPr="00346DD9">
        <w:rPr>
          <w:rFonts w:ascii="Times New Roman" w:hAnsi="Times New Roman" w:cs="Times New Roman"/>
        </w:rPr>
        <w:t xml:space="preserve"> </w:t>
      </w:r>
      <w:r w:rsidRPr="00353048">
        <w:rPr>
          <w:rFonts w:ascii="Times New Roman" w:hAnsi="Times New Roman" w:cs="Times New Roman"/>
          <w:i/>
        </w:rPr>
        <w:t>Order</w:t>
      </w:r>
      <w:r w:rsidRPr="00346DD9">
        <w:rPr>
          <w:rFonts w:ascii="Times New Roman" w:hAnsi="Times New Roman" w:cs="Times New Roman"/>
        </w:rPr>
        <w:t xml:space="preserve"> </w:t>
      </w:r>
      <w:r w:rsidRPr="001161AD" w:rsidR="001161AD">
        <w:rPr>
          <w:rFonts w:ascii="Times New Roman" w:hAnsi="Times New Roman" w:cs="Times New Roman"/>
        </w:rPr>
        <w:t xml:space="preserve">increase the scope and effectiveness of the Commission’s anti-arbitrage rules by shifting financial responsibility for </w:t>
      </w:r>
      <w:r w:rsidR="00A14BB2">
        <w:rPr>
          <w:rFonts w:ascii="Times New Roman" w:hAnsi="Times New Roman" w:cs="Times New Roman"/>
        </w:rPr>
        <w:t xml:space="preserve">terminating </w:t>
      </w:r>
      <w:r w:rsidRPr="001161AD" w:rsidR="001161AD">
        <w:rPr>
          <w:rFonts w:ascii="Times New Roman" w:hAnsi="Times New Roman" w:cs="Times New Roman"/>
        </w:rPr>
        <w:t>tandem switching and transport charges to access-stimulating LECs</w:t>
      </w:r>
      <w:r w:rsidR="00E67A0E">
        <w:rPr>
          <w:rFonts w:ascii="Times New Roman" w:hAnsi="Times New Roman" w:cs="Times New Roman"/>
        </w:rPr>
        <w:t>,</w:t>
      </w:r>
      <w:r w:rsidR="001C5B72">
        <w:rPr>
          <w:rFonts w:ascii="Times New Roman" w:hAnsi="Times New Roman" w:cs="Times New Roman"/>
        </w:rPr>
        <w:t xml:space="preserve"> </w:t>
      </w:r>
      <w:r w:rsidR="008E7AC6">
        <w:rPr>
          <w:rFonts w:ascii="Times New Roman" w:hAnsi="Times New Roman" w:cs="Times New Roman"/>
        </w:rPr>
        <w:t xml:space="preserve">thus </w:t>
      </w:r>
      <w:r w:rsidR="001161AD">
        <w:rPr>
          <w:rFonts w:ascii="Times New Roman" w:hAnsi="Times New Roman" w:cs="Times New Roman"/>
        </w:rPr>
        <w:t>requir</w:t>
      </w:r>
      <w:r w:rsidR="001C5B72">
        <w:rPr>
          <w:rFonts w:ascii="Times New Roman" w:hAnsi="Times New Roman" w:cs="Times New Roman"/>
        </w:rPr>
        <w:t>ing</w:t>
      </w:r>
      <w:r w:rsidR="001161AD">
        <w:rPr>
          <w:rFonts w:ascii="Times New Roman" w:hAnsi="Times New Roman" w:cs="Times New Roman"/>
        </w:rPr>
        <w:t xml:space="preserve"> access-stimulating LECs to accept financial responsibility for calls delivered to their networks</w:t>
      </w:r>
      <w:r w:rsidR="008E7AC6">
        <w:rPr>
          <w:rFonts w:ascii="Times New Roman" w:hAnsi="Times New Roman" w:cs="Times New Roman"/>
        </w:rPr>
        <w:t>.  T</w:t>
      </w:r>
      <w:r w:rsidR="00EF21A7">
        <w:rPr>
          <w:rFonts w:ascii="Times New Roman" w:hAnsi="Times New Roman" w:cs="Times New Roman"/>
        </w:rPr>
        <w:t xml:space="preserve">hese rules </w:t>
      </w:r>
      <w:r w:rsidRPr="001161AD" w:rsidR="00EF21A7">
        <w:rPr>
          <w:rFonts w:ascii="Times New Roman" w:hAnsi="Times New Roman" w:cs="Times New Roman"/>
        </w:rPr>
        <w:t xml:space="preserve">strengthen </w:t>
      </w:r>
      <w:r w:rsidR="00EF21A7">
        <w:rPr>
          <w:rFonts w:ascii="Times New Roman" w:hAnsi="Times New Roman" w:cs="Times New Roman"/>
        </w:rPr>
        <w:t xml:space="preserve">access-stimulating </w:t>
      </w:r>
      <w:r w:rsidR="001C5B72">
        <w:rPr>
          <w:rFonts w:ascii="Times New Roman" w:hAnsi="Times New Roman" w:cs="Times New Roman"/>
        </w:rPr>
        <w:t>LECs’</w:t>
      </w:r>
      <w:r w:rsidRPr="001161AD" w:rsidR="001C5B72">
        <w:rPr>
          <w:rFonts w:ascii="Times New Roman" w:hAnsi="Times New Roman" w:cs="Times New Roman"/>
        </w:rPr>
        <w:t xml:space="preserve"> </w:t>
      </w:r>
      <w:r w:rsidRPr="001161AD" w:rsidR="00EF21A7">
        <w:rPr>
          <w:rFonts w:ascii="Times New Roman" w:hAnsi="Times New Roman" w:cs="Times New Roman"/>
        </w:rPr>
        <w:t>incentive</w:t>
      </w:r>
      <w:r w:rsidR="00EF21A7">
        <w:rPr>
          <w:rFonts w:ascii="Times New Roman" w:hAnsi="Times New Roman" w:cs="Times New Roman"/>
        </w:rPr>
        <w:t>s</w:t>
      </w:r>
      <w:r w:rsidRPr="001161AD" w:rsidR="00EF21A7">
        <w:rPr>
          <w:rFonts w:ascii="Times New Roman" w:hAnsi="Times New Roman" w:cs="Times New Roman"/>
        </w:rPr>
        <w:t xml:space="preserve"> to route traffic efficiently, thereby reducing costs and eliminating implicit subsidies</w:t>
      </w:r>
      <w:r w:rsidRPr="00346DD9" w:rsidR="00EF21A7">
        <w:rPr>
          <w:rFonts w:ascii="Times New Roman" w:hAnsi="Times New Roman" w:cs="Times New Roman"/>
        </w:rPr>
        <w:t>.</w:t>
      </w:r>
      <w:r w:rsidR="00EF21A7">
        <w:rPr>
          <w:rFonts w:ascii="Times New Roman" w:hAnsi="Times New Roman" w:cs="Times New Roman"/>
        </w:rPr>
        <w:t xml:space="preserve">  </w:t>
      </w:r>
      <w:r w:rsidR="00C74363">
        <w:rPr>
          <w:rFonts w:ascii="Times New Roman" w:hAnsi="Times New Roman" w:cs="Times New Roman"/>
        </w:rPr>
        <w:t xml:space="preserve">If a LEC believes it is mis-identified as an access stimulator it may avail itself of the Commission’s waiver process.  </w:t>
      </w:r>
    </w:p>
    <w:p w:rsidR="00715D20" w:rsidRPr="003444FE" w:rsidP="00715D20" w14:paraId="2AD7C48E" w14:textId="77777777">
      <w:pPr>
        <w:pStyle w:val="NoSpacing"/>
        <w:rPr>
          <w:rFonts w:ascii="Times New Roman" w:hAnsi="Times New Roman" w:cs="Times New Roman"/>
        </w:rPr>
      </w:pPr>
    </w:p>
    <w:p w:rsidR="00715D20" w:rsidRPr="00EA3A77" w:rsidP="00715D20" w14:paraId="329C4339" w14:textId="77777777">
      <w:pPr>
        <w:pStyle w:val="Heading2"/>
        <w:numPr>
          <w:ilvl w:val="0"/>
          <w:numId w:val="1"/>
        </w:numPr>
        <w:tabs>
          <w:tab w:val="left" w:pos="820"/>
        </w:tabs>
        <w:spacing w:after="200"/>
        <w:ind w:left="720"/>
        <w:rPr>
          <w:rFonts w:cs="Times New Roman"/>
          <w:b w:val="0"/>
          <w:bCs w:val="0"/>
        </w:rPr>
      </w:pPr>
      <w:r>
        <w:rPr>
          <w:rFonts w:cs="Times New Roman"/>
          <w:color w:val="242021"/>
          <w:spacing w:val="-1"/>
        </w:rPr>
        <w:t>COMPLIANCE REQUIREMENTS</w:t>
      </w:r>
    </w:p>
    <w:p w:rsidR="00715D20" w:rsidP="00715D20" w14:paraId="2FCB9EB3" w14:textId="3A7BAD86">
      <w:pPr>
        <w:rPr>
          <w:rFonts w:ascii="Times New Roman" w:hAnsi="Times New Roman" w:cs="Times New Roman"/>
        </w:rPr>
      </w:pPr>
      <w:r w:rsidRPr="00245BCB">
        <w:rPr>
          <w:rFonts w:ascii="Times New Roman" w:hAnsi="Times New Roman" w:cs="Times New Roman"/>
        </w:rPr>
        <w:t xml:space="preserve">In the </w:t>
      </w:r>
      <w:r w:rsidR="00D96156">
        <w:rPr>
          <w:rFonts w:ascii="Times New Roman" w:hAnsi="Times New Roman" w:cs="Times New Roman"/>
          <w:i/>
        </w:rPr>
        <w:t>Access Arbitrage</w:t>
      </w:r>
      <w:r w:rsidRPr="00245BCB">
        <w:rPr>
          <w:rFonts w:ascii="Times New Roman" w:hAnsi="Times New Roman" w:cs="Times New Roman"/>
          <w:i/>
        </w:rPr>
        <w:t xml:space="preserve"> Order</w:t>
      </w:r>
      <w:r w:rsidRPr="00245BCB">
        <w:rPr>
          <w:rFonts w:ascii="Times New Roman" w:hAnsi="Times New Roman" w:cs="Times New Roman"/>
        </w:rPr>
        <w:t>, the Commission</w:t>
      </w:r>
      <w:r w:rsidR="00532BB6">
        <w:rPr>
          <w:rFonts w:ascii="Times New Roman" w:hAnsi="Times New Roman" w:cs="Times New Roman"/>
        </w:rPr>
        <w:t xml:space="preserve"> requir</w:t>
      </w:r>
      <w:r w:rsidR="00BD6AD9">
        <w:rPr>
          <w:rFonts w:ascii="Times New Roman" w:hAnsi="Times New Roman" w:cs="Times New Roman"/>
        </w:rPr>
        <w:t>es</w:t>
      </w:r>
      <w:r w:rsidR="00532BB6">
        <w:rPr>
          <w:rFonts w:ascii="Times New Roman" w:hAnsi="Times New Roman" w:cs="Times New Roman"/>
        </w:rPr>
        <w:t xml:space="preserve"> </w:t>
      </w:r>
      <w:r w:rsidR="008D2298">
        <w:rPr>
          <w:rFonts w:ascii="Times New Roman" w:hAnsi="Times New Roman" w:cs="Times New Roman"/>
        </w:rPr>
        <w:t>access-stimulating</w:t>
      </w:r>
      <w:r w:rsidR="008D2298">
        <w:rPr>
          <w:rFonts w:ascii="Times New Roman" w:hAnsi="Times New Roman" w:cs="Times New Roman"/>
        </w:rPr>
        <w:t xml:space="preserve"> </w:t>
      </w:r>
      <w:r w:rsidR="00532BB6">
        <w:rPr>
          <w:rFonts w:ascii="Times New Roman" w:hAnsi="Times New Roman" w:cs="Times New Roman"/>
        </w:rPr>
        <w:t xml:space="preserve">LECs </w:t>
      </w:r>
      <w:r w:rsidRPr="009D790C" w:rsidR="00532BB6">
        <w:rPr>
          <w:rFonts w:ascii="Times New Roman" w:hAnsi="Times New Roman" w:cs="Times New Roman"/>
        </w:rPr>
        <w:t>to accept financial responsibility for</w:t>
      </w:r>
      <w:r w:rsidR="00A76A4B">
        <w:rPr>
          <w:rFonts w:ascii="Times New Roman" w:hAnsi="Times New Roman" w:cs="Times New Roman"/>
        </w:rPr>
        <w:t xml:space="preserve"> </w:t>
      </w:r>
      <w:r w:rsidR="00B523DA">
        <w:rPr>
          <w:rFonts w:ascii="Times New Roman" w:hAnsi="Times New Roman" w:cs="Times New Roman"/>
        </w:rPr>
        <w:t xml:space="preserve">interstate and intrastate terminating </w:t>
      </w:r>
      <w:r w:rsidR="00C74363">
        <w:rPr>
          <w:rFonts w:ascii="Times New Roman" w:hAnsi="Times New Roman" w:cs="Times New Roman"/>
        </w:rPr>
        <w:t xml:space="preserve">tandem </w:t>
      </w:r>
      <w:r w:rsidR="008D2298">
        <w:rPr>
          <w:rFonts w:ascii="Times New Roman" w:hAnsi="Times New Roman" w:cs="Times New Roman"/>
        </w:rPr>
        <w:t>switch</w:t>
      </w:r>
      <w:r w:rsidR="00C74363">
        <w:rPr>
          <w:rFonts w:ascii="Times New Roman" w:hAnsi="Times New Roman" w:cs="Times New Roman"/>
        </w:rPr>
        <w:t>ing</w:t>
      </w:r>
      <w:r w:rsidR="008D2298">
        <w:rPr>
          <w:rFonts w:ascii="Times New Roman" w:hAnsi="Times New Roman" w:cs="Times New Roman"/>
        </w:rPr>
        <w:t xml:space="preserve"> and transport </w:t>
      </w:r>
      <w:r w:rsidR="00C74363">
        <w:rPr>
          <w:rFonts w:ascii="Times New Roman" w:hAnsi="Times New Roman" w:cs="Times New Roman"/>
        </w:rPr>
        <w:t xml:space="preserve">service access </w:t>
      </w:r>
      <w:r w:rsidR="00B523DA">
        <w:rPr>
          <w:rFonts w:ascii="Times New Roman" w:hAnsi="Times New Roman" w:cs="Times New Roman"/>
        </w:rPr>
        <w:t>charges</w:t>
      </w:r>
      <w:r w:rsidR="00BD6AD9">
        <w:rPr>
          <w:rFonts w:ascii="Times New Roman" w:hAnsi="Times New Roman" w:cs="Times New Roman"/>
        </w:rPr>
        <w:t>.  It also expands</w:t>
      </w:r>
      <w:r w:rsidR="00B523DA">
        <w:rPr>
          <w:rFonts w:ascii="Times New Roman" w:hAnsi="Times New Roman" w:cs="Times New Roman"/>
        </w:rPr>
        <w:t xml:space="preserve"> the definition of access stimulation</w:t>
      </w:r>
      <w:r w:rsidR="00BD6AD9">
        <w:rPr>
          <w:rFonts w:ascii="Times New Roman" w:hAnsi="Times New Roman" w:cs="Times New Roman"/>
        </w:rPr>
        <w:t xml:space="preserve"> to include two </w:t>
      </w:r>
      <w:r w:rsidR="008E7AC6">
        <w:rPr>
          <w:rFonts w:ascii="Times New Roman" w:hAnsi="Times New Roman" w:cs="Times New Roman"/>
        </w:rPr>
        <w:t xml:space="preserve">new alternative tests in order to prevent carriers from </w:t>
      </w:r>
      <w:r w:rsidRPr="001161AD" w:rsidR="008E7AC6">
        <w:rPr>
          <w:rFonts w:ascii="Times New Roman" w:hAnsi="Times New Roman" w:cs="Times New Roman"/>
        </w:rPr>
        <w:t>evad</w:t>
      </w:r>
      <w:r w:rsidR="008E7AC6">
        <w:rPr>
          <w:rFonts w:ascii="Times New Roman" w:hAnsi="Times New Roman" w:cs="Times New Roman"/>
        </w:rPr>
        <w:t>ing</w:t>
      </w:r>
      <w:r w:rsidRPr="001161AD" w:rsidR="008E7AC6">
        <w:rPr>
          <w:rFonts w:ascii="Times New Roman" w:hAnsi="Times New Roman" w:cs="Times New Roman"/>
        </w:rPr>
        <w:t xml:space="preserve"> the current rules by not entering into revenue sharing agreements</w:t>
      </w:r>
      <w:r w:rsidR="008E7AC6">
        <w:rPr>
          <w:rFonts w:ascii="Times New Roman" w:hAnsi="Times New Roman" w:cs="Times New Roman"/>
        </w:rPr>
        <w:t xml:space="preserve">.  </w:t>
      </w:r>
      <w:r w:rsidR="00BD6AD9">
        <w:rPr>
          <w:rFonts w:ascii="Times New Roman" w:hAnsi="Times New Roman" w:cs="Times New Roman"/>
        </w:rPr>
        <w:t>Finally, t</w:t>
      </w:r>
      <w:r w:rsidRPr="00EF21A7" w:rsidR="008E7AC6">
        <w:rPr>
          <w:rFonts w:ascii="Times New Roman" w:hAnsi="Times New Roman" w:cs="Times New Roman"/>
        </w:rPr>
        <w:t xml:space="preserve">he </w:t>
      </w:r>
      <w:r w:rsidRPr="008B7122" w:rsidR="008E7AC6">
        <w:rPr>
          <w:rFonts w:ascii="Times New Roman" w:hAnsi="Times New Roman" w:cs="Times New Roman"/>
          <w:i/>
        </w:rPr>
        <w:t>Order</w:t>
      </w:r>
      <w:r w:rsidRPr="00EF21A7" w:rsidR="008E7AC6">
        <w:rPr>
          <w:rFonts w:ascii="Times New Roman" w:hAnsi="Times New Roman" w:cs="Times New Roman"/>
        </w:rPr>
        <w:t xml:space="preserve"> </w:t>
      </w:r>
      <w:r w:rsidR="008E7AC6">
        <w:rPr>
          <w:rFonts w:ascii="Times New Roman" w:hAnsi="Times New Roman" w:cs="Times New Roman"/>
        </w:rPr>
        <w:t xml:space="preserve">also </w:t>
      </w:r>
      <w:r w:rsidRPr="00EF21A7" w:rsidR="008E7AC6">
        <w:rPr>
          <w:rFonts w:ascii="Times New Roman" w:hAnsi="Times New Roman" w:cs="Times New Roman"/>
        </w:rPr>
        <w:t>modif</w:t>
      </w:r>
      <w:r w:rsidR="008E7AC6">
        <w:rPr>
          <w:rFonts w:ascii="Times New Roman" w:hAnsi="Times New Roman" w:cs="Times New Roman"/>
        </w:rPr>
        <w:t>ies</w:t>
      </w:r>
      <w:r w:rsidRPr="00EF21A7" w:rsidR="008E7AC6">
        <w:rPr>
          <w:rFonts w:ascii="Times New Roman" w:hAnsi="Times New Roman" w:cs="Times New Roman"/>
        </w:rPr>
        <w:t xml:space="preserve"> the section 214 authorizations for centralized equal access providers with mandatory use provisions, eliminating those mandatory use requirements for traffic destined </w:t>
      </w:r>
      <w:r w:rsidR="00E67A0E">
        <w:rPr>
          <w:rFonts w:ascii="Times New Roman" w:hAnsi="Times New Roman" w:cs="Times New Roman"/>
        </w:rPr>
        <w:t xml:space="preserve">for </w:t>
      </w:r>
      <w:r w:rsidRPr="00EF21A7" w:rsidR="008E7AC6">
        <w:rPr>
          <w:rFonts w:ascii="Times New Roman" w:hAnsi="Times New Roman" w:cs="Times New Roman"/>
        </w:rPr>
        <w:t>access-s</w:t>
      </w:r>
      <w:r w:rsidR="008E7AC6">
        <w:rPr>
          <w:rFonts w:ascii="Times New Roman" w:hAnsi="Times New Roman" w:cs="Times New Roman"/>
        </w:rPr>
        <w:t>t</w:t>
      </w:r>
      <w:r w:rsidRPr="00EF21A7" w:rsidR="008E7AC6">
        <w:rPr>
          <w:rFonts w:ascii="Times New Roman" w:hAnsi="Times New Roman" w:cs="Times New Roman"/>
        </w:rPr>
        <w:t>imulating LECs</w:t>
      </w:r>
      <w:r w:rsidR="008B7122">
        <w:rPr>
          <w:rFonts w:ascii="Times New Roman" w:hAnsi="Times New Roman" w:cs="Times New Roman"/>
        </w:rPr>
        <w:t>, and</w:t>
      </w:r>
      <w:r w:rsidRPr="008B7122" w:rsidR="008B7122">
        <w:rPr>
          <w:rFonts w:ascii="Times New Roman" w:hAnsi="Times New Roman" w:cs="Times New Roman"/>
          <w:bCs/>
        </w:rPr>
        <w:t xml:space="preserve"> </w:t>
      </w:r>
      <w:r w:rsidR="008B7122">
        <w:rPr>
          <w:rFonts w:ascii="Times New Roman" w:hAnsi="Times New Roman" w:cs="Times New Roman"/>
          <w:bCs/>
        </w:rPr>
        <w:t xml:space="preserve">enabling </w:t>
      </w:r>
      <w:r w:rsidR="00431B1D">
        <w:rPr>
          <w:rFonts w:ascii="Times New Roman" w:hAnsi="Times New Roman" w:cs="Times New Roman"/>
          <w:bCs/>
          <w:spacing w:val="-1"/>
        </w:rPr>
        <w:t xml:space="preserve">interexchange carriers (IXCs) </w:t>
      </w:r>
      <w:r w:rsidRPr="00BD6AD9" w:rsidR="008B7122">
        <w:rPr>
          <w:rFonts w:ascii="Times New Roman" w:hAnsi="Times New Roman" w:cs="Times New Roman"/>
          <w:bCs/>
        </w:rPr>
        <w:t>to voluntarily agree to directly connect to the access-stimulating LEC</w:t>
      </w:r>
      <w:r w:rsidR="008B7122">
        <w:rPr>
          <w:rFonts w:ascii="Times New Roman" w:hAnsi="Times New Roman" w:cs="Times New Roman"/>
          <w:bCs/>
        </w:rPr>
        <w:t>, or use other intermediate access providers that the LEC has chosen</w:t>
      </w:r>
      <w:r w:rsidR="008E7AC6">
        <w:rPr>
          <w:rFonts w:ascii="Times New Roman" w:hAnsi="Times New Roman" w:cs="Times New Roman"/>
        </w:rPr>
        <w:t xml:space="preserve">.  </w:t>
      </w:r>
    </w:p>
    <w:p w:rsidR="00715D20" w:rsidRPr="00EA3A77" w:rsidP="00715D20" w14:paraId="31940D53" w14:textId="77777777">
      <w:pPr>
        <w:rPr>
          <w:rFonts w:ascii="Times New Roman" w:hAnsi="Times New Roman" w:cs="Times New Roman"/>
        </w:rPr>
      </w:pPr>
    </w:p>
    <w:p w:rsidR="00715D20" w:rsidRPr="00245BCB" w:rsidP="00715D20" w14:paraId="17CFE9E5" w14:textId="0FCB25C1">
      <w:pPr>
        <w:keepNext/>
        <w:tabs>
          <w:tab w:val="left" w:pos="820"/>
        </w:tabs>
        <w:spacing w:after="120"/>
        <w:rPr>
          <w:rFonts w:ascii="Times New Roman" w:eastAsia="Times New Roman" w:hAnsi="Times New Roman" w:cs="Times New Roman"/>
          <w:i/>
        </w:rPr>
      </w:pPr>
      <w:r>
        <w:rPr>
          <w:rFonts w:ascii="Times New Roman" w:hAnsi="Times New Roman" w:cs="Times New Roman"/>
          <w:b/>
          <w:i/>
          <w:color w:val="242021"/>
          <w:spacing w:val="-1"/>
        </w:rPr>
        <w:t>Access Stimulation Traffic</w:t>
      </w:r>
      <w:r w:rsidRPr="00245BCB">
        <w:rPr>
          <w:rFonts w:ascii="Times New Roman" w:hAnsi="Times New Roman" w:cs="Times New Roman"/>
          <w:b/>
          <w:i/>
          <w:color w:val="242021"/>
          <w:spacing w:val="-1"/>
        </w:rPr>
        <w:t xml:space="preserve"> [47 </w:t>
      </w:r>
      <w:r w:rsidRPr="0053766B">
        <w:rPr>
          <w:rFonts w:ascii="Times New Roman" w:hAnsi="Times New Roman" w:cs="Times New Roman"/>
          <w:b/>
          <w:i/>
          <w:color w:val="242021"/>
          <w:spacing w:val="-1"/>
        </w:rPr>
        <w:t xml:space="preserve">CFR </w:t>
      </w:r>
      <w:r w:rsidRPr="002E39AA">
        <w:rPr>
          <w:rFonts w:ascii="Times New Roman" w:hAnsi="Times New Roman" w:cs="Times New Roman"/>
          <w:b/>
          <w:bCs/>
          <w:i/>
          <w:spacing w:val="-1"/>
        </w:rPr>
        <w:t>§ 51.914</w:t>
      </w:r>
      <w:r w:rsidRPr="0053766B">
        <w:rPr>
          <w:rFonts w:ascii="Times New Roman" w:hAnsi="Times New Roman" w:cs="Times New Roman"/>
          <w:b/>
          <w:bCs/>
          <w:i/>
          <w:spacing w:val="-1"/>
        </w:rPr>
        <w:t>]</w:t>
      </w:r>
    </w:p>
    <w:p w:rsidR="00715D20" w:rsidRPr="00587A58" w:rsidP="00715D20" w14:paraId="1E4CA746" w14:textId="0031A7AE">
      <w:pPr>
        <w:numPr>
          <w:ilvl w:val="1"/>
          <w:numId w:val="1"/>
        </w:numPr>
        <w:tabs>
          <w:tab w:val="left" w:pos="820"/>
        </w:tabs>
        <w:spacing w:after="120"/>
        <w:ind w:left="821"/>
        <w:rPr>
          <w:rFonts w:ascii="Times New Roman" w:hAnsi="Times New Roman" w:cs="Times New Roman"/>
          <w:bCs/>
        </w:rPr>
      </w:pPr>
      <w:r w:rsidRPr="007032A4">
        <w:rPr>
          <w:rFonts w:ascii="Times New Roman" w:hAnsi="Times New Roman" w:cs="Times New Roman"/>
          <w:bCs/>
        </w:rPr>
        <w:t xml:space="preserve">The </w:t>
      </w:r>
      <w:r w:rsidRPr="007032A4" w:rsidR="007032A4">
        <w:rPr>
          <w:rFonts w:ascii="Times New Roman" w:hAnsi="Times New Roman" w:cs="Times New Roman"/>
          <w:bCs/>
          <w:i/>
        </w:rPr>
        <w:t>Order</w:t>
      </w:r>
      <w:r w:rsidRPr="007032A4" w:rsidR="007032A4">
        <w:rPr>
          <w:rFonts w:ascii="Times New Roman" w:hAnsi="Times New Roman" w:cs="Times New Roman"/>
          <w:bCs/>
        </w:rPr>
        <w:t xml:space="preserve"> </w:t>
      </w:r>
      <w:r w:rsidRPr="007032A4" w:rsidR="00975BB6">
        <w:rPr>
          <w:rFonts w:ascii="Times New Roman" w:hAnsi="Times New Roman" w:cs="Times New Roman"/>
          <w:bCs/>
          <w:spacing w:val="-1"/>
        </w:rPr>
        <w:t xml:space="preserve">requires </w:t>
      </w:r>
      <w:r w:rsidRPr="007032A4" w:rsidR="00975BB6">
        <w:rPr>
          <w:rFonts w:ascii="Times New Roman" w:hAnsi="Times New Roman" w:cs="Times New Roman"/>
          <w:bCs/>
          <w:spacing w:val="-1"/>
        </w:rPr>
        <w:t>access-stimulating</w:t>
      </w:r>
      <w:r w:rsidRPr="007032A4" w:rsidR="00975BB6">
        <w:rPr>
          <w:rFonts w:ascii="Times New Roman" w:hAnsi="Times New Roman" w:cs="Times New Roman"/>
          <w:bCs/>
          <w:spacing w:val="-1"/>
        </w:rPr>
        <w:t xml:space="preserve"> LECs</w:t>
      </w:r>
      <w:r w:rsidR="00B523DA">
        <w:rPr>
          <w:rFonts w:ascii="Times New Roman" w:hAnsi="Times New Roman" w:cs="Times New Roman"/>
          <w:bCs/>
          <w:spacing w:val="-1"/>
        </w:rPr>
        <w:t xml:space="preserve"> </w:t>
      </w:r>
      <w:r w:rsidRPr="00B523DA" w:rsidR="00B523DA">
        <w:rPr>
          <w:rFonts w:ascii="Times New Roman" w:hAnsi="Times New Roman" w:cs="Times New Roman"/>
          <w:bCs/>
          <w:spacing w:val="-1"/>
        </w:rPr>
        <w:t>to pay for tandem switching and transport for all calls that terminate at th</w:t>
      </w:r>
      <w:r w:rsidR="00C74363">
        <w:rPr>
          <w:rFonts w:ascii="Times New Roman" w:hAnsi="Times New Roman" w:cs="Times New Roman"/>
          <w:bCs/>
          <w:spacing w:val="-1"/>
        </w:rPr>
        <w:t>at</w:t>
      </w:r>
      <w:r w:rsidRPr="00B523DA" w:rsidR="00B523DA">
        <w:rPr>
          <w:rFonts w:ascii="Times New Roman" w:hAnsi="Times New Roman" w:cs="Times New Roman"/>
          <w:bCs/>
          <w:spacing w:val="-1"/>
        </w:rPr>
        <w:t xml:space="preserve"> LEC’s end office</w:t>
      </w:r>
      <w:r w:rsidR="00C74363">
        <w:rPr>
          <w:rFonts w:ascii="Times New Roman" w:hAnsi="Times New Roman" w:cs="Times New Roman"/>
          <w:bCs/>
          <w:spacing w:val="-1"/>
        </w:rPr>
        <w:t xml:space="preserve"> or functional equivalent</w:t>
      </w:r>
      <w:r w:rsidR="00BF5A67">
        <w:rPr>
          <w:rFonts w:ascii="Times New Roman" w:hAnsi="Times New Roman" w:cs="Times New Roman"/>
          <w:bCs/>
          <w:spacing w:val="-1"/>
        </w:rPr>
        <w:t>.</w:t>
      </w:r>
      <w:r>
        <w:rPr>
          <w:rStyle w:val="FootnoteReference"/>
          <w:rFonts w:cs="Times New Roman"/>
          <w:bCs/>
          <w:spacing w:val="-1"/>
        </w:rPr>
        <w:footnoteReference w:id="3"/>
      </w:r>
      <w:r w:rsidR="00F65A1B">
        <w:rPr>
          <w:rFonts w:ascii="Times New Roman" w:hAnsi="Times New Roman" w:cs="Times New Roman"/>
          <w:bCs/>
          <w:spacing w:val="-1"/>
        </w:rPr>
        <w:t xml:space="preserve">  </w:t>
      </w:r>
      <w:r w:rsidR="00635691">
        <w:rPr>
          <w:rFonts w:ascii="Times New Roman" w:hAnsi="Times New Roman" w:cs="Times New Roman"/>
          <w:bCs/>
          <w:spacing w:val="-1"/>
        </w:rPr>
        <w:t>Previously</w:t>
      </w:r>
      <w:r w:rsidR="00F65A1B">
        <w:rPr>
          <w:rFonts w:ascii="Times New Roman" w:hAnsi="Times New Roman" w:cs="Times New Roman"/>
          <w:bCs/>
          <w:spacing w:val="-1"/>
        </w:rPr>
        <w:t>,</w:t>
      </w:r>
      <w:r w:rsidR="003D1B8E">
        <w:rPr>
          <w:rFonts w:ascii="Times New Roman" w:hAnsi="Times New Roman" w:cs="Times New Roman"/>
          <w:bCs/>
          <w:spacing w:val="-1"/>
        </w:rPr>
        <w:t xml:space="preserve"> </w:t>
      </w:r>
      <w:r w:rsidR="00F65A1B">
        <w:rPr>
          <w:rFonts w:ascii="Times New Roman" w:hAnsi="Times New Roman" w:cs="Times New Roman"/>
          <w:bCs/>
          <w:spacing w:val="-1"/>
        </w:rPr>
        <w:t>IXCs were responsible for such costs.</w:t>
      </w:r>
    </w:p>
    <w:p w:rsidR="008B466D" w:rsidP="008B7122" w14:paraId="5BC3F722" w14:textId="74B24E86">
      <w:pPr>
        <w:numPr>
          <w:ilvl w:val="1"/>
          <w:numId w:val="1"/>
        </w:numPr>
        <w:tabs>
          <w:tab w:val="left" w:pos="820"/>
        </w:tabs>
        <w:spacing w:after="120"/>
        <w:ind w:left="821"/>
        <w:rPr>
          <w:rFonts w:ascii="Times New Roman" w:hAnsi="Times New Roman" w:cs="Times New Roman"/>
          <w:bCs/>
        </w:rPr>
      </w:pPr>
      <w:r>
        <w:rPr>
          <w:rFonts w:ascii="Times New Roman" w:hAnsi="Times New Roman" w:cs="Times New Roman"/>
          <w:bCs/>
        </w:rPr>
        <w:t>A</w:t>
      </w:r>
      <w:r w:rsidRPr="007B55B0" w:rsidR="00587A58">
        <w:rPr>
          <w:rFonts w:ascii="Times New Roman" w:hAnsi="Times New Roman" w:cs="Times New Roman"/>
          <w:bCs/>
        </w:rPr>
        <w:t xml:space="preserve">ccess-stimulating LECs </w:t>
      </w:r>
      <w:r w:rsidR="003D1B8E">
        <w:rPr>
          <w:rFonts w:ascii="Times New Roman" w:hAnsi="Times New Roman" w:cs="Times New Roman"/>
          <w:bCs/>
        </w:rPr>
        <w:t xml:space="preserve">must </w:t>
      </w:r>
      <w:r>
        <w:rPr>
          <w:rFonts w:ascii="Times New Roman" w:hAnsi="Times New Roman" w:cs="Times New Roman"/>
          <w:bCs/>
        </w:rPr>
        <w:t xml:space="preserve">now </w:t>
      </w:r>
      <w:r w:rsidRPr="007B55B0" w:rsidR="000F3DC2">
        <w:rPr>
          <w:rFonts w:ascii="Times New Roman" w:hAnsi="Times New Roman" w:cs="Times New Roman"/>
          <w:bCs/>
        </w:rPr>
        <w:t xml:space="preserve">bear financial responsibility for traffic delivered </w:t>
      </w:r>
      <w:r w:rsidRPr="00997D09" w:rsidR="001C5B72">
        <w:rPr>
          <w:rFonts w:ascii="Times New Roman" w:hAnsi="Times New Roman" w:cs="Times New Roman"/>
          <w:bCs/>
        </w:rPr>
        <w:t xml:space="preserve">both </w:t>
      </w:r>
      <w:r w:rsidRPr="000D6367" w:rsidR="001C5B72">
        <w:rPr>
          <w:rFonts w:ascii="Times New Roman" w:hAnsi="Times New Roman" w:cs="Times New Roman"/>
          <w:bCs/>
        </w:rPr>
        <w:t>direct</w:t>
      </w:r>
      <w:r w:rsidR="001C5B72">
        <w:rPr>
          <w:rFonts w:ascii="Times New Roman" w:hAnsi="Times New Roman" w:cs="Times New Roman"/>
          <w:bCs/>
        </w:rPr>
        <w:t>ly</w:t>
      </w:r>
      <w:r w:rsidRPr="00997D09" w:rsidR="001C5B72">
        <w:rPr>
          <w:rFonts w:ascii="Times New Roman" w:hAnsi="Times New Roman" w:cs="Times New Roman"/>
          <w:bCs/>
        </w:rPr>
        <w:t xml:space="preserve"> and </w:t>
      </w:r>
      <w:r w:rsidRPr="000D6367" w:rsidR="001C5B72">
        <w:rPr>
          <w:rFonts w:ascii="Times New Roman" w:hAnsi="Times New Roman" w:cs="Times New Roman"/>
          <w:bCs/>
        </w:rPr>
        <w:t>indirect</w:t>
      </w:r>
      <w:r w:rsidR="001C5B72">
        <w:rPr>
          <w:rFonts w:ascii="Times New Roman" w:hAnsi="Times New Roman" w:cs="Times New Roman"/>
          <w:bCs/>
        </w:rPr>
        <w:t>ly</w:t>
      </w:r>
      <w:r w:rsidRPr="007B55B0" w:rsidR="001C5B72">
        <w:rPr>
          <w:rFonts w:ascii="Times New Roman" w:hAnsi="Times New Roman" w:cs="Times New Roman"/>
          <w:bCs/>
        </w:rPr>
        <w:t xml:space="preserve"> </w:t>
      </w:r>
      <w:r w:rsidRPr="007B55B0" w:rsidR="000F3DC2">
        <w:rPr>
          <w:rFonts w:ascii="Times New Roman" w:hAnsi="Times New Roman" w:cs="Times New Roman"/>
          <w:bCs/>
        </w:rPr>
        <w:t xml:space="preserve">to </w:t>
      </w:r>
      <w:r w:rsidRPr="00997D09" w:rsidR="006C2A99">
        <w:rPr>
          <w:rFonts w:ascii="Times New Roman" w:hAnsi="Times New Roman" w:cs="Times New Roman"/>
          <w:bCs/>
        </w:rPr>
        <w:t>their</w:t>
      </w:r>
      <w:r w:rsidRPr="00997D09" w:rsidR="000F3DC2">
        <w:rPr>
          <w:rFonts w:ascii="Times New Roman" w:hAnsi="Times New Roman" w:cs="Times New Roman"/>
          <w:bCs/>
        </w:rPr>
        <w:t xml:space="preserve"> end office</w:t>
      </w:r>
      <w:r w:rsidRPr="00997D09" w:rsidR="006C2A99">
        <w:rPr>
          <w:rFonts w:ascii="Times New Roman" w:hAnsi="Times New Roman" w:cs="Times New Roman"/>
          <w:bCs/>
        </w:rPr>
        <w:t>s</w:t>
      </w:r>
      <w:r w:rsidRPr="00997D09" w:rsidR="00587A58">
        <w:rPr>
          <w:rFonts w:ascii="Times New Roman" w:hAnsi="Times New Roman" w:cs="Times New Roman"/>
          <w:bCs/>
        </w:rPr>
        <w:t>.</w:t>
      </w:r>
      <w:r w:rsidR="002F405E">
        <w:rPr>
          <w:rFonts w:ascii="Times New Roman" w:hAnsi="Times New Roman" w:cs="Times New Roman"/>
          <w:bCs/>
        </w:rPr>
        <w:t xml:space="preserve"> </w:t>
      </w:r>
      <w:r w:rsidRPr="00997D09" w:rsidR="00587A58">
        <w:rPr>
          <w:rFonts w:ascii="Times New Roman" w:hAnsi="Times New Roman" w:cs="Times New Roman"/>
          <w:bCs/>
        </w:rPr>
        <w:t xml:space="preserve"> Thus</w:t>
      </w:r>
      <w:r w:rsidR="002F405E">
        <w:rPr>
          <w:rFonts w:ascii="Times New Roman" w:hAnsi="Times New Roman" w:cs="Times New Roman"/>
          <w:bCs/>
        </w:rPr>
        <w:t xml:space="preserve">, </w:t>
      </w:r>
      <w:r>
        <w:rPr>
          <w:rFonts w:ascii="Times New Roman" w:hAnsi="Times New Roman" w:cs="Times New Roman"/>
          <w:bCs/>
        </w:rPr>
        <w:t>t</w:t>
      </w:r>
      <w:r w:rsidR="00635691">
        <w:rPr>
          <w:rFonts w:ascii="Times New Roman" w:hAnsi="Times New Roman" w:cs="Times New Roman"/>
          <w:bCs/>
        </w:rPr>
        <w:t xml:space="preserve">hey may </w:t>
      </w:r>
      <w:r>
        <w:rPr>
          <w:rFonts w:ascii="Times New Roman" w:hAnsi="Times New Roman" w:cs="Times New Roman"/>
          <w:bCs/>
        </w:rPr>
        <w:t xml:space="preserve">not </w:t>
      </w:r>
      <w:r w:rsidRPr="00997D09" w:rsidR="00587A58">
        <w:rPr>
          <w:rFonts w:ascii="Times New Roman" w:hAnsi="Times New Roman" w:cs="Times New Roman"/>
          <w:bCs/>
        </w:rPr>
        <w:t xml:space="preserve">bill the </w:t>
      </w:r>
      <w:r w:rsidR="00635691">
        <w:rPr>
          <w:rFonts w:ascii="Times New Roman" w:hAnsi="Times New Roman" w:cs="Times New Roman"/>
          <w:bCs/>
        </w:rPr>
        <w:t xml:space="preserve">IXC </w:t>
      </w:r>
      <w:r w:rsidRPr="00997D09" w:rsidR="00587A58">
        <w:rPr>
          <w:rFonts w:ascii="Times New Roman" w:hAnsi="Times New Roman" w:cs="Times New Roman"/>
          <w:bCs/>
        </w:rPr>
        <w:t xml:space="preserve">for </w:t>
      </w:r>
      <w:r w:rsidR="00B523DA">
        <w:rPr>
          <w:rFonts w:ascii="Times New Roman" w:hAnsi="Times New Roman" w:cs="Times New Roman"/>
          <w:bCs/>
        </w:rPr>
        <w:t>terminating</w:t>
      </w:r>
      <w:r w:rsidRPr="00997D09" w:rsidR="00587A58">
        <w:rPr>
          <w:rFonts w:ascii="Times New Roman" w:hAnsi="Times New Roman" w:cs="Times New Roman"/>
          <w:bCs/>
        </w:rPr>
        <w:t xml:space="preserve"> switching or transport services.</w:t>
      </w:r>
    </w:p>
    <w:p w:rsidR="00411F22" w:rsidRPr="007032A4" w:rsidP="00040AB7" w14:paraId="2D1BF906" w14:textId="77777777">
      <w:pPr>
        <w:tabs>
          <w:tab w:val="left" w:pos="820"/>
        </w:tabs>
        <w:rPr>
          <w:rFonts w:ascii="Times New Roman" w:hAnsi="Times New Roman" w:cs="Times New Roman"/>
          <w:bCs/>
        </w:rPr>
      </w:pPr>
    </w:p>
    <w:p w:rsidR="00715D20" w:rsidRPr="0053766B" w:rsidP="00715D20" w14:paraId="252D2E21" w14:textId="3F703D45">
      <w:pPr>
        <w:spacing w:after="120"/>
        <w:rPr>
          <w:rFonts w:ascii="Times New Roman" w:hAnsi="Times New Roman" w:cs="Times New Roman"/>
          <w:b/>
          <w:i/>
        </w:rPr>
      </w:pPr>
      <w:r>
        <w:rPr>
          <w:rFonts w:ascii="Times New Roman" w:hAnsi="Times New Roman" w:cs="Times New Roman"/>
          <w:b/>
          <w:i/>
        </w:rPr>
        <w:t>Revised Definition</w:t>
      </w:r>
      <w:r w:rsidR="00963CF1">
        <w:rPr>
          <w:rFonts w:ascii="Times New Roman" w:hAnsi="Times New Roman" w:cs="Times New Roman"/>
          <w:b/>
          <w:i/>
        </w:rPr>
        <w:t xml:space="preserve"> of Access </w:t>
      </w:r>
      <w:r w:rsidRPr="0053766B" w:rsidR="00963CF1">
        <w:rPr>
          <w:rFonts w:ascii="Times New Roman" w:hAnsi="Times New Roman" w:cs="Times New Roman"/>
          <w:b/>
          <w:i/>
        </w:rPr>
        <w:t>Stimulation</w:t>
      </w:r>
      <w:r w:rsidRPr="0053766B" w:rsidR="0053766B">
        <w:rPr>
          <w:rFonts w:ascii="Times New Roman" w:hAnsi="Times New Roman" w:cs="Times New Roman"/>
          <w:b/>
          <w:i/>
        </w:rPr>
        <w:t xml:space="preserve"> </w:t>
      </w:r>
      <w:r w:rsidRPr="002E39AA" w:rsidR="0053766B">
        <w:rPr>
          <w:rFonts w:ascii="Times New Roman" w:hAnsi="Times New Roman" w:cs="Times New Roman"/>
          <w:b/>
          <w:bCs/>
          <w:i/>
        </w:rPr>
        <w:t>[</w:t>
      </w:r>
      <w:r w:rsidRPr="002E39AA" w:rsidR="00FF2496">
        <w:rPr>
          <w:rFonts w:ascii="Times New Roman" w:hAnsi="Times New Roman" w:cs="Times New Roman"/>
          <w:b/>
          <w:i/>
          <w:color w:val="242021"/>
          <w:spacing w:val="-1"/>
        </w:rPr>
        <w:t xml:space="preserve">47 CFR </w:t>
      </w:r>
      <w:r w:rsidRPr="002E39AA" w:rsidR="00FF2496">
        <w:rPr>
          <w:rFonts w:ascii="Times New Roman" w:hAnsi="Times New Roman" w:cs="Times New Roman"/>
          <w:b/>
          <w:bCs/>
          <w:i/>
          <w:spacing w:val="-1"/>
        </w:rPr>
        <w:t>§ 51.903(</w:t>
      </w:r>
      <w:r w:rsidR="00FF2496">
        <w:rPr>
          <w:rFonts w:ascii="Times New Roman" w:hAnsi="Times New Roman" w:cs="Times New Roman"/>
          <w:b/>
          <w:bCs/>
          <w:i/>
          <w:spacing w:val="-1"/>
        </w:rPr>
        <w:t>k</w:t>
      </w:r>
      <w:r w:rsidRPr="002E39AA" w:rsidR="00FF2496">
        <w:rPr>
          <w:rFonts w:ascii="Times New Roman" w:hAnsi="Times New Roman" w:cs="Times New Roman"/>
          <w:b/>
          <w:bCs/>
          <w:i/>
          <w:spacing w:val="-1"/>
        </w:rPr>
        <w:t>);</w:t>
      </w:r>
      <w:r w:rsidR="00FF2496">
        <w:rPr>
          <w:rFonts w:ascii="Times New Roman" w:hAnsi="Times New Roman" w:cs="Times New Roman"/>
          <w:b/>
          <w:bCs/>
          <w:spacing w:val="-1"/>
        </w:rPr>
        <w:t xml:space="preserve"> </w:t>
      </w:r>
      <w:r w:rsidRPr="002E39AA" w:rsidR="0053766B">
        <w:rPr>
          <w:rFonts w:ascii="Times New Roman" w:hAnsi="Times New Roman" w:cs="Times New Roman"/>
          <w:b/>
          <w:i/>
          <w:color w:val="242021"/>
          <w:spacing w:val="-1"/>
        </w:rPr>
        <w:t xml:space="preserve">47 CFR </w:t>
      </w:r>
      <w:r w:rsidRPr="002E39AA" w:rsidR="0053766B">
        <w:rPr>
          <w:rFonts w:ascii="Times New Roman" w:hAnsi="Times New Roman" w:cs="Times New Roman"/>
          <w:b/>
          <w:bCs/>
          <w:i/>
          <w:spacing w:val="-1"/>
        </w:rPr>
        <w:t>§ 61.3(bbb)]</w:t>
      </w:r>
    </w:p>
    <w:p w:rsidR="00635691" w:rsidRPr="00403F73" w:rsidP="000D6367" w14:paraId="514F5E63" w14:textId="13B90BF1">
      <w:pPr>
        <w:numPr>
          <w:ilvl w:val="0"/>
          <w:numId w:val="7"/>
        </w:numPr>
        <w:tabs>
          <w:tab w:val="left" w:pos="820"/>
        </w:tabs>
        <w:spacing w:after="120"/>
        <w:rPr>
          <w:rFonts w:ascii="Times New Roman" w:hAnsi="Times New Roman" w:cs="Times New Roman"/>
          <w:bCs/>
        </w:rPr>
      </w:pPr>
      <w:r w:rsidRPr="00403F73">
        <w:rPr>
          <w:rFonts w:ascii="Times New Roman" w:hAnsi="Times New Roman" w:cs="Times New Roman"/>
          <w:b/>
          <w:bCs/>
        </w:rPr>
        <w:t>Access Stimulation</w:t>
      </w:r>
      <w:r w:rsidRPr="00403F73">
        <w:rPr>
          <w:rFonts w:ascii="Times New Roman" w:hAnsi="Times New Roman" w:cs="Times New Roman"/>
          <w:bCs/>
        </w:rPr>
        <w:t xml:space="preserve"> is defined as </w:t>
      </w:r>
      <w:r w:rsidRPr="00403F73" w:rsidR="00EF31C3">
        <w:rPr>
          <w:rFonts w:ascii="Times New Roman" w:hAnsi="Times New Roman" w:cs="Times New Roman"/>
          <w:bCs/>
        </w:rPr>
        <w:t>occurring</w:t>
      </w:r>
      <w:r w:rsidRPr="00403F73" w:rsidR="00BD6AD9">
        <w:rPr>
          <w:rFonts w:ascii="Times New Roman" w:hAnsi="Times New Roman" w:cs="Times New Roman"/>
          <w:bCs/>
        </w:rPr>
        <w:t xml:space="preserve"> when a LEC satisfies any one of the following tests:</w:t>
      </w:r>
      <w:r w:rsidRPr="00403F73">
        <w:rPr>
          <w:rFonts w:ascii="Times New Roman" w:hAnsi="Times New Roman" w:cs="Times New Roman"/>
          <w:bCs/>
          <w:spacing w:val="-1"/>
        </w:rPr>
        <w:t xml:space="preserve">  </w:t>
      </w:r>
    </w:p>
    <w:p w:rsidR="00635691" w:rsidP="000D6367" w14:paraId="6CE4D0DB" w14:textId="4EB31C8A">
      <w:pPr>
        <w:numPr>
          <w:ilvl w:val="1"/>
          <w:numId w:val="7"/>
        </w:numPr>
        <w:tabs>
          <w:tab w:val="left" w:pos="820"/>
        </w:tabs>
        <w:spacing w:after="120"/>
        <w:rPr>
          <w:rFonts w:ascii="Times New Roman" w:hAnsi="Times New Roman" w:cs="Times New Roman"/>
          <w:bCs/>
        </w:rPr>
      </w:pPr>
      <w:r w:rsidRPr="00403F73">
        <w:rPr>
          <w:rFonts w:ascii="Times New Roman" w:hAnsi="Times New Roman" w:cs="Times New Roman"/>
          <w:bCs/>
        </w:rPr>
        <w:t xml:space="preserve">First, </w:t>
      </w:r>
      <w:r w:rsidRPr="00403F73" w:rsidR="00670055">
        <w:rPr>
          <w:rFonts w:ascii="Times New Roman" w:hAnsi="Times New Roman" w:cs="Times New Roman"/>
          <w:bCs/>
        </w:rPr>
        <w:t>the current definition remains unchanged</w:t>
      </w:r>
      <w:r w:rsidRPr="00403F73" w:rsidR="00403F73">
        <w:rPr>
          <w:rFonts w:ascii="Times New Roman" w:hAnsi="Times New Roman" w:cs="Times New Roman"/>
          <w:bCs/>
        </w:rPr>
        <w:t>:</w:t>
      </w:r>
      <w:r w:rsidRPr="00403F73" w:rsidR="00670055">
        <w:rPr>
          <w:rFonts w:ascii="Times New Roman" w:hAnsi="Times New Roman" w:cs="Times New Roman"/>
          <w:bCs/>
        </w:rPr>
        <w:t xml:space="preserve">  </w:t>
      </w:r>
      <w:r w:rsidRPr="00403F73" w:rsidR="00403F73">
        <w:rPr>
          <w:rFonts w:ascii="Times New Roman" w:hAnsi="Times New Roman" w:cs="Times New Roman"/>
          <w:bCs/>
        </w:rPr>
        <w:t>a</w:t>
      </w:r>
      <w:r w:rsidRPr="00403F73">
        <w:rPr>
          <w:rFonts w:ascii="Times New Roman" w:hAnsi="Times New Roman" w:cs="Times New Roman"/>
          <w:bCs/>
        </w:rPr>
        <w:t xml:space="preserve"> LEC is engaged in access stimulation where it</w:t>
      </w:r>
      <w:r w:rsidRPr="00403F73" w:rsidR="00670055">
        <w:rPr>
          <w:rFonts w:ascii="Times New Roman" w:hAnsi="Times New Roman" w:cs="Times New Roman"/>
          <w:bCs/>
        </w:rPr>
        <w:t xml:space="preserve"> </w:t>
      </w:r>
      <w:r w:rsidRPr="00403F73">
        <w:rPr>
          <w:rFonts w:ascii="Times New Roman" w:hAnsi="Times New Roman" w:cs="Times New Roman"/>
          <w:bCs/>
        </w:rPr>
        <w:t>has</w:t>
      </w:r>
      <w:r w:rsidR="000659C1">
        <w:rPr>
          <w:rFonts w:ascii="Times New Roman" w:hAnsi="Times New Roman" w:cs="Times New Roman"/>
          <w:bCs/>
        </w:rPr>
        <w:t xml:space="preserve"> a revenue-sharing agreement </w:t>
      </w:r>
      <w:r w:rsidR="005B2E0A">
        <w:rPr>
          <w:rFonts w:ascii="Times New Roman" w:hAnsi="Times New Roman" w:cs="Times New Roman"/>
          <w:bCs/>
        </w:rPr>
        <w:t xml:space="preserve">based on access charge revenues </w:t>
      </w:r>
      <w:r w:rsidR="000659C1">
        <w:rPr>
          <w:rFonts w:ascii="Times New Roman" w:hAnsi="Times New Roman" w:cs="Times New Roman"/>
          <w:bCs/>
        </w:rPr>
        <w:t xml:space="preserve">that results in a net payment to another party </w:t>
      </w:r>
      <w:r w:rsidRPr="000659C1" w:rsidR="000659C1">
        <w:rPr>
          <w:rFonts w:ascii="Times New Roman" w:hAnsi="Times New Roman" w:cs="Times New Roman"/>
          <w:bCs/>
          <w:i/>
        </w:rPr>
        <w:t>and also has</w:t>
      </w:r>
      <w:r w:rsidR="000659C1">
        <w:rPr>
          <w:rFonts w:ascii="Times New Roman" w:hAnsi="Times New Roman" w:cs="Times New Roman"/>
          <w:bCs/>
        </w:rPr>
        <w:t xml:space="preserve"> </w:t>
      </w:r>
      <w:r w:rsidRPr="00403F73">
        <w:rPr>
          <w:rFonts w:ascii="Times New Roman" w:hAnsi="Times New Roman" w:cs="Times New Roman"/>
          <w:bCs/>
        </w:rPr>
        <w:t xml:space="preserve">either (i) </w:t>
      </w:r>
      <w:r w:rsidR="005E471B">
        <w:rPr>
          <w:rFonts w:ascii="Times New Roman" w:hAnsi="Times New Roman" w:cs="Times New Roman"/>
          <w:bCs/>
        </w:rPr>
        <w:t xml:space="preserve">at least </w:t>
      </w:r>
      <w:r w:rsidRPr="00403F73">
        <w:rPr>
          <w:rFonts w:ascii="Times New Roman" w:hAnsi="Times New Roman" w:cs="Times New Roman"/>
          <w:bCs/>
        </w:rPr>
        <w:t xml:space="preserve">a 3:1 interstate terminating-to-originating traffic ratio </w:t>
      </w:r>
      <w:r w:rsidR="005E471B">
        <w:rPr>
          <w:rFonts w:ascii="Times New Roman" w:hAnsi="Times New Roman" w:cs="Times New Roman"/>
          <w:bCs/>
        </w:rPr>
        <w:t xml:space="preserve">in a calendar month </w:t>
      </w:r>
      <w:r w:rsidRPr="00403F73">
        <w:rPr>
          <w:rFonts w:ascii="Times New Roman" w:hAnsi="Times New Roman" w:cs="Times New Roman"/>
          <w:bCs/>
          <w:i/>
        </w:rPr>
        <w:t>or</w:t>
      </w:r>
      <w:r w:rsidRPr="00403F73">
        <w:rPr>
          <w:rFonts w:ascii="Times New Roman" w:hAnsi="Times New Roman" w:cs="Times New Roman"/>
          <w:bCs/>
        </w:rPr>
        <w:t xml:space="preserve"> (ii) 100</w:t>
      </w:r>
      <w:r w:rsidRPr="00403F73" w:rsidR="0003320A">
        <w:rPr>
          <w:rFonts w:ascii="Times New Roman" w:hAnsi="Times New Roman" w:cs="Times New Roman"/>
          <w:bCs/>
        </w:rPr>
        <w:t xml:space="preserve"> percent</w:t>
      </w:r>
      <w:r w:rsidRPr="00403F73">
        <w:rPr>
          <w:rFonts w:ascii="Times New Roman" w:hAnsi="Times New Roman" w:cs="Times New Roman"/>
          <w:bCs/>
        </w:rPr>
        <w:t xml:space="preserve"> growth in interstate originating and/or terminating switched access minutes of use in a month compared to the same</w:t>
      </w:r>
      <w:r>
        <w:rPr>
          <w:rFonts w:ascii="Times New Roman" w:hAnsi="Times New Roman" w:cs="Times New Roman"/>
          <w:bCs/>
        </w:rPr>
        <w:t xml:space="preserve"> month in the preceding year.</w:t>
      </w:r>
    </w:p>
    <w:p w:rsidR="00670055" w14:paraId="3AC540AB" w14:textId="5203D2DC">
      <w:pPr>
        <w:numPr>
          <w:ilvl w:val="1"/>
          <w:numId w:val="7"/>
        </w:numPr>
        <w:tabs>
          <w:tab w:val="left" w:pos="820"/>
        </w:tabs>
        <w:spacing w:after="120"/>
        <w:rPr>
          <w:rFonts w:ascii="Times New Roman" w:hAnsi="Times New Roman" w:cs="Times New Roman"/>
          <w:bCs/>
        </w:rPr>
      </w:pPr>
      <w:r>
        <w:rPr>
          <w:rFonts w:ascii="Times New Roman" w:hAnsi="Times New Roman" w:cs="Times New Roman"/>
          <w:bCs/>
        </w:rPr>
        <w:t xml:space="preserve">Second, </w:t>
      </w:r>
      <w:r>
        <w:rPr>
          <w:rFonts w:ascii="Times New Roman" w:hAnsi="Times New Roman" w:cs="Times New Roman"/>
          <w:bCs/>
        </w:rPr>
        <w:t xml:space="preserve">a </w:t>
      </w:r>
      <w:r w:rsidRPr="00670055">
        <w:rPr>
          <w:rFonts w:ascii="Times New Roman" w:hAnsi="Times New Roman" w:cs="Times New Roman"/>
          <w:bCs/>
        </w:rPr>
        <w:t xml:space="preserve">competitive </w:t>
      </w:r>
      <w:r w:rsidR="005E471B">
        <w:rPr>
          <w:rFonts w:ascii="Times New Roman" w:hAnsi="Times New Roman" w:cs="Times New Roman"/>
          <w:bCs/>
        </w:rPr>
        <w:t>LEC</w:t>
      </w:r>
      <w:r>
        <w:rPr>
          <w:rFonts w:ascii="Times New Roman" w:hAnsi="Times New Roman" w:cs="Times New Roman"/>
          <w:bCs/>
        </w:rPr>
        <w:t xml:space="preserve"> is </w:t>
      </w:r>
      <w:r w:rsidRPr="00670055">
        <w:rPr>
          <w:rFonts w:ascii="Times New Roman" w:hAnsi="Times New Roman" w:cs="Times New Roman"/>
          <w:bCs/>
        </w:rPr>
        <w:t>engag</w:t>
      </w:r>
      <w:r>
        <w:rPr>
          <w:rFonts w:ascii="Times New Roman" w:hAnsi="Times New Roman" w:cs="Times New Roman"/>
          <w:bCs/>
        </w:rPr>
        <w:t>ed</w:t>
      </w:r>
      <w:r w:rsidRPr="00670055">
        <w:rPr>
          <w:rFonts w:ascii="Times New Roman" w:hAnsi="Times New Roman" w:cs="Times New Roman"/>
          <w:bCs/>
        </w:rPr>
        <w:t xml:space="preserve"> in access stimulation </w:t>
      </w:r>
      <w:r>
        <w:rPr>
          <w:rFonts w:ascii="Times New Roman" w:hAnsi="Times New Roman" w:cs="Times New Roman"/>
          <w:bCs/>
        </w:rPr>
        <w:t xml:space="preserve">if it has </w:t>
      </w:r>
      <w:r w:rsidRPr="00670055">
        <w:rPr>
          <w:rFonts w:ascii="Times New Roman" w:hAnsi="Times New Roman" w:cs="Times New Roman"/>
          <w:bCs/>
        </w:rPr>
        <w:t>an interstate terminating-to-originating traffic ratio of at least 6:1 in a calendar month</w:t>
      </w:r>
      <w:r>
        <w:rPr>
          <w:rFonts w:ascii="Times New Roman" w:hAnsi="Times New Roman" w:cs="Times New Roman"/>
          <w:bCs/>
        </w:rPr>
        <w:t xml:space="preserve">.  </w:t>
      </w:r>
      <w:r w:rsidRPr="00670055">
        <w:rPr>
          <w:rFonts w:ascii="Times New Roman" w:hAnsi="Times New Roman" w:cs="Times New Roman"/>
          <w:bCs/>
        </w:rPr>
        <w:t xml:space="preserve">No revenue-sharing agreement is required to satisfy this </w:t>
      </w:r>
      <w:r>
        <w:rPr>
          <w:rFonts w:ascii="Times New Roman" w:hAnsi="Times New Roman" w:cs="Times New Roman"/>
          <w:bCs/>
        </w:rPr>
        <w:t>second test</w:t>
      </w:r>
      <w:r w:rsidRPr="00670055">
        <w:rPr>
          <w:rFonts w:ascii="Times New Roman" w:hAnsi="Times New Roman" w:cs="Times New Roman"/>
          <w:bCs/>
        </w:rPr>
        <w:t xml:space="preserve">.  </w:t>
      </w:r>
    </w:p>
    <w:p w:rsidR="00635691" w:rsidRPr="00670055" w:rsidP="00670055" w14:paraId="212D5A0C" w14:textId="77BD128B">
      <w:pPr>
        <w:numPr>
          <w:ilvl w:val="1"/>
          <w:numId w:val="7"/>
        </w:numPr>
        <w:tabs>
          <w:tab w:val="left" w:pos="820"/>
        </w:tabs>
        <w:spacing w:after="120"/>
        <w:rPr>
          <w:rFonts w:ascii="Times New Roman" w:hAnsi="Times New Roman" w:cs="Times New Roman"/>
          <w:bCs/>
        </w:rPr>
      </w:pPr>
      <w:r>
        <w:rPr>
          <w:rFonts w:ascii="Times New Roman" w:hAnsi="Times New Roman" w:cs="Times New Roman"/>
          <w:bCs/>
        </w:rPr>
        <w:t>Third</w:t>
      </w:r>
      <w:r w:rsidRPr="00670055">
        <w:rPr>
          <w:rFonts w:ascii="Times New Roman" w:hAnsi="Times New Roman" w:cs="Times New Roman"/>
          <w:bCs/>
        </w:rPr>
        <w:t xml:space="preserve">, a rate-of-return </w:t>
      </w:r>
      <w:r w:rsidR="005E471B">
        <w:rPr>
          <w:rFonts w:ascii="Times New Roman" w:hAnsi="Times New Roman" w:cs="Times New Roman"/>
          <w:bCs/>
        </w:rPr>
        <w:t xml:space="preserve">LEC </w:t>
      </w:r>
      <w:r>
        <w:rPr>
          <w:rFonts w:ascii="Times New Roman" w:hAnsi="Times New Roman" w:cs="Times New Roman"/>
          <w:bCs/>
        </w:rPr>
        <w:t xml:space="preserve">is </w:t>
      </w:r>
      <w:r w:rsidRPr="00670055">
        <w:rPr>
          <w:rFonts w:ascii="Times New Roman" w:hAnsi="Times New Roman" w:cs="Times New Roman"/>
          <w:bCs/>
        </w:rPr>
        <w:t>engag</w:t>
      </w:r>
      <w:r>
        <w:rPr>
          <w:rFonts w:ascii="Times New Roman" w:hAnsi="Times New Roman" w:cs="Times New Roman"/>
          <w:bCs/>
        </w:rPr>
        <w:t>ed</w:t>
      </w:r>
      <w:r w:rsidRPr="00670055">
        <w:rPr>
          <w:rFonts w:ascii="Times New Roman" w:hAnsi="Times New Roman" w:cs="Times New Roman"/>
          <w:bCs/>
        </w:rPr>
        <w:t xml:space="preserve"> in access stimulation if it has an interstate terminating-to-originating traffic ratio of at least 10:1 in a three-month period and </w:t>
      </w:r>
      <w:r w:rsidRPr="00E363FC">
        <w:rPr>
          <w:rFonts w:ascii="Times New Roman" w:hAnsi="Times New Roman" w:cs="Times New Roman"/>
          <w:bCs/>
        </w:rPr>
        <w:t xml:space="preserve">also satisfies a threshold of 500,000 minutes or more of interstate terminating minutes-of-use per month in an end office averaged over the same three-month period.  </w:t>
      </w:r>
      <w:r w:rsidRPr="00E363FC">
        <w:rPr>
          <w:rFonts w:ascii="Times New Roman" w:hAnsi="Times New Roman" w:cs="Times New Roman"/>
          <w:bCs/>
        </w:rPr>
        <w:t xml:space="preserve">No revenue-sharing agreement is required to satisfy this </w:t>
      </w:r>
      <w:r w:rsidRPr="00E363FC">
        <w:rPr>
          <w:rFonts w:ascii="Times New Roman" w:hAnsi="Times New Roman" w:cs="Times New Roman"/>
          <w:bCs/>
        </w:rPr>
        <w:t>third test</w:t>
      </w:r>
      <w:r w:rsidRPr="00E363FC">
        <w:rPr>
          <w:rFonts w:ascii="Times New Roman" w:hAnsi="Times New Roman" w:cs="Times New Roman"/>
          <w:bCs/>
        </w:rPr>
        <w:t>.</w:t>
      </w:r>
      <w:r w:rsidRPr="00E363FC" w:rsidR="00BD6AD9">
        <w:rPr>
          <w:rFonts w:ascii="Times New Roman" w:hAnsi="Times New Roman" w:cs="Times New Roman"/>
          <w:bCs/>
        </w:rPr>
        <w:t xml:space="preserve"> </w:t>
      </w:r>
    </w:p>
    <w:p w:rsidR="00715D20" w:rsidRPr="0053766B" w:rsidP="005C7043" w14:paraId="71A5B460" w14:textId="2B7D496C">
      <w:pPr>
        <w:numPr>
          <w:ilvl w:val="0"/>
          <w:numId w:val="7"/>
        </w:numPr>
        <w:tabs>
          <w:tab w:val="left" w:pos="820"/>
        </w:tabs>
        <w:spacing w:after="120"/>
        <w:rPr>
          <w:rFonts w:ascii="Times New Roman" w:hAnsi="Times New Roman" w:cs="Times New Roman"/>
          <w:bCs/>
        </w:rPr>
      </w:pPr>
      <w:r>
        <w:rPr>
          <w:rFonts w:ascii="Times New Roman" w:hAnsi="Times New Roman" w:cs="Times New Roman"/>
          <w:bCs/>
        </w:rPr>
        <w:t>T</w:t>
      </w:r>
      <w:r w:rsidRPr="000D6367" w:rsidR="00016697">
        <w:rPr>
          <w:rFonts w:ascii="Times New Roman" w:hAnsi="Times New Roman" w:cs="Times New Roman"/>
          <w:bCs/>
        </w:rPr>
        <w:t xml:space="preserve">he revised </w:t>
      </w:r>
      <w:r w:rsidRPr="00E363FC" w:rsidR="00016697">
        <w:rPr>
          <w:rFonts w:ascii="Times New Roman" w:hAnsi="Times New Roman" w:cs="Times New Roman"/>
          <w:bCs/>
        </w:rPr>
        <w:t>rule</w:t>
      </w:r>
      <w:r w:rsidRPr="00E363FC">
        <w:rPr>
          <w:rFonts w:ascii="Times New Roman" w:hAnsi="Times New Roman" w:cs="Times New Roman"/>
          <w:bCs/>
        </w:rPr>
        <w:t xml:space="preserve"> </w:t>
      </w:r>
      <w:r w:rsidR="00C74363">
        <w:rPr>
          <w:rFonts w:ascii="Times New Roman" w:hAnsi="Times New Roman" w:cs="Times New Roman"/>
          <w:bCs/>
        </w:rPr>
        <w:t xml:space="preserve">also </w:t>
      </w:r>
      <w:r w:rsidRPr="00E363FC">
        <w:rPr>
          <w:rFonts w:ascii="Times New Roman" w:hAnsi="Times New Roman" w:cs="Times New Roman"/>
          <w:bCs/>
        </w:rPr>
        <w:t xml:space="preserve">clarifies the steps needed for an access-stimulating LEC to end </w:t>
      </w:r>
      <w:r w:rsidRPr="00E363FC" w:rsidR="00016697">
        <w:rPr>
          <w:rFonts w:ascii="Times New Roman" w:hAnsi="Times New Roman" w:cs="Times New Roman"/>
          <w:bCs/>
        </w:rPr>
        <w:t>its status as an access stimulator</w:t>
      </w:r>
      <w:r w:rsidR="008B7122">
        <w:rPr>
          <w:rFonts w:ascii="Times New Roman" w:hAnsi="Times New Roman" w:cs="Times New Roman"/>
          <w:bCs/>
        </w:rPr>
        <w:t xml:space="preserve"> for each test</w:t>
      </w:r>
      <w:r w:rsidR="00AA3A27">
        <w:rPr>
          <w:rFonts w:ascii="Times New Roman" w:hAnsi="Times New Roman" w:cs="Times New Roman"/>
          <w:bCs/>
        </w:rPr>
        <w:t xml:space="preserve">, provided that it </w:t>
      </w:r>
      <w:r w:rsidR="008B7122">
        <w:rPr>
          <w:rFonts w:ascii="Times New Roman" w:hAnsi="Times New Roman" w:cs="Times New Roman"/>
          <w:bCs/>
        </w:rPr>
        <w:t>does not qualify under another test</w:t>
      </w:r>
      <w:r w:rsidRPr="00E363FC" w:rsidR="00CF5211">
        <w:rPr>
          <w:rFonts w:ascii="Times New Roman" w:hAnsi="Times New Roman" w:cs="Times New Roman"/>
          <w:bCs/>
        </w:rPr>
        <w:t xml:space="preserve">: </w:t>
      </w:r>
      <w:r w:rsidRPr="00E363FC" w:rsidR="002E4AAF">
        <w:rPr>
          <w:rFonts w:ascii="Times New Roman" w:hAnsi="Times New Roman" w:cs="Times New Roman"/>
          <w:bCs/>
        </w:rPr>
        <w:t xml:space="preserve"> </w:t>
      </w:r>
      <w:r w:rsidRPr="00E363FC" w:rsidR="00CF5211">
        <w:rPr>
          <w:rFonts w:ascii="Times New Roman" w:hAnsi="Times New Roman" w:cs="Times New Roman"/>
          <w:bCs/>
        </w:rPr>
        <w:t xml:space="preserve">(i) a LEC </w:t>
      </w:r>
      <w:r w:rsidRPr="00E363FC">
        <w:rPr>
          <w:rFonts w:ascii="Times New Roman" w:hAnsi="Times New Roman" w:cs="Times New Roman"/>
          <w:bCs/>
        </w:rPr>
        <w:t xml:space="preserve">that qualifies under </w:t>
      </w:r>
      <w:r w:rsidRPr="00E363FC" w:rsidR="00CF5211">
        <w:rPr>
          <w:rFonts w:ascii="Times New Roman" w:hAnsi="Times New Roman" w:cs="Times New Roman"/>
          <w:bCs/>
        </w:rPr>
        <w:t xml:space="preserve">the </w:t>
      </w:r>
      <w:r w:rsidR="008B7122">
        <w:rPr>
          <w:rFonts w:ascii="Times New Roman" w:hAnsi="Times New Roman" w:cs="Times New Roman"/>
          <w:bCs/>
        </w:rPr>
        <w:t xml:space="preserve">3:1 ratio and revenue-sharing test </w:t>
      </w:r>
      <w:r w:rsidRPr="00E363FC">
        <w:rPr>
          <w:rFonts w:ascii="Times New Roman" w:hAnsi="Times New Roman" w:cs="Times New Roman"/>
          <w:bCs/>
        </w:rPr>
        <w:t xml:space="preserve">must </w:t>
      </w:r>
      <w:r w:rsidRPr="00E363FC" w:rsidR="00D45ABA">
        <w:rPr>
          <w:rFonts w:ascii="Times New Roman" w:hAnsi="Times New Roman" w:cs="Times New Roman"/>
          <w:bCs/>
        </w:rPr>
        <w:t>terminate all revenue-sharing agreements</w:t>
      </w:r>
      <w:r w:rsidRPr="00E363FC" w:rsidR="00CF5211">
        <w:rPr>
          <w:rFonts w:ascii="Times New Roman" w:hAnsi="Times New Roman" w:cs="Times New Roman"/>
          <w:bCs/>
        </w:rPr>
        <w:t xml:space="preserve"> covered under the rule; (ii) </w:t>
      </w:r>
      <w:r w:rsidRPr="00E363FC" w:rsidR="0024031A">
        <w:rPr>
          <w:rFonts w:ascii="Times New Roman" w:hAnsi="Times New Roman" w:cs="Times New Roman"/>
          <w:bCs/>
        </w:rPr>
        <w:t xml:space="preserve">a </w:t>
      </w:r>
      <w:r w:rsidR="005E471B">
        <w:rPr>
          <w:rFonts w:ascii="Times New Roman" w:hAnsi="Times New Roman" w:cs="Times New Roman"/>
          <w:bCs/>
        </w:rPr>
        <w:t xml:space="preserve">competitive </w:t>
      </w:r>
      <w:r w:rsidRPr="00E363FC" w:rsidR="0024031A">
        <w:rPr>
          <w:rFonts w:ascii="Times New Roman" w:hAnsi="Times New Roman" w:cs="Times New Roman"/>
          <w:bCs/>
        </w:rPr>
        <w:t xml:space="preserve">LEC </w:t>
      </w:r>
      <w:r w:rsidRPr="00E363FC">
        <w:rPr>
          <w:rFonts w:ascii="Times New Roman" w:hAnsi="Times New Roman" w:cs="Times New Roman"/>
          <w:bCs/>
        </w:rPr>
        <w:t>tha</w:t>
      </w:r>
      <w:r w:rsidRPr="00E363FC" w:rsidR="00BD40EB">
        <w:rPr>
          <w:rFonts w:ascii="Times New Roman" w:hAnsi="Times New Roman" w:cs="Times New Roman"/>
          <w:bCs/>
        </w:rPr>
        <w:t>t</w:t>
      </w:r>
      <w:r w:rsidRPr="00E363FC">
        <w:rPr>
          <w:rFonts w:ascii="Times New Roman" w:hAnsi="Times New Roman" w:cs="Times New Roman"/>
          <w:bCs/>
        </w:rPr>
        <w:t xml:space="preserve"> qualifies under </w:t>
      </w:r>
      <w:r w:rsidRPr="00E363FC" w:rsidR="0024031A">
        <w:rPr>
          <w:rFonts w:ascii="Times New Roman" w:hAnsi="Times New Roman" w:cs="Times New Roman"/>
          <w:bCs/>
        </w:rPr>
        <w:t xml:space="preserve">the </w:t>
      </w:r>
      <w:r w:rsidRPr="00E363FC" w:rsidR="00403F73">
        <w:rPr>
          <w:rFonts w:ascii="Times New Roman" w:hAnsi="Times New Roman" w:cs="Times New Roman"/>
          <w:bCs/>
        </w:rPr>
        <w:t xml:space="preserve">6:1 ratio </w:t>
      </w:r>
      <w:r w:rsidR="00A34599">
        <w:rPr>
          <w:rFonts w:ascii="Times New Roman" w:hAnsi="Times New Roman" w:cs="Times New Roman"/>
          <w:bCs/>
        </w:rPr>
        <w:t xml:space="preserve">test </w:t>
      </w:r>
      <w:r w:rsidRPr="00E363FC">
        <w:rPr>
          <w:rFonts w:ascii="Times New Roman" w:hAnsi="Times New Roman" w:cs="Times New Roman"/>
          <w:bCs/>
        </w:rPr>
        <w:t xml:space="preserve">must reduce </w:t>
      </w:r>
      <w:r w:rsidRPr="00E363FC" w:rsidR="0024031A">
        <w:rPr>
          <w:rFonts w:ascii="Times New Roman" w:hAnsi="Times New Roman" w:cs="Times New Roman"/>
          <w:bCs/>
        </w:rPr>
        <w:t>its interstate terminating-to-originating traffic ratio below 6:1 for six consecutive months</w:t>
      </w:r>
      <w:r w:rsidRPr="00E363FC" w:rsidR="00403F73">
        <w:rPr>
          <w:rFonts w:ascii="Times New Roman" w:hAnsi="Times New Roman" w:cs="Times New Roman"/>
          <w:bCs/>
        </w:rPr>
        <w:t>; and</w:t>
      </w:r>
      <w:r w:rsidR="001F231D">
        <w:rPr>
          <w:rFonts w:ascii="Times New Roman" w:hAnsi="Times New Roman" w:cs="Times New Roman"/>
          <w:bCs/>
        </w:rPr>
        <w:t xml:space="preserve">/or </w:t>
      </w:r>
      <w:r w:rsidRPr="00E363FC" w:rsidR="00403F73">
        <w:rPr>
          <w:rFonts w:ascii="Times New Roman" w:hAnsi="Times New Roman" w:cs="Times New Roman"/>
          <w:bCs/>
        </w:rPr>
        <w:t>(iii) a rate-of-return</w:t>
      </w:r>
      <w:r w:rsidR="00403F73">
        <w:rPr>
          <w:rFonts w:ascii="Times New Roman" w:hAnsi="Times New Roman" w:cs="Times New Roman"/>
          <w:bCs/>
        </w:rPr>
        <w:t xml:space="preserve"> LEC </w:t>
      </w:r>
      <w:r w:rsidR="00A34599">
        <w:rPr>
          <w:rFonts w:ascii="Times New Roman" w:hAnsi="Times New Roman" w:cs="Times New Roman"/>
          <w:bCs/>
        </w:rPr>
        <w:t xml:space="preserve">that qualifies under the 10:1 ratio test </w:t>
      </w:r>
      <w:r w:rsidR="00403F73">
        <w:rPr>
          <w:rFonts w:ascii="Times New Roman" w:hAnsi="Times New Roman" w:cs="Times New Roman"/>
          <w:bCs/>
        </w:rPr>
        <w:t xml:space="preserve">must reduce </w:t>
      </w:r>
      <w:r w:rsidRPr="000D6367" w:rsidR="00403F73">
        <w:rPr>
          <w:rFonts w:ascii="Times New Roman" w:hAnsi="Times New Roman" w:cs="Times New Roman"/>
          <w:bCs/>
        </w:rPr>
        <w:t xml:space="preserve">its interstate terminating-to-originating traffic ratio below </w:t>
      </w:r>
      <w:r w:rsidR="00403F73">
        <w:rPr>
          <w:rFonts w:ascii="Times New Roman" w:hAnsi="Times New Roman" w:cs="Times New Roman"/>
          <w:bCs/>
        </w:rPr>
        <w:t>10</w:t>
      </w:r>
      <w:r w:rsidRPr="000D6367" w:rsidR="00403F73">
        <w:rPr>
          <w:rFonts w:ascii="Times New Roman" w:hAnsi="Times New Roman" w:cs="Times New Roman"/>
          <w:bCs/>
        </w:rPr>
        <w:t xml:space="preserve">:1 </w:t>
      </w:r>
      <w:r w:rsidR="00403F73">
        <w:rPr>
          <w:rFonts w:ascii="Times New Roman" w:hAnsi="Times New Roman" w:cs="Times New Roman"/>
          <w:bCs/>
        </w:rPr>
        <w:t xml:space="preserve">and reduce its monthly interstate terminating minutes-of-use in an end office below 500,000 </w:t>
      </w:r>
      <w:r w:rsidRPr="000D6367" w:rsidR="00403F73">
        <w:rPr>
          <w:rFonts w:ascii="Times New Roman" w:hAnsi="Times New Roman" w:cs="Times New Roman"/>
          <w:bCs/>
        </w:rPr>
        <w:t>for six consecutive months</w:t>
      </w:r>
      <w:r w:rsidRPr="000D6367" w:rsidR="00085192">
        <w:rPr>
          <w:rFonts w:ascii="Times New Roman" w:hAnsi="Times New Roman" w:cs="Times New Roman"/>
          <w:bCs/>
        </w:rPr>
        <w:t>.</w:t>
      </w:r>
    </w:p>
    <w:p w:rsidR="00040AB7" w:rsidRPr="000D6367" w:rsidP="00040AB7" w14:paraId="231C686C" w14:textId="77777777">
      <w:pPr>
        <w:tabs>
          <w:tab w:val="left" w:pos="820"/>
        </w:tabs>
        <w:ind w:left="720"/>
        <w:rPr>
          <w:rFonts w:ascii="Times New Roman" w:hAnsi="Times New Roman" w:cs="Times New Roman"/>
          <w:bCs/>
        </w:rPr>
      </w:pPr>
    </w:p>
    <w:p w:rsidR="004B56D1" w:rsidRPr="000D6367" w:rsidP="000D6367" w14:paraId="7D05CC52" w14:textId="77777777">
      <w:pPr>
        <w:spacing w:after="120"/>
        <w:rPr>
          <w:rFonts w:ascii="Times New Roman" w:hAnsi="Times New Roman" w:cs="Times New Roman"/>
          <w:b/>
          <w:i/>
        </w:rPr>
      </w:pPr>
      <w:r>
        <w:rPr>
          <w:rFonts w:ascii="Times New Roman" w:hAnsi="Times New Roman" w:cs="Times New Roman"/>
          <w:b/>
          <w:i/>
        </w:rPr>
        <w:t>Other Revised Definitions</w:t>
      </w:r>
    </w:p>
    <w:p w:rsidR="00645931" w:rsidRPr="00E363FC" w:rsidP="00645931" w14:paraId="627C52F5" w14:textId="5BCC63FA">
      <w:pPr>
        <w:pStyle w:val="ListParagraph"/>
        <w:numPr>
          <w:ilvl w:val="0"/>
          <w:numId w:val="7"/>
        </w:numPr>
        <w:tabs>
          <w:tab w:val="left" w:pos="820"/>
        </w:tabs>
        <w:spacing w:after="120"/>
        <w:rPr>
          <w:rFonts w:ascii="Times New Roman" w:hAnsi="Times New Roman" w:cs="Times New Roman"/>
          <w:bCs/>
        </w:rPr>
      </w:pPr>
      <w:r w:rsidRPr="00E363FC">
        <w:rPr>
          <w:rFonts w:ascii="Times New Roman" w:hAnsi="Times New Roman" w:cs="Times New Roman"/>
          <w:b/>
          <w:bCs/>
        </w:rPr>
        <w:t xml:space="preserve">Intermediate </w:t>
      </w:r>
      <w:r w:rsidRPr="00E363FC">
        <w:rPr>
          <w:rFonts w:ascii="Times New Roman" w:hAnsi="Times New Roman" w:cs="Times New Roman"/>
          <w:b/>
          <w:bCs/>
        </w:rPr>
        <w:t>A</w:t>
      </w:r>
      <w:r w:rsidRPr="00E363FC">
        <w:rPr>
          <w:rFonts w:ascii="Times New Roman" w:hAnsi="Times New Roman" w:cs="Times New Roman"/>
          <w:b/>
          <w:bCs/>
        </w:rPr>
        <w:t>ccess Provider</w:t>
      </w:r>
      <w:r w:rsidRPr="00E363FC">
        <w:rPr>
          <w:rFonts w:ascii="Times New Roman" w:hAnsi="Times New Roman" w:cs="Times New Roman"/>
          <w:bCs/>
        </w:rPr>
        <w:t xml:space="preserve"> is defined as</w:t>
      </w:r>
      <w:r w:rsidRPr="00E363FC">
        <w:rPr>
          <w:rFonts w:ascii="Times New Roman" w:hAnsi="Times New Roman" w:cs="Times New Roman"/>
          <w:bCs/>
        </w:rPr>
        <w:t xml:space="preserve"> any entity that carries or processes traffic at any point between the final Interexchange Carrier in a call path </w:t>
      </w:r>
      <w:r w:rsidRPr="00E363FC" w:rsidR="00E363FC">
        <w:rPr>
          <w:rFonts w:ascii="Times New Roman" w:hAnsi="Times New Roman" w:cs="Times New Roman"/>
          <w:bCs/>
        </w:rPr>
        <w:t>and a LEC engaged in Access Stimulation</w:t>
      </w:r>
      <w:r w:rsidRPr="00E363FC">
        <w:rPr>
          <w:rFonts w:ascii="Times New Roman" w:hAnsi="Times New Roman" w:cs="Times New Roman"/>
          <w:bCs/>
        </w:rPr>
        <w:t>.</w:t>
      </w:r>
      <w:r w:rsidRPr="00E363FC" w:rsidR="000D6367">
        <w:rPr>
          <w:rFonts w:ascii="Times New Roman" w:hAnsi="Times New Roman" w:cs="Times New Roman"/>
          <w:bCs/>
        </w:rPr>
        <w:t xml:space="preserve"> </w:t>
      </w:r>
      <w:r w:rsidRPr="00E363FC">
        <w:rPr>
          <w:rFonts w:ascii="Times New Roman" w:hAnsi="Times New Roman" w:cs="Times New Roman"/>
          <w:bCs/>
        </w:rPr>
        <w:t xml:space="preserve"> </w:t>
      </w:r>
      <w:r w:rsidRPr="00E363FC">
        <w:rPr>
          <w:rFonts w:ascii="Times New Roman" w:hAnsi="Times New Roman" w:cs="Times New Roman"/>
          <w:b/>
        </w:rPr>
        <w:t>[</w:t>
      </w:r>
      <w:r w:rsidRPr="00E363FC">
        <w:rPr>
          <w:rFonts w:ascii="Times New Roman" w:hAnsi="Times New Roman" w:cs="Times New Roman"/>
          <w:b/>
          <w:color w:val="242021"/>
          <w:spacing w:val="-1"/>
        </w:rPr>
        <w:t xml:space="preserve">47 CFR </w:t>
      </w:r>
      <w:r w:rsidRPr="00E363FC">
        <w:rPr>
          <w:rFonts w:ascii="Times New Roman" w:hAnsi="Times New Roman" w:cs="Times New Roman"/>
          <w:b/>
          <w:bCs/>
          <w:spacing w:val="-1"/>
        </w:rPr>
        <w:t>§ 51.903(l)</w:t>
      </w:r>
      <w:r w:rsidRPr="00E363FC" w:rsidR="00E363FC">
        <w:rPr>
          <w:rFonts w:ascii="Times New Roman" w:hAnsi="Times New Roman" w:cs="Times New Roman"/>
          <w:b/>
          <w:bCs/>
          <w:spacing w:val="-1"/>
        </w:rPr>
        <w:t>; 47 CFR § 61.3(ccc)</w:t>
      </w:r>
      <w:r w:rsidRPr="00E363FC">
        <w:rPr>
          <w:rFonts w:ascii="Times New Roman" w:hAnsi="Times New Roman" w:cs="Times New Roman"/>
          <w:b/>
          <w:bCs/>
          <w:spacing w:val="-1"/>
        </w:rPr>
        <w:t>]</w:t>
      </w:r>
    </w:p>
    <w:p w:rsidR="00645931" w:rsidRPr="00E363FC" w:rsidP="00645931" w14:paraId="568773DE" w14:textId="1F0688E5">
      <w:pPr>
        <w:pStyle w:val="ListParagraph"/>
        <w:numPr>
          <w:ilvl w:val="0"/>
          <w:numId w:val="7"/>
        </w:numPr>
        <w:tabs>
          <w:tab w:val="left" w:pos="820"/>
        </w:tabs>
        <w:spacing w:after="120"/>
        <w:rPr>
          <w:rFonts w:ascii="Times New Roman" w:hAnsi="Times New Roman" w:cs="Times New Roman"/>
          <w:bCs/>
        </w:rPr>
      </w:pPr>
      <w:r w:rsidRPr="00E363FC">
        <w:rPr>
          <w:rFonts w:ascii="Times New Roman" w:hAnsi="Times New Roman" w:cs="Times New Roman"/>
          <w:b/>
          <w:bCs/>
        </w:rPr>
        <w:t xml:space="preserve">Interexchange </w:t>
      </w:r>
      <w:r w:rsidRPr="00E363FC">
        <w:rPr>
          <w:rFonts w:ascii="Times New Roman" w:hAnsi="Times New Roman" w:cs="Times New Roman"/>
          <w:b/>
          <w:bCs/>
        </w:rPr>
        <w:t>C</w:t>
      </w:r>
      <w:r w:rsidRPr="00E363FC">
        <w:rPr>
          <w:rFonts w:ascii="Times New Roman" w:hAnsi="Times New Roman" w:cs="Times New Roman"/>
          <w:b/>
          <w:bCs/>
        </w:rPr>
        <w:t>arrier</w:t>
      </w:r>
      <w:r w:rsidRPr="00E363FC" w:rsidR="001B54C3">
        <w:rPr>
          <w:rFonts w:ascii="Times New Roman" w:hAnsi="Times New Roman" w:cs="Times New Roman"/>
          <w:bCs/>
        </w:rPr>
        <w:t xml:space="preserve"> is defined as </w:t>
      </w:r>
      <w:r w:rsidRPr="00E363FC">
        <w:rPr>
          <w:rFonts w:ascii="Times New Roman" w:hAnsi="Times New Roman" w:cs="Times New Roman"/>
          <w:bCs/>
        </w:rPr>
        <w:t>a</w:t>
      </w:r>
      <w:r w:rsidRPr="00E363FC" w:rsidR="00426D17">
        <w:rPr>
          <w:rFonts w:ascii="Times New Roman" w:hAnsi="Times New Roman" w:cs="Times New Roman"/>
          <w:bCs/>
        </w:rPr>
        <w:t xml:space="preserve"> retail or wholesale</w:t>
      </w:r>
      <w:r w:rsidRPr="00E363FC">
        <w:rPr>
          <w:rFonts w:ascii="Times New Roman" w:hAnsi="Times New Roman" w:cs="Times New Roman"/>
          <w:bCs/>
        </w:rPr>
        <w:t xml:space="preserve"> telecommunications carrier that uses the exchange access or information access services of another telecommunications carrier for the provision of telecommunications</w:t>
      </w:r>
      <w:r w:rsidRPr="00E363FC">
        <w:rPr>
          <w:rFonts w:ascii="Times New Roman" w:hAnsi="Times New Roman" w:cs="Times New Roman"/>
          <w:bCs/>
        </w:rPr>
        <w:t>.</w:t>
      </w:r>
      <w:r w:rsidRPr="00E363FC" w:rsidR="000D6367">
        <w:rPr>
          <w:rFonts w:ascii="Times New Roman" w:hAnsi="Times New Roman" w:cs="Times New Roman"/>
          <w:bCs/>
        </w:rPr>
        <w:t xml:space="preserve"> </w:t>
      </w:r>
      <w:r w:rsidRPr="00E363FC">
        <w:rPr>
          <w:rFonts w:ascii="Times New Roman" w:hAnsi="Times New Roman" w:cs="Times New Roman"/>
          <w:bCs/>
        </w:rPr>
        <w:t xml:space="preserve"> </w:t>
      </w:r>
      <w:r w:rsidRPr="00E363FC">
        <w:rPr>
          <w:rFonts w:ascii="Times New Roman" w:hAnsi="Times New Roman" w:cs="Times New Roman"/>
          <w:b/>
        </w:rPr>
        <w:t>[</w:t>
      </w:r>
      <w:r w:rsidRPr="00E363FC">
        <w:rPr>
          <w:rFonts w:ascii="Times New Roman" w:hAnsi="Times New Roman" w:cs="Times New Roman"/>
          <w:b/>
          <w:color w:val="242021"/>
          <w:spacing w:val="-1"/>
        </w:rPr>
        <w:t xml:space="preserve">47 CFR </w:t>
      </w:r>
      <w:r w:rsidRPr="00E363FC">
        <w:rPr>
          <w:rFonts w:ascii="Times New Roman" w:hAnsi="Times New Roman" w:cs="Times New Roman"/>
          <w:b/>
          <w:bCs/>
          <w:spacing w:val="-1"/>
        </w:rPr>
        <w:t>§ 51.903(m)</w:t>
      </w:r>
      <w:r w:rsidRPr="00E363FC" w:rsidR="00E363FC">
        <w:rPr>
          <w:rFonts w:ascii="Times New Roman" w:hAnsi="Times New Roman" w:cs="Times New Roman"/>
          <w:b/>
          <w:bCs/>
          <w:spacing w:val="-1"/>
        </w:rPr>
        <w:t>; 47 CFR § 61.3(ddd)</w:t>
      </w:r>
      <w:r w:rsidRPr="00E363FC">
        <w:rPr>
          <w:rFonts w:ascii="Times New Roman" w:hAnsi="Times New Roman" w:cs="Times New Roman"/>
          <w:b/>
          <w:bCs/>
          <w:spacing w:val="-1"/>
        </w:rPr>
        <w:t>]</w:t>
      </w:r>
    </w:p>
    <w:p w:rsidR="00715D20" w:rsidRPr="00506B1E" w:rsidP="00715D20" w14:paraId="2574F6F3" w14:textId="77777777">
      <w:pPr>
        <w:pStyle w:val="ListParagraph"/>
        <w:spacing w:after="120"/>
        <w:rPr>
          <w:rFonts w:ascii="Times New Roman" w:hAnsi="Times New Roman" w:cs="Times New Roman"/>
        </w:rPr>
      </w:pPr>
    </w:p>
    <w:p w:rsidR="00715D20" w:rsidRPr="00C319CB" w:rsidP="00715D20" w14:paraId="13327FF4" w14:textId="77777777">
      <w:pPr>
        <w:pStyle w:val="Heading2"/>
        <w:numPr>
          <w:ilvl w:val="0"/>
          <w:numId w:val="1"/>
        </w:numPr>
        <w:tabs>
          <w:tab w:val="left" w:pos="820"/>
        </w:tabs>
        <w:spacing w:after="200"/>
        <w:ind w:left="720"/>
        <w:rPr>
          <w:rFonts w:cs="Times New Roman"/>
          <w:bCs w:val="0"/>
        </w:rPr>
      </w:pPr>
      <w:r w:rsidRPr="00C319CB">
        <w:rPr>
          <w:rFonts w:cs="Times New Roman"/>
          <w:bCs w:val="0"/>
        </w:rPr>
        <w:t>RECORDKEEPING AND REPORTING REQUIREMENTS</w:t>
      </w:r>
    </w:p>
    <w:p w:rsidR="006C632B" w:rsidP="006C632B" w14:paraId="1363658C" w14:textId="2676095D">
      <w:pPr>
        <w:spacing w:after="120"/>
        <w:rPr>
          <w:rFonts w:ascii="Times New Roman" w:hAnsi="Times New Roman" w:cs="Times New Roman"/>
          <w:bCs/>
        </w:rPr>
      </w:pPr>
      <w:r w:rsidRPr="00C319CB">
        <w:rPr>
          <w:rFonts w:ascii="Times New Roman" w:hAnsi="Times New Roman" w:cs="Times New Roman"/>
          <w:bCs/>
        </w:rPr>
        <w:t xml:space="preserve">The </w:t>
      </w:r>
      <w:r w:rsidR="00065555">
        <w:rPr>
          <w:rFonts w:ascii="Times New Roman" w:hAnsi="Times New Roman" w:cs="Times New Roman"/>
          <w:i/>
        </w:rPr>
        <w:t>Access Arbitrage</w:t>
      </w:r>
      <w:r w:rsidRPr="00245BCB" w:rsidR="00065555">
        <w:rPr>
          <w:rFonts w:ascii="Times New Roman" w:hAnsi="Times New Roman" w:cs="Times New Roman"/>
          <w:i/>
        </w:rPr>
        <w:t xml:space="preserve"> Order</w:t>
      </w:r>
      <w:r w:rsidRPr="00C319CB" w:rsidR="00065555">
        <w:rPr>
          <w:rFonts w:ascii="Times New Roman" w:hAnsi="Times New Roman" w:cs="Times New Roman"/>
          <w:bCs/>
        </w:rPr>
        <w:t xml:space="preserve"> </w:t>
      </w:r>
      <w:r w:rsidRPr="00C319CB">
        <w:rPr>
          <w:rFonts w:ascii="Times New Roman" w:hAnsi="Times New Roman" w:cs="Times New Roman"/>
          <w:bCs/>
        </w:rPr>
        <w:t xml:space="preserve">contains new or modified information collection </w:t>
      </w:r>
      <w:r w:rsidR="0086467D">
        <w:rPr>
          <w:rFonts w:ascii="Times New Roman" w:hAnsi="Times New Roman" w:cs="Times New Roman"/>
          <w:bCs/>
        </w:rPr>
        <w:t xml:space="preserve">and reporting </w:t>
      </w:r>
      <w:r w:rsidRPr="00C319CB">
        <w:rPr>
          <w:rFonts w:ascii="Times New Roman" w:hAnsi="Times New Roman" w:cs="Times New Roman"/>
          <w:bCs/>
        </w:rPr>
        <w:t>requirements</w:t>
      </w:r>
      <w:r w:rsidR="004B56D1">
        <w:rPr>
          <w:rFonts w:ascii="Times New Roman" w:hAnsi="Times New Roman" w:cs="Times New Roman"/>
          <w:bCs/>
        </w:rPr>
        <w:t>, and</w:t>
      </w:r>
      <w:r w:rsidR="00760261">
        <w:rPr>
          <w:rFonts w:ascii="Times New Roman" w:hAnsi="Times New Roman" w:cs="Times New Roman"/>
          <w:bCs/>
        </w:rPr>
        <w:t xml:space="preserve"> </w:t>
      </w:r>
      <w:r w:rsidRPr="008E7AC6" w:rsidR="008E7AC6">
        <w:rPr>
          <w:rFonts w:ascii="Times New Roman" w:hAnsi="Times New Roman" w:cs="Times New Roman"/>
          <w:bCs/>
        </w:rPr>
        <w:t xml:space="preserve">imposed </w:t>
      </w:r>
      <w:r w:rsidR="008E7AC6">
        <w:rPr>
          <w:rFonts w:ascii="Times New Roman" w:hAnsi="Times New Roman" w:cs="Times New Roman"/>
          <w:bCs/>
        </w:rPr>
        <w:t xml:space="preserve">new </w:t>
      </w:r>
      <w:r w:rsidRPr="008E7AC6" w:rsidR="008E7AC6">
        <w:rPr>
          <w:rFonts w:ascii="Times New Roman" w:hAnsi="Times New Roman" w:cs="Times New Roman"/>
          <w:bCs/>
        </w:rPr>
        <w:t xml:space="preserve">notice requirements on </w:t>
      </w:r>
      <w:r w:rsidRPr="008E7AC6" w:rsidR="008E7AC6">
        <w:rPr>
          <w:rFonts w:ascii="Times New Roman" w:hAnsi="Times New Roman" w:cs="Times New Roman"/>
          <w:bCs/>
        </w:rPr>
        <w:t>access-stimulating</w:t>
      </w:r>
      <w:r w:rsidRPr="008E7AC6" w:rsidR="008E7AC6">
        <w:rPr>
          <w:rFonts w:ascii="Times New Roman" w:hAnsi="Times New Roman" w:cs="Times New Roman"/>
          <w:bCs/>
        </w:rPr>
        <w:t xml:space="preserve"> LECs</w:t>
      </w:r>
      <w:r>
        <w:rPr>
          <w:rFonts w:ascii="Times New Roman" w:hAnsi="Times New Roman" w:cs="Times New Roman"/>
          <w:bCs/>
        </w:rPr>
        <w:t>:</w:t>
      </w:r>
    </w:p>
    <w:p w:rsidR="00C26007" w:rsidP="00C26007" w14:paraId="2A930987" w14:textId="0516F0F5">
      <w:pPr>
        <w:pStyle w:val="Heading2"/>
        <w:numPr>
          <w:ilvl w:val="0"/>
          <w:numId w:val="11"/>
        </w:numPr>
        <w:tabs>
          <w:tab w:val="left" w:pos="820"/>
        </w:tabs>
        <w:spacing w:after="120"/>
        <w:rPr>
          <w:rFonts w:cs="Times New Roman"/>
          <w:b w:val="0"/>
          <w:bCs w:val="0"/>
        </w:rPr>
      </w:pPr>
      <w:r w:rsidRPr="00353048">
        <w:rPr>
          <w:rFonts w:cs="Times New Roman"/>
          <w:b w:val="0"/>
        </w:rPr>
        <w:t xml:space="preserve">An </w:t>
      </w:r>
      <w:r w:rsidRPr="00353048">
        <w:rPr>
          <w:rFonts w:cs="Times New Roman"/>
          <w:b w:val="0"/>
        </w:rPr>
        <w:t>access-stimulating</w:t>
      </w:r>
      <w:r w:rsidRPr="00353048">
        <w:rPr>
          <w:rFonts w:cs="Times New Roman"/>
          <w:b w:val="0"/>
        </w:rPr>
        <w:t xml:space="preserve"> LEC </w:t>
      </w:r>
      <w:r>
        <w:rPr>
          <w:rFonts w:cs="Times New Roman"/>
          <w:b w:val="0"/>
        </w:rPr>
        <w:t>is</w:t>
      </w:r>
      <w:r w:rsidRPr="00353048">
        <w:rPr>
          <w:rFonts w:cs="Times New Roman"/>
          <w:b w:val="0"/>
        </w:rPr>
        <w:t xml:space="preserve"> required to remove </w:t>
      </w:r>
      <w:r w:rsidRPr="00353048">
        <w:rPr>
          <w:rFonts w:cs="Times New Roman"/>
          <w:b w:val="0"/>
          <w:bCs w:val="0"/>
        </w:rPr>
        <w:t>provisions</w:t>
      </w:r>
      <w:r w:rsidRPr="00353048">
        <w:rPr>
          <w:rFonts w:cs="Times New Roman"/>
          <w:b w:val="0"/>
        </w:rPr>
        <w:t xml:space="preserve"> for terminating tandem switched access </w:t>
      </w:r>
      <w:r w:rsidR="003800AB">
        <w:rPr>
          <w:rFonts w:cs="Times New Roman"/>
          <w:b w:val="0"/>
        </w:rPr>
        <w:t xml:space="preserve">and </w:t>
      </w:r>
      <w:r w:rsidRPr="00353048">
        <w:rPr>
          <w:rFonts w:cs="Times New Roman"/>
          <w:b w:val="0"/>
        </w:rPr>
        <w:t>or terminating switched access transport charges</w:t>
      </w:r>
      <w:r>
        <w:rPr>
          <w:rFonts w:cs="Times New Roman"/>
          <w:b w:val="0"/>
          <w:bCs w:val="0"/>
        </w:rPr>
        <w:t xml:space="preserve"> from its tariffs</w:t>
      </w:r>
      <w:r w:rsidRPr="00353048">
        <w:rPr>
          <w:rFonts w:cs="Times New Roman"/>
          <w:b w:val="0"/>
        </w:rPr>
        <w:t xml:space="preserve"> within 45 days</w:t>
      </w:r>
      <w:r>
        <w:rPr>
          <w:rFonts w:cs="Times New Roman"/>
          <w:b w:val="0"/>
          <w:bCs w:val="0"/>
        </w:rPr>
        <w:t xml:space="preserve"> of the effective date of the </w:t>
      </w:r>
      <w:r w:rsidRPr="00844FF2">
        <w:rPr>
          <w:rFonts w:cs="Times New Roman"/>
          <w:b w:val="0"/>
          <w:i/>
        </w:rPr>
        <w:t>Order</w:t>
      </w:r>
      <w:r>
        <w:rPr>
          <w:rFonts w:cs="Times New Roman"/>
          <w:b w:val="0"/>
        </w:rPr>
        <w:t>,</w:t>
      </w:r>
      <w:r w:rsidR="00B01346">
        <w:rPr>
          <w:rFonts w:cs="Times New Roman"/>
          <w:b w:val="0"/>
        </w:rPr>
        <w:t xml:space="preserve"> which was January 11, 2020,</w:t>
      </w:r>
      <w:r>
        <w:rPr>
          <w:rFonts w:cs="Times New Roman"/>
          <w:b w:val="0"/>
        </w:rPr>
        <w:t xml:space="preserve"> or within 45 days of commencing access stimulation</w:t>
      </w:r>
      <w:r>
        <w:rPr>
          <w:rFonts w:cs="Times New Roman"/>
          <w:b w:val="0"/>
          <w:bCs w:val="0"/>
        </w:rPr>
        <w:t>.</w:t>
      </w:r>
      <w:r w:rsidR="00BE08DB">
        <w:rPr>
          <w:rFonts w:cs="Times New Roman"/>
          <w:b w:val="0"/>
          <w:bCs w:val="0"/>
        </w:rPr>
        <w:t xml:space="preserve">  </w:t>
      </w:r>
      <w:r w:rsidR="00BE08DB">
        <w:rPr>
          <w:rFonts w:cs="Times New Roman"/>
          <w:bCs w:val="0"/>
        </w:rPr>
        <w:t>[47 CFR § 61.26; 47 CFR § 69.3]</w:t>
      </w:r>
    </w:p>
    <w:p w:rsidR="003800AB" w:rsidRPr="003800AB" w:rsidP="003800AB" w14:paraId="673B5E49" w14:textId="51633D1C">
      <w:pPr>
        <w:pStyle w:val="ListParagraph"/>
        <w:numPr>
          <w:ilvl w:val="0"/>
          <w:numId w:val="11"/>
        </w:numPr>
        <w:spacing w:after="120"/>
        <w:rPr>
          <w:rFonts w:ascii="Times New Roman" w:hAnsi="Times New Roman" w:cs="Times New Roman"/>
          <w:b/>
          <w:bCs/>
        </w:rPr>
      </w:pPr>
      <w:r>
        <w:rPr>
          <w:rFonts w:ascii="Times New Roman" w:hAnsi="Times New Roman" w:cs="Times New Roman"/>
          <w:bCs/>
        </w:rPr>
        <w:t>A</w:t>
      </w:r>
      <w:r w:rsidRPr="006C632B" w:rsidR="00CF7833">
        <w:rPr>
          <w:rFonts w:ascii="Times New Roman" w:hAnsi="Times New Roman" w:cs="Times New Roman"/>
          <w:bCs/>
        </w:rPr>
        <w:t xml:space="preserve">n </w:t>
      </w:r>
      <w:r w:rsidR="00C26007">
        <w:rPr>
          <w:rFonts w:ascii="Times New Roman" w:hAnsi="Times New Roman" w:cs="Times New Roman"/>
          <w:bCs/>
        </w:rPr>
        <w:t xml:space="preserve">access-stimulating </w:t>
      </w:r>
      <w:r w:rsidRPr="006C632B" w:rsidR="00CF7833">
        <w:rPr>
          <w:rFonts w:ascii="Times New Roman" w:hAnsi="Times New Roman" w:cs="Times New Roman"/>
          <w:bCs/>
        </w:rPr>
        <w:t>LEC</w:t>
      </w:r>
      <w:r w:rsidRPr="006C632B" w:rsidR="00E53FF9">
        <w:rPr>
          <w:rFonts w:ascii="Times New Roman" w:hAnsi="Times New Roman" w:cs="Times New Roman"/>
          <w:bCs/>
        </w:rPr>
        <w:t xml:space="preserve"> </w:t>
      </w:r>
      <w:r w:rsidR="00C26007">
        <w:rPr>
          <w:rFonts w:ascii="Times New Roman" w:hAnsi="Times New Roman" w:cs="Times New Roman"/>
          <w:bCs/>
        </w:rPr>
        <w:t xml:space="preserve">must </w:t>
      </w:r>
      <w:r w:rsidRPr="006C632B" w:rsidR="00E53FF9">
        <w:rPr>
          <w:rFonts w:ascii="Times New Roman" w:hAnsi="Times New Roman" w:cs="Times New Roman"/>
          <w:bCs/>
        </w:rPr>
        <w:t xml:space="preserve">notify in writing all </w:t>
      </w:r>
      <w:r w:rsidRPr="006C632B" w:rsidR="000531CE">
        <w:rPr>
          <w:rFonts w:ascii="Times New Roman" w:hAnsi="Times New Roman" w:cs="Times New Roman"/>
          <w:bCs/>
        </w:rPr>
        <w:t>i</w:t>
      </w:r>
      <w:r w:rsidRPr="006C632B" w:rsidR="00E53FF9">
        <w:rPr>
          <w:rFonts w:ascii="Times New Roman" w:hAnsi="Times New Roman" w:cs="Times New Roman"/>
          <w:bCs/>
        </w:rPr>
        <w:t xml:space="preserve">ntermediate </w:t>
      </w:r>
      <w:r w:rsidRPr="006C632B" w:rsidR="000531CE">
        <w:rPr>
          <w:rFonts w:ascii="Times New Roman" w:hAnsi="Times New Roman" w:cs="Times New Roman"/>
          <w:bCs/>
        </w:rPr>
        <w:t>a</w:t>
      </w:r>
      <w:r w:rsidRPr="006C632B" w:rsidR="00E53FF9">
        <w:rPr>
          <w:rFonts w:ascii="Times New Roman" w:hAnsi="Times New Roman" w:cs="Times New Roman"/>
          <w:bCs/>
        </w:rPr>
        <w:t xml:space="preserve">ccess </w:t>
      </w:r>
      <w:r w:rsidRPr="006C632B" w:rsidR="000531CE">
        <w:rPr>
          <w:rFonts w:ascii="Times New Roman" w:hAnsi="Times New Roman" w:cs="Times New Roman"/>
          <w:bCs/>
        </w:rPr>
        <w:t>p</w:t>
      </w:r>
      <w:r w:rsidRPr="006C632B" w:rsidR="00E53FF9">
        <w:rPr>
          <w:rFonts w:ascii="Times New Roman" w:hAnsi="Times New Roman" w:cs="Times New Roman"/>
          <w:bCs/>
        </w:rPr>
        <w:t xml:space="preserve">roviders it subtends </w:t>
      </w:r>
      <w:r w:rsidRPr="006C632B" w:rsidR="00F87355">
        <w:rPr>
          <w:rFonts w:ascii="Times New Roman" w:hAnsi="Times New Roman" w:cs="Times New Roman"/>
          <w:bCs/>
        </w:rPr>
        <w:t xml:space="preserve">and </w:t>
      </w:r>
      <w:r w:rsidRPr="006C632B" w:rsidR="000531CE">
        <w:rPr>
          <w:rFonts w:ascii="Times New Roman" w:hAnsi="Times New Roman" w:cs="Times New Roman"/>
          <w:bCs/>
        </w:rPr>
        <w:t>i</w:t>
      </w:r>
      <w:r w:rsidRPr="006C632B" w:rsidR="00F87355">
        <w:rPr>
          <w:rFonts w:ascii="Times New Roman" w:hAnsi="Times New Roman" w:cs="Times New Roman"/>
          <w:bCs/>
        </w:rPr>
        <w:t xml:space="preserve">nterexchange </w:t>
      </w:r>
      <w:r w:rsidRPr="006C632B" w:rsidR="000531CE">
        <w:rPr>
          <w:rFonts w:ascii="Times New Roman" w:hAnsi="Times New Roman" w:cs="Times New Roman"/>
          <w:bCs/>
        </w:rPr>
        <w:t>c</w:t>
      </w:r>
      <w:r w:rsidRPr="006C632B" w:rsidR="00F87355">
        <w:rPr>
          <w:rFonts w:ascii="Times New Roman" w:hAnsi="Times New Roman" w:cs="Times New Roman"/>
          <w:bCs/>
        </w:rPr>
        <w:t xml:space="preserve">arriers it does business with </w:t>
      </w:r>
      <w:r w:rsidRPr="003800AB">
        <w:rPr>
          <w:rFonts w:ascii="Times New Roman" w:hAnsi="Times New Roman" w:cs="Times New Roman"/>
          <w:bCs/>
        </w:rPr>
        <w:t xml:space="preserve">of its status as an access stimulator and of its acceptance of financial responsibility </w:t>
      </w:r>
      <w:r w:rsidRPr="003800AB" w:rsidR="004B56D1">
        <w:rPr>
          <w:rFonts w:ascii="Times New Roman" w:hAnsi="Times New Roman" w:cs="Times New Roman"/>
          <w:bCs/>
        </w:rPr>
        <w:t xml:space="preserve">within 45 days of the effective date of the </w:t>
      </w:r>
      <w:r w:rsidRPr="003800AB" w:rsidR="004B56D1">
        <w:rPr>
          <w:rFonts w:ascii="Times New Roman" w:hAnsi="Times New Roman" w:cs="Times New Roman"/>
          <w:bCs/>
          <w:i/>
        </w:rPr>
        <w:t>Order</w:t>
      </w:r>
      <w:r w:rsidRPr="003800AB">
        <w:rPr>
          <w:rFonts w:ascii="Times New Roman" w:hAnsi="Times New Roman" w:cs="Times New Roman"/>
          <w:bCs/>
        </w:rPr>
        <w:t xml:space="preserve">, </w:t>
      </w:r>
      <w:r w:rsidR="00B01346">
        <w:rPr>
          <w:rFonts w:ascii="Times New Roman" w:hAnsi="Times New Roman" w:cs="Times New Roman"/>
          <w:bCs/>
        </w:rPr>
        <w:t xml:space="preserve">which was January 11, 2020, </w:t>
      </w:r>
      <w:r w:rsidRPr="003800AB" w:rsidR="0005126C">
        <w:rPr>
          <w:rFonts w:ascii="Times New Roman" w:hAnsi="Times New Roman" w:cs="Times New Roman"/>
          <w:bCs/>
        </w:rPr>
        <w:t xml:space="preserve">or within 45 days of commencing </w:t>
      </w:r>
      <w:r w:rsidRPr="003800AB" w:rsidR="00CB377C">
        <w:rPr>
          <w:rFonts w:ascii="Times New Roman" w:hAnsi="Times New Roman" w:cs="Times New Roman"/>
          <w:bCs/>
        </w:rPr>
        <w:t>a</w:t>
      </w:r>
      <w:r w:rsidRPr="003800AB" w:rsidR="0005126C">
        <w:rPr>
          <w:rFonts w:ascii="Times New Roman" w:hAnsi="Times New Roman" w:cs="Times New Roman"/>
          <w:bCs/>
        </w:rPr>
        <w:t xml:space="preserve">ccess </w:t>
      </w:r>
      <w:r w:rsidRPr="003800AB" w:rsidR="00CB377C">
        <w:rPr>
          <w:rFonts w:ascii="Times New Roman" w:hAnsi="Times New Roman" w:cs="Times New Roman"/>
          <w:bCs/>
        </w:rPr>
        <w:t>s</w:t>
      </w:r>
      <w:r w:rsidRPr="003800AB" w:rsidR="0005126C">
        <w:rPr>
          <w:rFonts w:ascii="Times New Roman" w:hAnsi="Times New Roman" w:cs="Times New Roman"/>
          <w:bCs/>
        </w:rPr>
        <w:t>timulation</w:t>
      </w:r>
      <w:r w:rsidRPr="003800AB">
        <w:rPr>
          <w:rFonts w:ascii="Times New Roman" w:hAnsi="Times New Roman" w:cs="Times New Roman"/>
          <w:bCs/>
        </w:rPr>
        <w:t xml:space="preserve">, and must also </w:t>
      </w:r>
      <w:r w:rsidRPr="003800AB">
        <w:rPr>
          <w:rFonts w:ascii="Times New Roman" w:hAnsi="Times New Roman" w:cs="Times New Roman"/>
        </w:rPr>
        <w:t xml:space="preserve">publicly </w:t>
      </w:r>
      <w:r w:rsidRPr="003800AB">
        <w:rPr>
          <w:rFonts w:ascii="Times New Roman" w:hAnsi="Times New Roman" w:cs="Times New Roman"/>
        </w:rPr>
        <w:t xml:space="preserve">file a record of </w:t>
      </w:r>
      <w:r>
        <w:rPr>
          <w:rFonts w:ascii="Times New Roman" w:hAnsi="Times New Roman" w:cs="Times New Roman"/>
        </w:rPr>
        <w:t xml:space="preserve">the same </w:t>
      </w:r>
      <w:r w:rsidRPr="003800AB">
        <w:rPr>
          <w:rFonts w:ascii="Times New Roman" w:hAnsi="Times New Roman" w:cs="Times New Roman"/>
        </w:rPr>
        <w:t>in the Commission’s Access Arbitrage docket on the same day</w:t>
      </w:r>
      <w:r>
        <w:rPr>
          <w:rFonts w:ascii="Times New Roman" w:hAnsi="Times New Roman" w:cs="Times New Roman"/>
        </w:rPr>
        <w:t>.</w:t>
      </w:r>
      <w:r w:rsidR="00B01346">
        <w:rPr>
          <w:rFonts w:ascii="Times New Roman" w:hAnsi="Times New Roman" w:cs="Times New Roman"/>
        </w:rPr>
        <w:t xml:space="preserve">  These requirements are subject to Office of Management and Budget approval as described below.  </w:t>
      </w:r>
      <w:r w:rsidR="00B01346">
        <w:rPr>
          <w:rFonts w:ascii="Times New Roman" w:hAnsi="Times New Roman" w:cs="Times New Roman"/>
          <w:b/>
          <w:bCs/>
        </w:rPr>
        <w:t>[47 CFR § 51.914]</w:t>
      </w:r>
    </w:p>
    <w:p w:rsidR="00B608E8" w:rsidP="006C632B" w14:paraId="00251AEF" w14:textId="0644065A">
      <w:pPr>
        <w:pStyle w:val="Heading2"/>
        <w:numPr>
          <w:ilvl w:val="0"/>
          <w:numId w:val="11"/>
        </w:numPr>
        <w:tabs>
          <w:tab w:val="left" w:pos="820"/>
        </w:tabs>
        <w:spacing w:after="120"/>
        <w:rPr>
          <w:rFonts w:cs="Times New Roman"/>
          <w:b w:val="0"/>
          <w:bCs w:val="0"/>
        </w:rPr>
      </w:pPr>
      <w:r>
        <w:rPr>
          <w:rFonts w:cs="Times New Roman"/>
          <w:b w:val="0"/>
          <w:bCs w:val="0"/>
        </w:rPr>
        <w:t>I</w:t>
      </w:r>
      <w:r w:rsidR="00760261">
        <w:rPr>
          <w:rFonts w:cs="Times New Roman"/>
          <w:b w:val="0"/>
          <w:bCs w:val="0"/>
        </w:rPr>
        <w:t xml:space="preserve">ntermediate access providers </w:t>
      </w:r>
      <w:r>
        <w:rPr>
          <w:rFonts w:cs="Times New Roman"/>
          <w:b w:val="0"/>
          <w:bCs w:val="0"/>
        </w:rPr>
        <w:t xml:space="preserve">may need to </w:t>
      </w:r>
      <w:r w:rsidR="00E80A9A">
        <w:rPr>
          <w:rFonts w:cs="Times New Roman"/>
          <w:b w:val="0"/>
          <w:bCs w:val="0"/>
        </w:rPr>
        <w:t>amend their billing practices</w:t>
      </w:r>
      <w:r>
        <w:rPr>
          <w:rFonts w:cs="Times New Roman"/>
          <w:b w:val="0"/>
          <w:bCs w:val="0"/>
        </w:rPr>
        <w:t xml:space="preserve"> to account for the change in financial responsibility.  They have 45 days from the date of the </w:t>
      </w:r>
      <w:r>
        <w:rPr>
          <w:rFonts w:cs="Times New Roman"/>
          <w:b w:val="0"/>
          <w:bCs w:val="0"/>
        </w:rPr>
        <w:t>aforementioned notice</w:t>
      </w:r>
      <w:r>
        <w:rPr>
          <w:rFonts w:cs="Times New Roman"/>
          <w:b w:val="0"/>
          <w:bCs w:val="0"/>
        </w:rPr>
        <w:t xml:space="preserve"> to make</w:t>
      </w:r>
      <w:r w:rsidR="003800AB">
        <w:rPr>
          <w:rFonts w:cs="Times New Roman"/>
          <w:b w:val="0"/>
          <w:bCs w:val="0"/>
        </w:rPr>
        <w:t xml:space="preserve"> any</w:t>
      </w:r>
      <w:r>
        <w:rPr>
          <w:rFonts w:cs="Times New Roman"/>
          <w:b w:val="0"/>
          <w:bCs w:val="0"/>
        </w:rPr>
        <w:t xml:space="preserve"> such changes</w:t>
      </w:r>
      <w:r w:rsidR="00E80A9A">
        <w:rPr>
          <w:rFonts w:cs="Times New Roman"/>
          <w:b w:val="0"/>
          <w:bCs w:val="0"/>
        </w:rPr>
        <w:t xml:space="preserve"> and to close out then-current monthly billing cycles with interexchange carriers under previous arrangements.</w:t>
      </w:r>
      <w:r>
        <w:rPr>
          <w:rFonts w:cs="Times New Roman"/>
          <w:b w:val="0"/>
          <w:bCs w:val="0"/>
        </w:rPr>
        <w:t xml:space="preserve">  </w:t>
      </w:r>
    </w:p>
    <w:p w:rsidR="00E363FC" w:rsidRPr="00C26007" w:rsidP="00C26007" w14:paraId="0F9D92A1" w14:textId="1AF33F93">
      <w:pPr>
        <w:pStyle w:val="Heading2"/>
        <w:numPr>
          <w:ilvl w:val="0"/>
          <w:numId w:val="11"/>
        </w:numPr>
        <w:tabs>
          <w:tab w:val="left" w:pos="820"/>
        </w:tabs>
        <w:spacing w:after="120"/>
        <w:rPr>
          <w:rFonts w:cs="Times New Roman"/>
          <w:b w:val="0"/>
          <w:bCs w:val="0"/>
        </w:rPr>
      </w:pPr>
      <w:r>
        <w:rPr>
          <w:rFonts w:cs="Times New Roman"/>
          <w:b w:val="0"/>
          <w:bCs w:val="0"/>
        </w:rPr>
        <w:t xml:space="preserve">Any </w:t>
      </w:r>
      <w:r w:rsidRPr="00997D09">
        <w:rPr>
          <w:rFonts w:cs="Times New Roman"/>
          <w:b w:val="0"/>
          <w:bCs w:val="0"/>
        </w:rPr>
        <w:t xml:space="preserve">LEC </w:t>
      </w:r>
      <w:r>
        <w:rPr>
          <w:rFonts w:cs="Times New Roman"/>
          <w:b w:val="0"/>
          <w:bCs w:val="0"/>
        </w:rPr>
        <w:t xml:space="preserve">that </w:t>
      </w:r>
      <w:r w:rsidRPr="00997D09">
        <w:rPr>
          <w:rFonts w:cs="Times New Roman"/>
          <w:b w:val="0"/>
          <w:bCs w:val="0"/>
        </w:rPr>
        <w:t xml:space="preserve">ceases engaging in access stimulation </w:t>
      </w:r>
      <w:r>
        <w:rPr>
          <w:rFonts w:cs="Times New Roman"/>
          <w:b w:val="0"/>
          <w:bCs w:val="0"/>
        </w:rPr>
        <w:t>must file notice with affected IXCs and intermediate access providers, as well as with the Commission</w:t>
      </w:r>
      <w:r w:rsidR="007B3140">
        <w:rPr>
          <w:rFonts w:cs="Times New Roman"/>
          <w:b w:val="0"/>
          <w:bCs w:val="0"/>
        </w:rPr>
        <w:t>,</w:t>
      </w:r>
      <w:r>
        <w:rPr>
          <w:rFonts w:cs="Times New Roman"/>
          <w:b w:val="0"/>
          <w:bCs w:val="0"/>
        </w:rPr>
        <w:t xml:space="preserve"> reflecting the end of its access stimulating status and the reversal of financial responsibility.  </w:t>
      </w:r>
      <w:r w:rsidRPr="00C26007">
        <w:rPr>
          <w:rFonts w:cs="Times New Roman"/>
        </w:rPr>
        <w:t>[</w:t>
      </w:r>
      <w:r w:rsidRPr="00C26007">
        <w:rPr>
          <w:rFonts w:cs="Times New Roman"/>
          <w:spacing w:val="-1"/>
        </w:rPr>
        <w:t>47 CFR § 51.914</w:t>
      </w:r>
      <w:r w:rsidRPr="00C26007">
        <w:rPr>
          <w:rFonts w:cs="Times New Roman"/>
        </w:rPr>
        <w:t>]</w:t>
      </w:r>
    </w:p>
    <w:p w:rsidR="006C632B" w:rsidRPr="00C319CB" w:rsidP="007B55B0" w14:paraId="6E46222D" w14:textId="43096567">
      <w:pPr>
        <w:pStyle w:val="Heading2"/>
        <w:tabs>
          <w:tab w:val="left" w:pos="820"/>
        </w:tabs>
        <w:spacing w:after="120"/>
        <w:ind w:left="0"/>
        <w:rPr>
          <w:rFonts w:cs="Times New Roman"/>
          <w:b w:val="0"/>
          <w:bCs w:val="0"/>
        </w:rPr>
      </w:pPr>
    </w:p>
    <w:p w:rsidR="00715D20" w:rsidRPr="00E865E8" w:rsidP="00715D20" w14:paraId="139A0A04" w14:textId="77777777">
      <w:pPr>
        <w:pStyle w:val="Heading2"/>
        <w:numPr>
          <w:ilvl w:val="0"/>
          <w:numId w:val="1"/>
        </w:numPr>
        <w:tabs>
          <w:tab w:val="left" w:pos="820"/>
        </w:tabs>
        <w:spacing w:after="120"/>
        <w:ind w:left="720"/>
        <w:rPr>
          <w:rFonts w:cs="Times New Roman"/>
          <w:b w:val="0"/>
          <w:bCs w:val="0"/>
        </w:rPr>
      </w:pPr>
      <w:r>
        <w:rPr>
          <w:rFonts w:cs="Times New Roman"/>
          <w:color w:val="242021"/>
          <w:spacing w:val="-1"/>
        </w:rPr>
        <w:t>IMPLEMENTATION DATE</w:t>
      </w:r>
    </w:p>
    <w:p w:rsidR="00715D20" w:rsidRPr="006A350E" w:rsidP="006A350E" w14:paraId="177F0410" w14:textId="0C4F54FC">
      <w:pPr>
        <w:tabs>
          <w:tab w:val="left" w:pos="820"/>
        </w:tabs>
        <w:spacing w:after="120"/>
        <w:rPr>
          <w:rFonts w:ascii="Times New Roman" w:eastAsia="Times New Roman" w:hAnsi="Times New Roman" w:cs="Times New Roman"/>
        </w:rPr>
      </w:pPr>
      <w:r w:rsidRPr="006A350E">
        <w:rPr>
          <w:rFonts w:ascii="Times New Roman" w:hAnsi="Times New Roman" w:cs="Times New Roman"/>
        </w:rPr>
        <w:t xml:space="preserve">The </w:t>
      </w:r>
      <w:r w:rsidRPr="006A350E" w:rsidR="00876851">
        <w:rPr>
          <w:rFonts w:ascii="Times New Roman" w:hAnsi="Times New Roman" w:cs="Times New Roman"/>
          <w:i/>
        </w:rPr>
        <w:t>Access Arbitrage</w:t>
      </w:r>
      <w:r w:rsidRPr="006A350E">
        <w:rPr>
          <w:rFonts w:ascii="Times New Roman" w:hAnsi="Times New Roman" w:cs="Times New Roman"/>
        </w:rPr>
        <w:t xml:space="preserve"> </w:t>
      </w:r>
      <w:r w:rsidRPr="006A350E">
        <w:rPr>
          <w:rFonts w:ascii="Times New Roman" w:hAnsi="Times New Roman" w:cs="Times New Roman"/>
          <w:i/>
        </w:rPr>
        <w:t>Order</w:t>
      </w:r>
      <w:r w:rsidRPr="006A350E">
        <w:rPr>
          <w:rFonts w:ascii="Times New Roman" w:hAnsi="Times New Roman" w:cs="Times New Roman"/>
        </w:rPr>
        <w:t xml:space="preserve"> and </w:t>
      </w:r>
      <w:r w:rsidRPr="00282B79" w:rsidR="00055F84">
        <w:rPr>
          <w:rFonts w:ascii="Times New Roman" w:hAnsi="Times New Roman" w:cs="Times New Roman"/>
        </w:rPr>
        <w:t xml:space="preserve">its requirements for </w:t>
      </w:r>
      <w:r w:rsidRPr="00FF2496" w:rsidR="00055F84">
        <w:rPr>
          <w:rFonts w:ascii="Times New Roman" w:hAnsi="Times New Roman" w:cs="Times New Roman"/>
        </w:rPr>
        <w:t>access-stimulating</w:t>
      </w:r>
      <w:r w:rsidRPr="00FF2496" w:rsidR="00055F84">
        <w:rPr>
          <w:rFonts w:ascii="Times New Roman" w:hAnsi="Times New Roman" w:cs="Times New Roman"/>
        </w:rPr>
        <w:t xml:space="preserve"> LECs</w:t>
      </w:r>
      <w:r w:rsidRPr="00E131A2">
        <w:rPr>
          <w:rFonts w:ascii="Times New Roman" w:hAnsi="Times New Roman" w:cs="Times New Roman"/>
        </w:rPr>
        <w:t xml:space="preserve"> </w:t>
      </w:r>
      <w:r w:rsidRPr="002E39AA" w:rsidR="009F410D">
        <w:rPr>
          <w:rFonts w:ascii="Times New Roman" w:hAnsi="Times New Roman" w:cs="Times New Roman"/>
        </w:rPr>
        <w:t>bec</w:t>
      </w:r>
      <w:r w:rsidR="00B01346">
        <w:rPr>
          <w:rFonts w:ascii="Times New Roman" w:hAnsi="Times New Roman" w:cs="Times New Roman"/>
        </w:rPr>
        <w:t>a</w:t>
      </w:r>
      <w:r w:rsidRPr="002E39AA" w:rsidR="009F410D">
        <w:rPr>
          <w:rFonts w:ascii="Times New Roman" w:hAnsi="Times New Roman" w:cs="Times New Roman"/>
        </w:rPr>
        <w:t>me</w:t>
      </w:r>
      <w:r w:rsidRPr="00FF2496">
        <w:rPr>
          <w:rFonts w:ascii="Times New Roman" w:hAnsi="Times New Roman" w:cs="Times New Roman"/>
        </w:rPr>
        <w:t xml:space="preserve"> effective on </w:t>
      </w:r>
      <w:r w:rsidRPr="002E39AA" w:rsidR="00FF2496">
        <w:rPr>
          <w:rFonts w:ascii="Times New Roman" w:hAnsi="Times New Roman" w:cs="Times New Roman"/>
        </w:rPr>
        <w:t>November 27</w:t>
      </w:r>
      <w:r w:rsidRPr="002E39AA">
        <w:rPr>
          <w:rFonts w:ascii="Times New Roman" w:hAnsi="Times New Roman" w:cs="Times New Roman"/>
        </w:rPr>
        <w:t xml:space="preserve">, </w:t>
      </w:r>
      <w:r w:rsidRPr="00FF2496" w:rsidR="00FF2496">
        <w:rPr>
          <w:rFonts w:ascii="Times New Roman" w:hAnsi="Times New Roman" w:cs="Times New Roman"/>
        </w:rPr>
        <w:t>2019</w:t>
      </w:r>
      <w:r w:rsidRPr="00E131A2">
        <w:rPr>
          <w:rFonts w:ascii="Times New Roman" w:hAnsi="Times New Roman" w:cs="Times New Roman"/>
        </w:rPr>
        <w:t>.</w:t>
      </w:r>
      <w:r w:rsidR="0093243A">
        <w:rPr>
          <w:rFonts w:ascii="Times New Roman" w:hAnsi="Times New Roman" w:cs="Times New Roman"/>
        </w:rPr>
        <w:t xml:space="preserve">  </w:t>
      </w:r>
      <w:r w:rsidRPr="0093243A" w:rsidR="0093243A">
        <w:rPr>
          <w:rFonts w:ascii="Times New Roman" w:hAnsi="Times New Roman" w:cs="Times New Roman"/>
        </w:rPr>
        <w:t>The notice requirements adopted in 47 CFR §</w:t>
      </w:r>
      <w:r w:rsidR="00EE7011">
        <w:rPr>
          <w:rFonts w:ascii="Times New Roman" w:hAnsi="Times New Roman" w:cs="Times New Roman"/>
        </w:rPr>
        <w:t>§</w:t>
      </w:r>
      <w:r w:rsidRPr="0093243A" w:rsidR="0093243A">
        <w:rPr>
          <w:rFonts w:ascii="Times New Roman" w:hAnsi="Times New Roman" w:cs="Times New Roman"/>
        </w:rPr>
        <w:t xml:space="preserve"> 51.914(b); 51.914(e) are subject to Office of Management and Budget approval.</w:t>
      </w:r>
      <w:r>
        <w:rPr>
          <w:rStyle w:val="FootnoteReference"/>
          <w:rFonts w:cs="Times New Roman"/>
        </w:rPr>
        <w:footnoteReference w:id="4"/>
      </w:r>
      <w:r w:rsidRPr="0093243A" w:rsidR="0093243A">
        <w:rPr>
          <w:rFonts w:ascii="Times New Roman" w:hAnsi="Times New Roman" w:cs="Times New Roman"/>
        </w:rPr>
        <w:t xml:space="preserve">  Compliance with these requirements will not be required until after approval by the Office of Management and Budget.</w:t>
      </w:r>
      <w:r w:rsidR="0093243A">
        <w:rPr>
          <w:rFonts w:ascii="Times New Roman" w:hAnsi="Times New Roman" w:cs="Times New Roman"/>
        </w:rPr>
        <w:t xml:space="preserve"> </w:t>
      </w:r>
      <w:r w:rsidRPr="0093243A" w:rsidR="0093243A">
        <w:rPr>
          <w:rFonts w:ascii="Times New Roman" w:hAnsi="Times New Roman" w:cs="Times New Roman"/>
        </w:rPr>
        <w:t xml:space="preserve"> The Commission will publish a document in the Federal Register announcing that compliance date.</w:t>
      </w:r>
    </w:p>
    <w:p w:rsidR="00715D20" w:rsidRPr="00EA3A77" w:rsidP="00715D20" w14:paraId="7ECB8DA9" w14:textId="77777777">
      <w:pPr>
        <w:pStyle w:val="ListParagraph"/>
        <w:tabs>
          <w:tab w:val="left" w:pos="820"/>
        </w:tabs>
        <w:spacing w:after="120"/>
        <w:ind w:left="720"/>
        <w:rPr>
          <w:rFonts w:ascii="Times New Roman" w:eastAsia="Times New Roman" w:hAnsi="Times New Roman" w:cs="Times New Roman"/>
        </w:rPr>
      </w:pPr>
    </w:p>
    <w:p w:rsidR="00715D20" w:rsidRPr="00CF45CF" w:rsidP="00715D20" w14:paraId="620680E8" w14:textId="77777777">
      <w:pPr>
        <w:pStyle w:val="Heading2"/>
        <w:numPr>
          <w:ilvl w:val="0"/>
          <w:numId w:val="1"/>
        </w:numPr>
        <w:tabs>
          <w:tab w:val="left" w:pos="820"/>
        </w:tabs>
        <w:spacing w:after="120"/>
        <w:ind w:left="720"/>
        <w:rPr>
          <w:rFonts w:cs="Times New Roman"/>
          <w:b w:val="0"/>
          <w:bCs w:val="0"/>
        </w:rPr>
      </w:pPr>
      <w:r>
        <w:rPr>
          <w:rFonts w:cs="Times New Roman"/>
          <w:color w:val="242021"/>
          <w:spacing w:val="-1"/>
        </w:rPr>
        <w:t>INTERNET LINKS</w:t>
      </w:r>
    </w:p>
    <w:p w:rsidR="00715D20" w:rsidRPr="00E131A2" w:rsidP="00715D20" w14:paraId="2E8C2F81" w14:textId="6FE22E7F">
      <w:pPr>
        <w:pStyle w:val="BodyText"/>
        <w:spacing w:after="120"/>
        <w:ind w:left="0" w:firstLine="0"/>
      </w:pPr>
      <w:bookmarkStart w:id="1" w:name="_Hlk23754620"/>
      <w:r>
        <w:rPr>
          <w:rFonts w:cs="Times New Roman"/>
          <w:color w:val="242021"/>
          <w:spacing w:val="-1"/>
        </w:rPr>
        <w:t xml:space="preserve">A </w:t>
      </w:r>
      <w:r w:rsidRPr="00E131A2">
        <w:rPr>
          <w:rFonts w:cs="Times New Roman"/>
          <w:color w:val="242021"/>
          <w:spacing w:val="-1"/>
        </w:rPr>
        <w:t xml:space="preserve">copy of the </w:t>
      </w:r>
      <w:r w:rsidRPr="00E131A2" w:rsidR="00F87F99">
        <w:rPr>
          <w:rFonts w:cs="Times New Roman"/>
          <w:i/>
          <w:color w:val="242021"/>
          <w:spacing w:val="-1"/>
        </w:rPr>
        <w:t>Access Arbitrage</w:t>
      </w:r>
      <w:r w:rsidRPr="00E131A2">
        <w:rPr>
          <w:rFonts w:cs="Times New Roman"/>
          <w:i/>
          <w:color w:val="242021"/>
          <w:spacing w:val="-1"/>
        </w:rPr>
        <w:t xml:space="preserve"> Order </w:t>
      </w:r>
      <w:r w:rsidRPr="00E131A2">
        <w:rPr>
          <w:rFonts w:cs="Times New Roman"/>
          <w:color w:val="242021"/>
          <w:spacing w:val="-1"/>
        </w:rPr>
        <w:t xml:space="preserve">is available at: </w:t>
      </w:r>
      <w:hyperlink r:id="rId7" w:history="1">
        <w:r w:rsidR="00E131A2">
          <w:rPr>
            <w:rStyle w:val="Hyperlink"/>
          </w:rPr>
          <w:t>https://docs.fcc.gov/public/attachments/FCC-19-94A1.pdf</w:t>
        </w:r>
      </w:hyperlink>
      <w:r w:rsidR="00E131A2">
        <w:t>.</w:t>
      </w:r>
    </w:p>
    <w:p w:rsidR="00E131A2" w:rsidRPr="002E39AA" w:rsidP="00E131A2" w14:paraId="2705E897" w14:textId="06B54170">
      <w:pPr>
        <w:rPr>
          <w:rFonts w:ascii="Times New Roman" w:hAnsi="Times New Roman" w:cs="Times New Roman"/>
        </w:rPr>
      </w:pPr>
      <w:r w:rsidRPr="002E39AA">
        <w:rPr>
          <w:rFonts w:ascii="Times New Roman" w:hAnsi="Times New Roman" w:cs="Times New Roman"/>
        </w:rPr>
        <w:t xml:space="preserve">A copy of the Federal Register Summary of the </w:t>
      </w:r>
      <w:r w:rsidRPr="002E39AA" w:rsidR="00F87F99">
        <w:rPr>
          <w:rFonts w:ascii="Times New Roman" w:hAnsi="Times New Roman" w:cs="Times New Roman"/>
          <w:i/>
        </w:rPr>
        <w:t xml:space="preserve">Access </w:t>
      </w:r>
      <w:r w:rsidRPr="002E39AA" w:rsidR="00687C01">
        <w:rPr>
          <w:rFonts w:ascii="Times New Roman" w:hAnsi="Times New Roman" w:cs="Times New Roman"/>
          <w:i/>
        </w:rPr>
        <w:t>A</w:t>
      </w:r>
      <w:r w:rsidRPr="002E39AA" w:rsidR="00F87F99">
        <w:rPr>
          <w:rFonts w:ascii="Times New Roman" w:hAnsi="Times New Roman" w:cs="Times New Roman"/>
          <w:i/>
        </w:rPr>
        <w:t>rbitrage</w:t>
      </w:r>
      <w:r w:rsidRPr="002E39AA">
        <w:rPr>
          <w:rFonts w:ascii="Times New Roman" w:hAnsi="Times New Roman" w:cs="Times New Roman"/>
          <w:i/>
        </w:rPr>
        <w:t xml:space="preserve"> Order</w:t>
      </w:r>
      <w:r w:rsidRPr="002E39AA">
        <w:rPr>
          <w:rFonts w:ascii="Times New Roman" w:hAnsi="Times New Roman" w:cs="Times New Roman"/>
        </w:rPr>
        <w:t xml:space="preserve">, </w:t>
      </w:r>
      <w:r w:rsidRPr="002E39AA">
        <w:rPr>
          <w:rFonts w:ascii="Times New Roman" w:hAnsi="Times New Roman" w:cs="Times New Roman"/>
        </w:rPr>
        <w:t xml:space="preserve">84 </w:t>
      </w:r>
      <w:r w:rsidRPr="002E39AA">
        <w:rPr>
          <w:rFonts w:ascii="Times New Roman" w:hAnsi="Times New Roman" w:cs="Times New Roman"/>
        </w:rPr>
        <w:t xml:space="preserve">Fed. Reg. </w:t>
      </w:r>
      <w:r w:rsidRPr="002E39AA">
        <w:rPr>
          <w:rFonts w:ascii="Times New Roman" w:hAnsi="Times New Roman" w:cs="Times New Roman"/>
        </w:rPr>
        <w:t xml:space="preserve">57629 </w:t>
      </w:r>
      <w:r w:rsidRPr="002E39AA">
        <w:rPr>
          <w:rFonts w:ascii="Times New Roman" w:hAnsi="Times New Roman" w:cs="Times New Roman"/>
        </w:rPr>
        <w:t>(</w:t>
      </w:r>
      <w:r w:rsidRPr="002E39AA">
        <w:rPr>
          <w:rFonts w:ascii="Times New Roman" w:hAnsi="Times New Roman" w:cs="Times New Roman"/>
        </w:rPr>
        <w:t>October 28</w:t>
      </w:r>
      <w:r w:rsidRPr="002E39AA">
        <w:rPr>
          <w:rFonts w:ascii="Times New Roman" w:hAnsi="Times New Roman" w:cs="Times New Roman"/>
        </w:rPr>
        <w:t xml:space="preserve">, </w:t>
      </w:r>
      <w:r w:rsidRPr="002E39AA">
        <w:rPr>
          <w:rFonts w:ascii="Times New Roman" w:hAnsi="Times New Roman" w:cs="Times New Roman"/>
        </w:rPr>
        <w:t>2019</w:t>
      </w:r>
      <w:r w:rsidRPr="002E39AA">
        <w:rPr>
          <w:rFonts w:ascii="Times New Roman" w:hAnsi="Times New Roman" w:cs="Times New Roman"/>
        </w:rPr>
        <w:t>)</w:t>
      </w:r>
      <w:r w:rsidRPr="002E39AA">
        <w:rPr>
          <w:rFonts w:ascii="Times New Roman" w:hAnsi="Times New Roman" w:cs="Times New Roman"/>
          <w:i/>
        </w:rPr>
        <w:t xml:space="preserve"> </w:t>
      </w:r>
      <w:r w:rsidRPr="002E39AA">
        <w:rPr>
          <w:rFonts w:ascii="Times New Roman" w:hAnsi="Times New Roman" w:cs="Times New Roman"/>
        </w:rPr>
        <w:t xml:space="preserve">is available at: </w:t>
      </w:r>
    </w:p>
    <w:p w:rsidR="00E131A2" w:rsidRPr="002E39AA" w:rsidP="00E131A2" w14:paraId="78B085B2" w14:textId="19766C9D">
      <w:pPr>
        <w:rPr>
          <w:rFonts w:ascii="Times New Roman" w:hAnsi="Times New Roman" w:cs="Times New Roman"/>
        </w:rPr>
      </w:pPr>
      <w:hyperlink r:id="rId8" w:history="1">
        <w:r w:rsidRPr="002E39AA">
          <w:rPr>
            <w:rStyle w:val="Hyperlink"/>
            <w:rFonts w:ascii="Times New Roman" w:hAnsi="Times New Roman" w:cs="Times New Roman"/>
          </w:rPr>
          <w:t>https://www.federalregister.gov/documents/2019/10/28/2019-22447/updating-the-intercarrier-compensation-regime-to-eliminate-access-arbitrage</w:t>
        </w:r>
      </w:hyperlink>
      <w:r>
        <w:rPr>
          <w:rFonts w:ascii="Times New Roman" w:hAnsi="Times New Roman" w:cs="Times New Roman"/>
        </w:rPr>
        <w:t>.</w:t>
      </w:r>
    </w:p>
    <w:bookmarkEnd w:id="1"/>
    <w:p w:rsidR="00715D20" w:rsidRPr="00E131A2" w:rsidP="00715D20" w14:paraId="53073EEE" w14:textId="0D197683">
      <w:pPr>
        <w:pStyle w:val="BodyText"/>
        <w:spacing w:after="120"/>
        <w:ind w:left="0" w:firstLine="0"/>
        <w:rPr>
          <w:rFonts w:cs="Times New Roman"/>
        </w:rPr>
      </w:pPr>
    </w:p>
    <w:p w:rsidR="00876851" w:rsidRPr="004E558A" w:rsidP="00715D20" w14:paraId="58060CD9" w14:textId="77777777">
      <w:pPr>
        <w:pStyle w:val="BodyText"/>
        <w:spacing w:after="120"/>
        <w:ind w:left="0" w:firstLine="0"/>
      </w:pPr>
    </w:p>
    <w:sectPr w:rsidSect="0093243A">
      <w:headerReference w:type="default" r:id="rId9"/>
      <w:pgSz w:w="12240" w:h="15840"/>
      <w:pgMar w:top="1440" w:right="1440" w:bottom="1440" w:left="1440" w:header="741"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76B2" w:rsidP="00A93705" w14:paraId="00CE00B8" w14:textId="77777777">
    <w:pPr>
      <w:pStyle w:val="Footer"/>
      <w:tabs>
        <w:tab w:val="left" w:pos="5554"/>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50122" w14:paraId="2F4D4FB9" w14:textId="77777777">
      <w:r>
        <w:separator/>
      </w:r>
    </w:p>
  </w:footnote>
  <w:footnote w:type="continuationSeparator" w:id="1">
    <w:p w:rsidR="00850122" w14:paraId="23E996F6" w14:textId="77777777">
      <w:r>
        <w:continuationSeparator/>
      </w:r>
    </w:p>
  </w:footnote>
  <w:footnote w:id="2">
    <w:p w:rsidR="001C5B72" w14:paraId="23792275" w14:textId="0BA8DD78">
      <w:pPr>
        <w:pStyle w:val="FootnoteText"/>
      </w:pPr>
      <w:r>
        <w:rPr>
          <w:rStyle w:val="FootnoteReference"/>
        </w:rPr>
        <w:footnoteRef/>
      </w:r>
      <w:r>
        <w:t xml:space="preserve"> </w:t>
      </w:r>
      <w:r w:rsidRPr="00E35B88">
        <w:rPr>
          <w:i/>
        </w:rPr>
        <w:t>Updating the Intercarrier Compensation Regime to Eliminate Access Arbitrage</w:t>
      </w:r>
      <w:r>
        <w:t xml:space="preserve">, WC Docket No. 18-155, </w:t>
      </w:r>
      <w:r w:rsidRPr="00E35B88">
        <w:t>Report and Order and Modification of Section 214 Authorizations</w:t>
      </w:r>
      <w:r>
        <w:t>, FCC 19-94, 2019 WL 4785554 (Sept. 27, 2019) (</w:t>
      </w:r>
      <w:r>
        <w:rPr>
          <w:i/>
        </w:rPr>
        <w:t xml:space="preserve">Access Arbitrage </w:t>
      </w:r>
      <w:r w:rsidRPr="004376A2">
        <w:rPr>
          <w:i/>
        </w:rPr>
        <w:t>Order</w:t>
      </w:r>
      <w:r>
        <w:rPr>
          <w:i/>
        </w:rPr>
        <w:t xml:space="preserve"> </w:t>
      </w:r>
      <w:r>
        <w:t xml:space="preserve">or </w:t>
      </w:r>
      <w:r>
        <w:rPr>
          <w:i/>
        </w:rPr>
        <w:t>Order</w:t>
      </w:r>
      <w:r>
        <w:t>).</w:t>
      </w:r>
    </w:p>
  </w:footnote>
  <w:footnote w:id="3">
    <w:p w:rsidR="008B7122" w14:paraId="099B45DB" w14:textId="4BDE4EF9">
      <w:pPr>
        <w:pStyle w:val="FootnoteText"/>
      </w:pPr>
      <w:r>
        <w:rPr>
          <w:rStyle w:val="FootnoteReference"/>
        </w:rPr>
        <w:footnoteRef/>
      </w:r>
      <w:r>
        <w:t xml:space="preserve"> </w:t>
      </w:r>
      <w:r w:rsidRPr="00AC4261">
        <w:rPr>
          <w:bCs/>
        </w:rPr>
        <w:t xml:space="preserve">The </w:t>
      </w:r>
      <w:r w:rsidRPr="00BD6AD9">
        <w:rPr>
          <w:bCs/>
          <w:i/>
        </w:rPr>
        <w:t>Order</w:t>
      </w:r>
      <w:r>
        <w:rPr>
          <w:bCs/>
          <w:i/>
        </w:rPr>
        <w:t xml:space="preserve"> </w:t>
      </w:r>
      <w:r>
        <w:rPr>
          <w:bCs/>
        </w:rPr>
        <w:t>also</w:t>
      </w:r>
      <w:r w:rsidRPr="00AC4261">
        <w:rPr>
          <w:bCs/>
        </w:rPr>
        <w:t xml:space="preserve"> </w:t>
      </w:r>
      <w:r>
        <w:rPr>
          <w:bCs/>
        </w:rPr>
        <w:t xml:space="preserve">provides that an IXC or intermediate access provider may consider its call completion duties satisfied for access stimulation traffic </w:t>
      </w:r>
      <w:r w:rsidRPr="008E7AC6">
        <w:rPr>
          <w:bCs/>
        </w:rPr>
        <w:t xml:space="preserve">once it has delivered the call to the tandem designated by the </w:t>
      </w:r>
      <w:r w:rsidRPr="008E7AC6">
        <w:rPr>
          <w:bCs/>
        </w:rPr>
        <w:t>access-stimulating</w:t>
      </w:r>
      <w:r w:rsidRPr="008E7AC6">
        <w:rPr>
          <w:bCs/>
        </w:rPr>
        <w:t xml:space="preserve"> LEC, either in the LERG or in a contract</w:t>
      </w:r>
      <w:r>
        <w:rPr>
          <w:bCs/>
        </w:rPr>
        <w:t>.</w:t>
      </w:r>
    </w:p>
  </w:footnote>
  <w:footnote w:id="4">
    <w:p w:rsidR="0093243A" w14:paraId="0BD6EB10" w14:textId="2ACA00F6">
      <w:pPr>
        <w:pStyle w:val="FootnoteText"/>
      </w:pPr>
      <w:r>
        <w:rPr>
          <w:rStyle w:val="FootnoteReference"/>
        </w:rPr>
        <w:footnoteRef/>
      </w:r>
      <w:r>
        <w:t xml:space="preserve"> 47 CFR § 51.914(b)(f).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5D20" w14:paraId="2A5E0F27" w14:textId="77777777">
    <w:pPr>
      <w:spacing w:line="14" w:lineRule="auto"/>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3920490</wp:posOffset>
              </wp:positionH>
              <wp:positionV relativeFrom="page">
                <wp:posOffset>458470</wp:posOffset>
              </wp:positionV>
              <wp:extent cx="114300" cy="152400"/>
              <wp:effectExtent l="0" t="1270" r="381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43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15D20" w14:textId="77777777">
                          <w:pPr>
                            <w:spacing w:line="224" w:lineRule="exact"/>
                            <w:ind w:left="40"/>
                            <w:rPr>
                              <w:rFonts w:ascii="Times New Roman" w:eastAsia="Times New Roman" w:hAnsi="Times New Roman" w:cs="Times New Roman"/>
                              <w:sz w:val="20"/>
                              <w:szCs w:val="20"/>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9pt;height:12pt;margin-top:36.1pt;margin-left:308.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715D20" w14:paraId="4121E210" w14:textId="77777777">
                    <w:pPr>
                      <w:spacing w:line="224" w:lineRule="exact"/>
                      <w:ind w:left="40"/>
                      <w:rPr>
                        <w:rFonts w:ascii="Times New Roman" w:eastAsia="Times New Roman" w:hAnsi="Times New Roman" w:cs="Times New Roman"/>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1C57F4"/>
    <w:multiLevelType w:val="hybridMultilevel"/>
    <w:tmpl w:val="EDD6C9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E3F4880"/>
    <w:multiLevelType w:val="hybridMultilevel"/>
    <w:tmpl w:val="39F6F9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C1B46DD"/>
    <w:multiLevelType w:val="hybridMultilevel"/>
    <w:tmpl w:val="A440CF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C3A36DE"/>
    <w:multiLevelType w:val="hybridMultilevel"/>
    <w:tmpl w:val="50E4C7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A097C2E"/>
    <w:multiLevelType w:val="hybridMultilevel"/>
    <w:tmpl w:val="8BA4AA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4CD602BF"/>
    <w:multiLevelType w:val="hybridMultilevel"/>
    <w:tmpl w:val="66A2CBD0"/>
    <w:lvl w:ilvl="0">
      <w:start w:val="1"/>
      <w:numFmt w:val="upperRoman"/>
      <w:lvlText w:val="%1."/>
      <w:lvlJc w:val="left"/>
      <w:pPr>
        <w:ind w:left="820" w:hanging="720"/>
      </w:pPr>
      <w:rPr>
        <w:rFonts w:ascii="Times New Roman" w:eastAsia="Times New Roman" w:hAnsi="Times New Roman" w:hint="default"/>
        <w:b/>
        <w:bCs/>
        <w:color w:val="242021"/>
        <w:sz w:val="22"/>
        <w:szCs w:val="22"/>
      </w:rPr>
    </w:lvl>
    <w:lvl w:ilvl="1">
      <w:start w:val="1"/>
      <w:numFmt w:val="bullet"/>
      <w:lvlText w:val=""/>
      <w:lvlJc w:val="left"/>
      <w:pPr>
        <w:ind w:left="820" w:hanging="360"/>
      </w:pPr>
      <w:rPr>
        <w:rFonts w:ascii="Symbol" w:hAnsi="Symbol" w:hint="default"/>
        <w:color w:val="242021"/>
        <w:sz w:val="22"/>
        <w:szCs w:val="22"/>
      </w:rPr>
    </w:lvl>
    <w:lvl w:ilvl="2">
      <w:start w:val="1"/>
      <w:numFmt w:val="bullet"/>
      <w:lvlText w:val="o"/>
      <w:lvlJc w:val="left"/>
      <w:pPr>
        <w:ind w:left="1540" w:hanging="360"/>
      </w:pPr>
      <w:rPr>
        <w:rFonts w:ascii="Courier New" w:eastAsia="Courier New" w:hAnsi="Courier New" w:hint="default"/>
        <w:color w:val="242021"/>
        <w:sz w:val="22"/>
        <w:szCs w:val="22"/>
      </w:rPr>
    </w:lvl>
    <w:lvl w:ilvl="3">
      <w:start w:val="1"/>
      <w:numFmt w:val="bullet"/>
      <w:lvlText w:val="•"/>
      <w:lvlJc w:val="left"/>
      <w:pPr>
        <w:ind w:left="3251" w:hanging="360"/>
      </w:pPr>
      <w:rPr>
        <w:rFonts w:hint="default"/>
      </w:rPr>
    </w:lvl>
    <w:lvl w:ilvl="4">
      <w:start w:val="1"/>
      <w:numFmt w:val="bullet"/>
      <w:lvlText w:val="•"/>
      <w:lvlJc w:val="left"/>
      <w:pPr>
        <w:ind w:left="4106" w:hanging="360"/>
      </w:pPr>
      <w:rPr>
        <w:rFonts w:hint="default"/>
      </w:rPr>
    </w:lvl>
    <w:lvl w:ilvl="5">
      <w:start w:val="1"/>
      <w:numFmt w:val="bullet"/>
      <w:lvlText w:val="•"/>
      <w:lvlJc w:val="left"/>
      <w:pPr>
        <w:ind w:left="4962" w:hanging="360"/>
      </w:pPr>
      <w:rPr>
        <w:rFonts w:hint="default"/>
      </w:rPr>
    </w:lvl>
    <w:lvl w:ilvl="6">
      <w:start w:val="1"/>
      <w:numFmt w:val="bullet"/>
      <w:lvlText w:val="•"/>
      <w:lvlJc w:val="left"/>
      <w:pPr>
        <w:ind w:left="5817" w:hanging="360"/>
      </w:pPr>
      <w:rPr>
        <w:rFonts w:hint="default"/>
      </w:rPr>
    </w:lvl>
    <w:lvl w:ilvl="7">
      <w:start w:val="1"/>
      <w:numFmt w:val="bullet"/>
      <w:lvlText w:val="•"/>
      <w:lvlJc w:val="left"/>
      <w:pPr>
        <w:ind w:left="6673" w:hanging="360"/>
      </w:pPr>
      <w:rPr>
        <w:rFonts w:hint="default"/>
      </w:rPr>
    </w:lvl>
    <w:lvl w:ilvl="8">
      <w:start w:val="1"/>
      <w:numFmt w:val="bullet"/>
      <w:lvlText w:val="•"/>
      <w:lvlJc w:val="left"/>
      <w:pPr>
        <w:ind w:left="7528" w:hanging="360"/>
      </w:pPr>
      <w:rPr>
        <w:rFonts w:hint="default"/>
      </w:rPr>
    </w:lvl>
  </w:abstractNum>
  <w:abstractNum w:abstractNumId="6">
    <w:nsid w:val="4DBA2652"/>
    <w:multiLevelType w:val="hybridMultilevel"/>
    <w:tmpl w:val="A67443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C783E15"/>
    <w:multiLevelType w:val="hybridMultilevel"/>
    <w:tmpl w:val="405424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5"/>
  </w:num>
  <w:num w:numId="2">
    <w:abstractNumId w:val="8"/>
  </w:num>
  <w:num w:numId="3">
    <w:abstractNumId w:val="8"/>
  </w:num>
  <w:num w:numId="4">
    <w:abstractNumId w:val="8"/>
  </w:num>
  <w:num w:numId="5">
    <w:abstractNumId w:val="4"/>
  </w:num>
  <w:num w:numId="6">
    <w:abstractNumId w:val="2"/>
  </w:num>
  <w:num w:numId="7">
    <w:abstractNumId w:val="6"/>
  </w:num>
  <w:num w:numId="8">
    <w:abstractNumId w:val="1"/>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drawingGridHorizontalSpacing w:val="110"/>
  <w:displayHorizontalDrawingGridEvery w:val="2"/>
  <w:characterSpacingControl w:val="doNotCompress"/>
  <w:footnotePr>
    <w:footnote w:id="0"/>
    <w:footnote w:id="1"/>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91B"/>
    <w:rsid w:val="00000868"/>
    <w:rsid w:val="00011216"/>
    <w:rsid w:val="0001127A"/>
    <w:rsid w:val="00016697"/>
    <w:rsid w:val="00017E6C"/>
    <w:rsid w:val="00020FDF"/>
    <w:rsid w:val="00023A2A"/>
    <w:rsid w:val="00024B92"/>
    <w:rsid w:val="00027A2A"/>
    <w:rsid w:val="0003320A"/>
    <w:rsid w:val="00033E86"/>
    <w:rsid w:val="00034472"/>
    <w:rsid w:val="00037851"/>
    <w:rsid w:val="0004052D"/>
    <w:rsid w:val="00040AB7"/>
    <w:rsid w:val="00050F6B"/>
    <w:rsid w:val="0005126C"/>
    <w:rsid w:val="00051848"/>
    <w:rsid w:val="000531CE"/>
    <w:rsid w:val="00053A99"/>
    <w:rsid w:val="00055BED"/>
    <w:rsid w:val="00055F84"/>
    <w:rsid w:val="00060A6D"/>
    <w:rsid w:val="000618B2"/>
    <w:rsid w:val="0006199F"/>
    <w:rsid w:val="00062B46"/>
    <w:rsid w:val="000635B3"/>
    <w:rsid w:val="00065555"/>
    <w:rsid w:val="000659C1"/>
    <w:rsid w:val="00074B20"/>
    <w:rsid w:val="00075C98"/>
    <w:rsid w:val="000770C6"/>
    <w:rsid w:val="000839C0"/>
    <w:rsid w:val="0008508A"/>
    <w:rsid w:val="00085192"/>
    <w:rsid w:val="0009754C"/>
    <w:rsid w:val="000A2842"/>
    <w:rsid w:val="000B1F3F"/>
    <w:rsid w:val="000D4EB2"/>
    <w:rsid w:val="000D6367"/>
    <w:rsid w:val="000E062C"/>
    <w:rsid w:val="000E541B"/>
    <w:rsid w:val="000F1B3C"/>
    <w:rsid w:val="000F3DC2"/>
    <w:rsid w:val="000F42F0"/>
    <w:rsid w:val="00106189"/>
    <w:rsid w:val="001067D6"/>
    <w:rsid w:val="00110563"/>
    <w:rsid w:val="00113C95"/>
    <w:rsid w:val="00114013"/>
    <w:rsid w:val="0011470E"/>
    <w:rsid w:val="0011474C"/>
    <w:rsid w:val="001161AD"/>
    <w:rsid w:val="001166A3"/>
    <w:rsid w:val="001171FE"/>
    <w:rsid w:val="0012656B"/>
    <w:rsid w:val="00132620"/>
    <w:rsid w:val="0013393A"/>
    <w:rsid w:val="00135D11"/>
    <w:rsid w:val="00136F58"/>
    <w:rsid w:val="001375F3"/>
    <w:rsid w:val="00150D7C"/>
    <w:rsid w:val="00155F2A"/>
    <w:rsid w:val="00165061"/>
    <w:rsid w:val="001658C8"/>
    <w:rsid w:val="0016648B"/>
    <w:rsid w:val="001740D6"/>
    <w:rsid w:val="00175F04"/>
    <w:rsid w:val="00194D76"/>
    <w:rsid w:val="00197423"/>
    <w:rsid w:val="001A1A52"/>
    <w:rsid w:val="001A3E8F"/>
    <w:rsid w:val="001A77D8"/>
    <w:rsid w:val="001B0285"/>
    <w:rsid w:val="001B26A5"/>
    <w:rsid w:val="001B2768"/>
    <w:rsid w:val="001B48F6"/>
    <w:rsid w:val="001B4922"/>
    <w:rsid w:val="001B54C3"/>
    <w:rsid w:val="001B6727"/>
    <w:rsid w:val="001C08D5"/>
    <w:rsid w:val="001C1F79"/>
    <w:rsid w:val="001C3BC9"/>
    <w:rsid w:val="001C5B72"/>
    <w:rsid w:val="001D06F0"/>
    <w:rsid w:val="001D2367"/>
    <w:rsid w:val="001D5D75"/>
    <w:rsid w:val="001E476F"/>
    <w:rsid w:val="001F231D"/>
    <w:rsid w:val="001F6029"/>
    <w:rsid w:val="0021144A"/>
    <w:rsid w:val="0021233A"/>
    <w:rsid w:val="00215D07"/>
    <w:rsid w:val="00233B00"/>
    <w:rsid w:val="00233D60"/>
    <w:rsid w:val="00237DE6"/>
    <w:rsid w:val="0024031A"/>
    <w:rsid w:val="002409AB"/>
    <w:rsid w:val="00240F73"/>
    <w:rsid w:val="00244031"/>
    <w:rsid w:val="002447FC"/>
    <w:rsid w:val="00245BCB"/>
    <w:rsid w:val="002468CE"/>
    <w:rsid w:val="00250B06"/>
    <w:rsid w:val="0025135D"/>
    <w:rsid w:val="00263130"/>
    <w:rsid w:val="002632AB"/>
    <w:rsid w:val="00271CF4"/>
    <w:rsid w:val="00282B79"/>
    <w:rsid w:val="002860CC"/>
    <w:rsid w:val="0028718C"/>
    <w:rsid w:val="00287B4C"/>
    <w:rsid w:val="002955C8"/>
    <w:rsid w:val="00297130"/>
    <w:rsid w:val="002C03A1"/>
    <w:rsid w:val="002C476A"/>
    <w:rsid w:val="002D27EF"/>
    <w:rsid w:val="002E39AA"/>
    <w:rsid w:val="002E4AAF"/>
    <w:rsid w:val="002F1C6B"/>
    <w:rsid w:val="002F405E"/>
    <w:rsid w:val="00300AF3"/>
    <w:rsid w:val="0031159A"/>
    <w:rsid w:val="00314E95"/>
    <w:rsid w:val="00323DFF"/>
    <w:rsid w:val="00335FBF"/>
    <w:rsid w:val="00336574"/>
    <w:rsid w:val="003439CC"/>
    <w:rsid w:val="003444FE"/>
    <w:rsid w:val="00346DD9"/>
    <w:rsid w:val="00352907"/>
    <w:rsid w:val="00353048"/>
    <w:rsid w:val="00361D59"/>
    <w:rsid w:val="003668B9"/>
    <w:rsid w:val="00370835"/>
    <w:rsid w:val="003800AB"/>
    <w:rsid w:val="0038607C"/>
    <w:rsid w:val="003912D1"/>
    <w:rsid w:val="00392D86"/>
    <w:rsid w:val="00396DE9"/>
    <w:rsid w:val="003A2C3B"/>
    <w:rsid w:val="003A5075"/>
    <w:rsid w:val="003A70E6"/>
    <w:rsid w:val="003B1423"/>
    <w:rsid w:val="003C4730"/>
    <w:rsid w:val="003C5806"/>
    <w:rsid w:val="003C6A3F"/>
    <w:rsid w:val="003D1B8E"/>
    <w:rsid w:val="003E6326"/>
    <w:rsid w:val="003E6BBC"/>
    <w:rsid w:val="003F77F7"/>
    <w:rsid w:val="003F7E3C"/>
    <w:rsid w:val="00403F73"/>
    <w:rsid w:val="00411F22"/>
    <w:rsid w:val="004126D2"/>
    <w:rsid w:val="00422B1E"/>
    <w:rsid w:val="00425239"/>
    <w:rsid w:val="00426D17"/>
    <w:rsid w:val="0043087A"/>
    <w:rsid w:val="00431B1D"/>
    <w:rsid w:val="0043379F"/>
    <w:rsid w:val="004339DE"/>
    <w:rsid w:val="00434E09"/>
    <w:rsid w:val="004376A2"/>
    <w:rsid w:val="004423EB"/>
    <w:rsid w:val="00450FAB"/>
    <w:rsid w:val="0045159B"/>
    <w:rsid w:val="004576F2"/>
    <w:rsid w:val="00461811"/>
    <w:rsid w:val="00463994"/>
    <w:rsid w:val="00464A77"/>
    <w:rsid w:val="00464BBE"/>
    <w:rsid w:val="00465D67"/>
    <w:rsid w:val="004718FB"/>
    <w:rsid w:val="004770EC"/>
    <w:rsid w:val="004856ED"/>
    <w:rsid w:val="00491F26"/>
    <w:rsid w:val="004A45C9"/>
    <w:rsid w:val="004B341A"/>
    <w:rsid w:val="004B47D1"/>
    <w:rsid w:val="004B56D1"/>
    <w:rsid w:val="004B5A74"/>
    <w:rsid w:val="004C49E2"/>
    <w:rsid w:val="004C5264"/>
    <w:rsid w:val="004C572B"/>
    <w:rsid w:val="004C6A90"/>
    <w:rsid w:val="004C7A56"/>
    <w:rsid w:val="004D09C5"/>
    <w:rsid w:val="004D6564"/>
    <w:rsid w:val="004E263E"/>
    <w:rsid w:val="004E46E2"/>
    <w:rsid w:val="004E5010"/>
    <w:rsid w:val="004E558A"/>
    <w:rsid w:val="004F7E0A"/>
    <w:rsid w:val="00504664"/>
    <w:rsid w:val="00504D56"/>
    <w:rsid w:val="00506B1E"/>
    <w:rsid w:val="00511023"/>
    <w:rsid w:val="00511D24"/>
    <w:rsid w:val="005177BE"/>
    <w:rsid w:val="0052165B"/>
    <w:rsid w:val="0052372F"/>
    <w:rsid w:val="00524361"/>
    <w:rsid w:val="00527B99"/>
    <w:rsid w:val="0053077A"/>
    <w:rsid w:val="00532579"/>
    <w:rsid w:val="00532BB6"/>
    <w:rsid w:val="0053766B"/>
    <w:rsid w:val="00540DAB"/>
    <w:rsid w:val="00543268"/>
    <w:rsid w:val="005501EE"/>
    <w:rsid w:val="005522E2"/>
    <w:rsid w:val="00557172"/>
    <w:rsid w:val="005609A7"/>
    <w:rsid w:val="00562EE0"/>
    <w:rsid w:val="005655AD"/>
    <w:rsid w:val="0057013C"/>
    <w:rsid w:val="00583FFE"/>
    <w:rsid w:val="005841D8"/>
    <w:rsid w:val="00586B07"/>
    <w:rsid w:val="00587A58"/>
    <w:rsid w:val="00587C98"/>
    <w:rsid w:val="00592784"/>
    <w:rsid w:val="00596351"/>
    <w:rsid w:val="005A263F"/>
    <w:rsid w:val="005B2E0A"/>
    <w:rsid w:val="005B493B"/>
    <w:rsid w:val="005B73CB"/>
    <w:rsid w:val="005C30CD"/>
    <w:rsid w:val="005C41D2"/>
    <w:rsid w:val="005C5752"/>
    <w:rsid w:val="005C7043"/>
    <w:rsid w:val="005D2AA3"/>
    <w:rsid w:val="005D67C9"/>
    <w:rsid w:val="005D76B2"/>
    <w:rsid w:val="005E471B"/>
    <w:rsid w:val="005E7563"/>
    <w:rsid w:val="005F16FA"/>
    <w:rsid w:val="005F6041"/>
    <w:rsid w:val="00601A21"/>
    <w:rsid w:val="00611560"/>
    <w:rsid w:val="0061421B"/>
    <w:rsid w:val="006148A9"/>
    <w:rsid w:val="00623696"/>
    <w:rsid w:val="006250C5"/>
    <w:rsid w:val="006257E4"/>
    <w:rsid w:val="0063277D"/>
    <w:rsid w:val="00633CD9"/>
    <w:rsid w:val="00634ADB"/>
    <w:rsid w:val="00635691"/>
    <w:rsid w:val="00645931"/>
    <w:rsid w:val="00652A7A"/>
    <w:rsid w:val="00662421"/>
    <w:rsid w:val="00670055"/>
    <w:rsid w:val="006711F1"/>
    <w:rsid w:val="00671DA1"/>
    <w:rsid w:val="0067762B"/>
    <w:rsid w:val="006812C2"/>
    <w:rsid w:val="00682FEE"/>
    <w:rsid w:val="0068543E"/>
    <w:rsid w:val="00685FE7"/>
    <w:rsid w:val="006878B1"/>
    <w:rsid w:val="00687C01"/>
    <w:rsid w:val="006928FF"/>
    <w:rsid w:val="0069358B"/>
    <w:rsid w:val="006A350E"/>
    <w:rsid w:val="006A3BEC"/>
    <w:rsid w:val="006C26DB"/>
    <w:rsid w:val="006C2A99"/>
    <w:rsid w:val="006C632B"/>
    <w:rsid w:val="006D2567"/>
    <w:rsid w:val="006D36AA"/>
    <w:rsid w:val="006D43A8"/>
    <w:rsid w:val="006E29AD"/>
    <w:rsid w:val="006E3026"/>
    <w:rsid w:val="006E5640"/>
    <w:rsid w:val="006E594F"/>
    <w:rsid w:val="006E6678"/>
    <w:rsid w:val="00701B58"/>
    <w:rsid w:val="007032A4"/>
    <w:rsid w:val="00705256"/>
    <w:rsid w:val="007144EE"/>
    <w:rsid w:val="00714EB7"/>
    <w:rsid w:val="00715D20"/>
    <w:rsid w:val="00720553"/>
    <w:rsid w:val="00723BE9"/>
    <w:rsid w:val="00732B1F"/>
    <w:rsid w:val="0073452B"/>
    <w:rsid w:val="00737190"/>
    <w:rsid w:val="007379D2"/>
    <w:rsid w:val="007416BF"/>
    <w:rsid w:val="00757847"/>
    <w:rsid w:val="00760261"/>
    <w:rsid w:val="00772B1F"/>
    <w:rsid w:val="00772F6F"/>
    <w:rsid w:val="007766F7"/>
    <w:rsid w:val="00786A68"/>
    <w:rsid w:val="00787C59"/>
    <w:rsid w:val="007964C4"/>
    <w:rsid w:val="007A3666"/>
    <w:rsid w:val="007A59FC"/>
    <w:rsid w:val="007B3140"/>
    <w:rsid w:val="007B55B0"/>
    <w:rsid w:val="007B6CE2"/>
    <w:rsid w:val="007D6EAF"/>
    <w:rsid w:val="007E3277"/>
    <w:rsid w:val="007F08F0"/>
    <w:rsid w:val="007F49BA"/>
    <w:rsid w:val="007F7FDE"/>
    <w:rsid w:val="00800EC2"/>
    <w:rsid w:val="0080209E"/>
    <w:rsid w:val="008126EC"/>
    <w:rsid w:val="0082544D"/>
    <w:rsid w:val="00825C86"/>
    <w:rsid w:val="00827EBC"/>
    <w:rsid w:val="0083086F"/>
    <w:rsid w:val="00833186"/>
    <w:rsid w:val="00837448"/>
    <w:rsid w:val="0084198A"/>
    <w:rsid w:val="00844FF2"/>
    <w:rsid w:val="00846813"/>
    <w:rsid w:val="00850122"/>
    <w:rsid w:val="00850B88"/>
    <w:rsid w:val="008556BF"/>
    <w:rsid w:val="00856787"/>
    <w:rsid w:val="00863448"/>
    <w:rsid w:val="0086467D"/>
    <w:rsid w:val="00872621"/>
    <w:rsid w:val="008728EB"/>
    <w:rsid w:val="008752CB"/>
    <w:rsid w:val="00876851"/>
    <w:rsid w:val="00884D8F"/>
    <w:rsid w:val="00896083"/>
    <w:rsid w:val="008A369B"/>
    <w:rsid w:val="008B31F0"/>
    <w:rsid w:val="008B466D"/>
    <w:rsid w:val="008B5508"/>
    <w:rsid w:val="008B6A00"/>
    <w:rsid w:val="008B7122"/>
    <w:rsid w:val="008C148D"/>
    <w:rsid w:val="008C1E12"/>
    <w:rsid w:val="008C278F"/>
    <w:rsid w:val="008C4159"/>
    <w:rsid w:val="008C4C2F"/>
    <w:rsid w:val="008D2298"/>
    <w:rsid w:val="008D4F94"/>
    <w:rsid w:val="008E21A1"/>
    <w:rsid w:val="008E42BD"/>
    <w:rsid w:val="008E596F"/>
    <w:rsid w:val="008E7A57"/>
    <w:rsid w:val="008E7AC6"/>
    <w:rsid w:val="00900E86"/>
    <w:rsid w:val="0091431A"/>
    <w:rsid w:val="009166A1"/>
    <w:rsid w:val="00922A6D"/>
    <w:rsid w:val="0093155A"/>
    <w:rsid w:val="009321A5"/>
    <w:rsid w:val="0093243A"/>
    <w:rsid w:val="00933936"/>
    <w:rsid w:val="0093773C"/>
    <w:rsid w:val="00951AB8"/>
    <w:rsid w:val="00953C4A"/>
    <w:rsid w:val="009636F0"/>
    <w:rsid w:val="00963CF1"/>
    <w:rsid w:val="0097594C"/>
    <w:rsid w:val="00975BB6"/>
    <w:rsid w:val="009766A0"/>
    <w:rsid w:val="00977E45"/>
    <w:rsid w:val="00981A2D"/>
    <w:rsid w:val="009828FF"/>
    <w:rsid w:val="00982919"/>
    <w:rsid w:val="0098340A"/>
    <w:rsid w:val="00997D09"/>
    <w:rsid w:val="009A0207"/>
    <w:rsid w:val="009A6C67"/>
    <w:rsid w:val="009B3A99"/>
    <w:rsid w:val="009B3E98"/>
    <w:rsid w:val="009C2A30"/>
    <w:rsid w:val="009C2F61"/>
    <w:rsid w:val="009C7BE8"/>
    <w:rsid w:val="009D3C4A"/>
    <w:rsid w:val="009D5267"/>
    <w:rsid w:val="009D5CE7"/>
    <w:rsid w:val="009D790C"/>
    <w:rsid w:val="009F410D"/>
    <w:rsid w:val="00A0465E"/>
    <w:rsid w:val="00A04DDF"/>
    <w:rsid w:val="00A0566B"/>
    <w:rsid w:val="00A077D4"/>
    <w:rsid w:val="00A14BB2"/>
    <w:rsid w:val="00A23DC5"/>
    <w:rsid w:val="00A25B71"/>
    <w:rsid w:val="00A26A99"/>
    <w:rsid w:val="00A332E4"/>
    <w:rsid w:val="00A335DF"/>
    <w:rsid w:val="00A34599"/>
    <w:rsid w:val="00A36624"/>
    <w:rsid w:val="00A4114C"/>
    <w:rsid w:val="00A42601"/>
    <w:rsid w:val="00A42648"/>
    <w:rsid w:val="00A42E9D"/>
    <w:rsid w:val="00A43313"/>
    <w:rsid w:val="00A46CF5"/>
    <w:rsid w:val="00A47DA7"/>
    <w:rsid w:val="00A50378"/>
    <w:rsid w:val="00A50AE6"/>
    <w:rsid w:val="00A63A48"/>
    <w:rsid w:val="00A72449"/>
    <w:rsid w:val="00A76A4B"/>
    <w:rsid w:val="00A83416"/>
    <w:rsid w:val="00A85A5F"/>
    <w:rsid w:val="00A92BCE"/>
    <w:rsid w:val="00A93705"/>
    <w:rsid w:val="00A96370"/>
    <w:rsid w:val="00A966E6"/>
    <w:rsid w:val="00AA007D"/>
    <w:rsid w:val="00AA3130"/>
    <w:rsid w:val="00AA3A27"/>
    <w:rsid w:val="00AA54C7"/>
    <w:rsid w:val="00AB1532"/>
    <w:rsid w:val="00AC2E10"/>
    <w:rsid w:val="00AC4261"/>
    <w:rsid w:val="00AD0860"/>
    <w:rsid w:val="00AE035F"/>
    <w:rsid w:val="00AF3CEC"/>
    <w:rsid w:val="00AF3F64"/>
    <w:rsid w:val="00AF4B9A"/>
    <w:rsid w:val="00B01346"/>
    <w:rsid w:val="00B026C3"/>
    <w:rsid w:val="00B05B85"/>
    <w:rsid w:val="00B072F6"/>
    <w:rsid w:val="00B07F84"/>
    <w:rsid w:val="00B11B78"/>
    <w:rsid w:val="00B12C82"/>
    <w:rsid w:val="00B13ADF"/>
    <w:rsid w:val="00B141F1"/>
    <w:rsid w:val="00B14540"/>
    <w:rsid w:val="00B161C8"/>
    <w:rsid w:val="00B343BC"/>
    <w:rsid w:val="00B368B4"/>
    <w:rsid w:val="00B4043C"/>
    <w:rsid w:val="00B46151"/>
    <w:rsid w:val="00B46F95"/>
    <w:rsid w:val="00B523DA"/>
    <w:rsid w:val="00B5570D"/>
    <w:rsid w:val="00B56145"/>
    <w:rsid w:val="00B608E8"/>
    <w:rsid w:val="00B60BA2"/>
    <w:rsid w:val="00B610F1"/>
    <w:rsid w:val="00B6116A"/>
    <w:rsid w:val="00B636B5"/>
    <w:rsid w:val="00B64FEB"/>
    <w:rsid w:val="00B707B6"/>
    <w:rsid w:val="00B7471E"/>
    <w:rsid w:val="00B74C46"/>
    <w:rsid w:val="00B80F60"/>
    <w:rsid w:val="00B9310A"/>
    <w:rsid w:val="00BA0FA1"/>
    <w:rsid w:val="00BB16DF"/>
    <w:rsid w:val="00BB1EDC"/>
    <w:rsid w:val="00BC06E0"/>
    <w:rsid w:val="00BC1CC0"/>
    <w:rsid w:val="00BD40EB"/>
    <w:rsid w:val="00BD5A4E"/>
    <w:rsid w:val="00BD6AD9"/>
    <w:rsid w:val="00BE08DB"/>
    <w:rsid w:val="00BF162D"/>
    <w:rsid w:val="00BF5A67"/>
    <w:rsid w:val="00C01293"/>
    <w:rsid w:val="00C022B7"/>
    <w:rsid w:val="00C03446"/>
    <w:rsid w:val="00C12A17"/>
    <w:rsid w:val="00C26007"/>
    <w:rsid w:val="00C26C24"/>
    <w:rsid w:val="00C3109B"/>
    <w:rsid w:val="00C3118F"/>
    <w:rsid w:val="00C311AF"/>
    <w:rsid w:val="00C319CB"/>
    <w:rsid w:val="00C32175"/>
    <w:rsid w:val="00C374E5"/>
    <w:rsid w:val="00C469C7"/>
    <w:rsid w:val="00C51885"/>
    <w:rsid w:val="00C53A93"/>
    <w:rsid w:val="00C57795"/>
    <w:rsid w:val="00C61826"/>
    <w:rsid w:val="00C65ACB"/>
    <w:rsid w:val="00C713E1"/>
    <w:rsid w:val="00C74363"/>
    <w:rsid w:val="00C760D6"/>
    <w:rsid w:val="00C82EA5"/>
    <w:rsid w:val="00C85774"/>
    <w:rsid w:val="00C96571"/>
    <w:rsid w:val="00CA43F7"/>
    <w:rsid w:val="00CB0C6D"/>
    <w:rsid w:val="00CB377C"/>
    <w:rsid w:val="00CC2016"/>
    <w:rsid w:val="00CC32C1"/>
    <w:rsid w:val="00CC4DEE"/>
    <w:rsid w:val="00CD64F8"/>
    <w:rsid w:val="00CD6DB2"/>
    <w:rsid w:val="00CE006B"/>
    <w:rsid w:val="00CE664C"/>
    <w:rsid w:val="00CE74DA"/>
    <w:rsid w:val="00CF45CF"/>
    <w:rsid w:val="00CF5211"/>
    <w:rsid w:val="00CF7833"/>
    <w:rsid w:val="00D02B16"/>
    <w:rsid w:val="00D060B9"/>
    <w:rsid w:val="00D11817"/>
    <w:rsid w:val="00D13618"/>
    <w:rsid w:val="00D15DE8"/>
    <w:rsid w:val="00D20640"/>
    <w:rsid w:val="00D26DC3"/>
    <w:rsid w:val="00D30BF9"/>
    <w:rsid w:val="00D359CF"/>
    <w:rsid w:val="00D36DE3"/>
    <w:rsid w:val="00D42E4F"/>
    <w:rsid w:val="00D45ABA"/>
    <w:rsid w:val="00D477FA"/>
    <w:rsid w:val="00D54633"/>
    <w:rsid w:val="00D56A6E"/>
    <w:rsid w:val="00D664FF"/>
    <w:rsid w:val="00D709F7"/>
    <w:rsid w:val="00D7274D"/>
    <w:rsid w:val="00D738EA"/>
    <w:rsid w:val="00D8271D"/>
    <w:rsid w:val="00D830B8"/>
    <w:rsid w:val="00D868BE"/>
    <w:rsid w:val="00D904D8"/>
    <w:rsid w:val="00D96156"/>
    <w:rsid w:val="00D969A7"/>
    <w:rsid w:val="00DA391B"/>
    <w:rsid w:val="00DA7AD7"/>
    <w:rsid w:val="00DB3438"/>
    <w:rsid w:val="00DB719D"/>
    <w:rsid w:val="00DC214F"/>
    <w:rsid w:val="00DC5D09"/>
    <w:rsid w:val="00DC677C"/>
    <w:rsid w:val="00DC7642"/>
    <w:rsid w:val="00DD1CB7"/>
    <w:rsid w:val="00DD52E5"/>
    <w:rsid w:val="00DD6216"/>
    <w:rsid w:val="00DE6936"/>
    <w:rsid w:val="00DF2DEE"/>
    <w:rsid w:val="00E05B60"/>
    <w:rsid w:val="00E131A2"/>
    <w:rsid w:val="00E166E4"/>
    <w:rsid w:val="00E2092F"/>
    <w:rsid w:val="00E35B88"/>
    <w:rsid w:val="00E3620D"/>
    <w:rsid w:val="00E363FC"/>
    <w:rsid w:val="00E430EF"/>
    <w:rsid w:val="00E43E05"/>
    <w:rsid w:val="00E53FF9"/>
    <w:rsid w:val="00E55837"/>
    <w:rsid w:val="00E62BB5"/>
    <w:rsid w:val="00E6483B"/>
    <w:rsid w:val="00E67A0E"/>
    <w:rsid w:val="00E71824"/>
    <w:rsid w:val="00E71EB4"/>
    <w:rsid w:val="00E73302"/>
    <w:rsid w:val="00E75701"/>
    <w:rsid w:val="00E764D6"/>
    <w:rsid w:val="00E80A9A"/>
    <w:rsid w:val="00E865E8"/>
    <w:rsid w:val="00E91F0B"/>
    <w:rsid w:val="00E9427B"/>
    <w:rsid w:val="00E9494F"/>
    <w:rsid w:val="00E949AB"/>
    <w:rsid w:val="00EA3A77"/>
    <w:rsid w:val="00EA5BA9"/>
    <w:rsid w:val="00EB0E46"/>
    <w:rsid w:val="00EB1A0A"/>
    <w:rsid w:val="00EB7617"/>
    <w:rsid w:val="00ED6857"/>
    <w:rsid w:val="00ED6A2C"/>
    <w:rsid w:val="00EE3ECC"/>
    <w:rsid w:val="00EE4B9E"/>
    <w:rsid w:val="00EE58D7"/>
    <w:rsid w:val="00EE672D"/>
    <w:rsid w:val="00EE7011"/>
    <w:rsid w:val="00EF212A"/>
    <w:rsid w:val="00EF21A7"/>
    <w:rsid w:val="00EF31C3"/>
    <w:rsid w:val="00EF3F6D"/>
    <w:rsid w:val="00EF689A"/>
    <w:rsid w:val="00F052A0"/>
    <w:rsid w:val="00F07253"/>
    <w:rsid w:val="00F17221"/>
    <w:rsid w:val="00F22161"/>
    <w:rsid w:val="00F23A6B"/>
    <w:rsid w:val="00F25813"/>
    <w:rsid w:val="00F40F9B"/>
    <w:rsid w:val="00F50C95"/>
    <w:rsid w:val="00F55F85"/>
    <w:rsid w:val="00F60EE7"/>
    <w:rsid w:val="00F62597"/>
    <w:rsid w:val="00F63FDD"/>
    <w:rsid w:val="00F65A1B"/>
    <w:rsid w:val="00F7081C"/>
    <w:rsid w:val="00F7255F"/>
    <w:rsid w:val="00F77F01"/>
    <w:rsid w:val="00F82C29"/>
    <w:rsid w:val="00F83D5F"/>
    <w:rsid w:val="00F87355"/>
    <w:rsid w:val="00F87F99"/>
    <w:rsid w:val="00FA239B"/>
    <w:rsid w:val="00FA5A75"/>
    <w:rsid w:val="00FB077F"/>
    <w:rsid w:val="00FB54C7"/>
    <w:rsid w:val="00FC0669"/>
    <w:rsid w:val="00FC0A02"/>
    <w:rsid w:val="00FC4DD0"/>
    <w:rsid w:val="00FC6DB2"/>
    <w:rsid w:val="00FD2C2B"/>
    <w:rsid w:val="00FE20AE"/>
    <w:rsid w:val="00FE51AD"/>
    <w:rsid w:val="00FE5320"/>
    <w:rsid w:val="00FE5B74"/>
    <w:rsid w:val="00FF24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799BA1EE-5DA2-4584-A32E-718D1E2C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style>
  <w:style w:type="paragraph" w:styleId="Heading1">
    <w:name w:val="heading 1"/>
    <w:basedOn w:val="Normal"/>
    <w:uiPriority w:val="1"/>
    <w:qFormat/>
    <w:pPr>
      <w:ind w:left="2601"/>
      <w:outlineLvl w:val="0"/>
    </w:pPr>
    <w:rPr>
      <w:rFonts w:ascii="Times New Roman" w:eastAsia="Times New Roman" w:hAnsi="Times New Roman"/>
      <w:sz w:val="24"/>
      <w:szCs w:val="24"/>
    </w:rPr>
  </w:style>
  <w:style w:type="paragraph" w:styleId="Heading2">
    <w:name w:val="heading 2"/>
    <w:basedOn w:val="Normal"/>
    <w:uiPriority w:val="1"/>
    <w:qFormat/>
    <w:pPr>
      <w:ind w:left="820"/>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40" w:hanging="36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noteText">
    <w:name w:val="footnote text"/>
    <w:aliases w:val="Footnote Text Char1 Char Char Char1,Footnote Text Char2,Footnote Text Char2 Char1 Char1,Footnote Text Char2 Char1 Char1 Char Char,Footnote Text Char3 Char1,Footnote Text Char3 Char1 Char Char,Footnote Text Char3 Char1 Char Char Char Char,f"/>
    <w:link w:val="FootnoteTextChar"/>
    <w:rsid w:val="00DA3838"/>
    <w:pPr>
      <w:widowControl/>
      <w:spacing w:after="120"/>
    </w:pPr>
    <w:rPr>
      <w:rFonts w:ascii="Times New Roman" w:eastAsia="Times New Roman" w:hAnsi="Times New Roman" w:cs="Times New Roman"/>
      <w:sz w:val="20"/>
      <w:szCs w:val="20"/>
    </w:rPr>
  </w:style>
  <w:style w:type="character" w:customStyle="1" w:styleId="FootnoteTextChar">
    <w:name w:val="Footnote Text Char"/>
    <w:aliases w:val="Footnote Text Char1 Char Char Char1 Char,Footnote Text Char2 Char,Footnote Text Char2 Char1 Char1 Char,Footnote Text Char2 Char1 Char1 Char Char Char,Footnote Text Char3 Char1 Char,Footnote Text Char3 Char1 Char Char Char,f Char"/>
    <w:basedOn w:val="DefaultParagraphFont"/>
    <w:link w:val="FootnoteText"/>
    <w:rsid w:val="00DA3838"/>
    <w:rPr>
      <w:rFonts w:ascii="Times New Roman" w:eastAsia="Times New Roman" w:hAnsi="Times New Roman" w:cs="Times New Roman"/>
      <w:sz w:val="20"/>
      <w:szCs w:val="20"/>
    </w:rPr>
  </w:style>
  <w:style w:type="character" w:styleId="FootnoteReference">
    <w:name w:val="footnote reference"/>
    <w:aliases w:val="(NECG) Footnote Reference,Appel note de bas de p,FR,Footnote Reference/,Footnote Reference1,Style 12,Style 124,Style 13,Style 17,Style 3,Style 34,Style 4,Style 6,Style 7,Style 9,fr,o"/>
    <w:rsid w:val="00DA3838"/>
    <w:rPr>
      <w:rFonts w:ascii="Times New Roman" w:hAnsi="Times New Roman"/>
      <w:dstrike w:val="0"/>
      <w:color w:val="auto"/>
      <w:sz w:val="20"/>
      <w:vertAlign w:val="superscript"/>
    </w:rPr>
  </w:style>
  <w:style w:type="paragraph" w:styleId="BalloonText">
    <w:name w:val="Balloon Text"/>
    <w:basedOn w:val="Normal"/>
    <w:link w:val="BalloonTextChar"/>
    <w:uiPriority w:val="99"/>
    <w:semiHidden/>
    <w:unhideWhenUsed/>
    <w:rsid w:val="00517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7F"/>
    <w:rPr>
      <w:rFonts w:ascii="Segoe UI" w:hAnsi="Segoe UI" w:cs="Segoe UI"/>
      <w:sz w:val="18"/>
      <w:szCs w:val="18"/>
    </w:rPr>
  </w:style>
  <w:style w:type="character" w:styleId="Hyperlink">
    <w:name w:val="Hyperlink"/>
    <w:basedOn w:val="DefaultParagraphFont"/>
    <w:uiPriority w:val="99"/>
    <w:unhideWhenUsed/>
    <w:rsid w:val="0051797F"/>
    <w:rPr>
      <w:color w:val="0000FF" w:themeColor="hyperlink"/>
      <w:u w:val="single"/>
    </w:rPr>
  </w:style>
  <w:style w:type="character" w:styleId="CommentReference">
    <w:name w:val="annotation reference"/>
    <w:basedOn w:val="DefaultParagraphFont"/>
    <w:uiPriority w:val="99"/>
    <w:semiHidden/>
    <w:unhideWhenUsed/>
    <w:rsid w:val="00E02D0F"/>
    <w:rPr>
      <w:sz w:val="16"/>
      <w:szCs w:val="16"/>
    </w:rPr>
  </w:style>
  <w:style w:type="paragraph" w:styleId="CommentText">
    <w:name w:val="annotation text"/>
    <w:basedOn w:val="Normal"/>
    <w:link w:val="CommentTextChar"/>
    <w:uiPriority w:val="99"/>
    <w:semiHidden/>
    <w:unhideWhenUsed/>
    <w:rsid w:val="00E02D0F"/>
    <w:rPr>
      <w:sz w:val="20"/>
      <w:szCs w:val="20"/>
    </w:rPr>
  </w:style>
  <w:style w:type="character" w:customStyle="1" w:styleId="CommentTextChar">
    <w:name w:val="Comment Text Char"/>
    <w:basedOn w:val="DefaultParagraphFont"/>
    <w:link w:val="CommentText"/>
    <w:uiPriority w:val="99"/>
    <w:semiHidden/>
    <w:rsid w:val="00E02D0F"/>
    <w:rPr>
      <w:sz w:val="20"/>
      <w:szCs w:val="20"/>
    </w:rPr>
  </w:style>
  <w:style w:type="paragraph" w:styleId="CommentSubject">
    <w:name w:val="annotation subject"/>
    <w:basedOn w:val="CommentText"/>
    <w:next w:val="CommentText"/>
    <w:link w:val="CommentSubjectChar"/>
    <w:uiPriority w:val="99"/>
    <w:semiHidden/>
    <w:unhideWhenUsed/>
    <w:rsid w:val="00E02D0F"/>
    <w:rPr>
      <w:b/>
      <w:bCs/>
    </w:rPr>
  </w:style>
  <w:style w:type="character" w:customStyle="1" w:styleId="CommentSubjectChar">
    <w:name w:val="Comment Subject Char"/>
    <w:basedOn w:val="CommentTextChar"/>
    <w:link w:val="CommentSubject"/>
    <w:uiPriority w:val="99"/>
    <w:semiHidden/>
    <w:rsid w:val="00E02D0F"/>
    <w:rPr>
      <w:b/>
      <w:bCs/>
      <w:sz w:val="20"/>
      <w:szCs w:val="20"/>
    </w:rPr>
  </w:style>
  <w:style w:type="paragraph" w:styleId="Header">
    <w:name w:val="header"/>
    <w:basedOn w:val="Normal"/>
    <w:link w:val="HeaderChar"/>
    <w:uiPriority w:val="99"/>
    <w:unhideWhenUsed/>
    <w:rsid w:val="00A6735B"/>
    <w:pPr>
      <w:tabs>
        <w:tab w:val="center" w:pos="4680"/>
        <w:tab w:val="right" w:pos="9360"/>
      </w:tabs>
    </w:pPr>
  </w:style>
  <w:style w:type="character" w:customStyle="1" w:styleId="HeaderChar">
    <w:name w:val="Header Char"/>
    <w:basedOn w:val="DefaultParagraphFont"/>
    <w:link w:val="Header"/>
    <w:uiPriority w:val="99"/>
    <w:rsid w:val="00A6735B"/>
  </w:style>
  <w:style w:type="paragraph" w:styleId="Footer">
    <w:name w:val="footer"/>
    <w:basedOn w:val="Normal"/>
    <w:link w:val="FooterChar"/>
    <w:uiPriority w:val="99"/>
    <w:unhideWhenUsed/>
    <w:rsid w:val="00A6735B"/>
    <w:pPr>
      <w:tabs>
        <w:tab w:val="center" w:pos="4680"/>
        <w:tab w:val="right" w:pos="9360"/>
      </w:tabs>
    </w:pPr>
  </w:style>
  <w:style w:type="character" w:customStyle="1" w:styleId="FooterChar">
    <w:name w:val="Footer Char"/>
    <w:basedOn w:val="DefaultParagraphFont"/>
    <w:link w:val="Footer"/>
    <w:uiPriority w:val="99"/>
    <w:rsid w:val="00A6735B"/>
  </w:style>
  <w:style w:type="paragraph" w:customStyle="1" w:styleId="ParaNum">
    <w:name w:val="ParaNum"/>
    <w:basedOn w:val="Normal"/>
    <w:link w:val="ParaNumChar"/>
    <w:rsid w:val="00472654"/>
    <w:pPr>
      <w:numPr>
        <w:numId w:val="2"/>
      </w:numPr>
      <w:spacing w:after="120"/>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472654"/>
    <w:rPr>
      <w:rFonts w:ascii="Times New Roman" w:eastAsia="Times New Roman" w:hAnsi="Times New Roman" w:cs="Times New Roman"/>
      <w:snapToGrid w:val="0"/>
      <w:kern w:val="28"/>
      <w:szCs w:val="20"/>
    </w:rPr>
  </w:style>
  <w:style w:type="character" w:styleId="FollowedHyperlink">
    <w:name w:val="FollowedHyperlink"/>
    <w:basedOn w:val="DefaultParagraphFont"/>
    <w:uiPriority w:val="99"/>
    <w:semiHidden/>
    <w:unhideWhenUsed/>
    <w:rsid w:val="00D15697"/>
    <w:rPr>
      <w:color w:val="800080" w:themeColor="followedHyperlink"/>
      <w:u w:val="single"/>
    </w:rPr>
  </w:style>
  <w:style w:type="paragraph" w:styleId="NormalWeb">
    <w:name w:val="Normal (Web)"/>
    <w:basedOn w:val="Normal"/>
    <w:uiPriority w:val="99"/>
    <w:semiHidden/>
    <w:unhideWhenUsed/>
    <w:rsid w:val="00730234"/>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D57CD"/>
    <w:pPr>
      <w:widowControl/>
      <w:autoSpaceDE w:val="0"/>
      <w:autoSpaceDN w:val="0"/>
      <w:adjustRightInd w:val="0"/>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8D5F5C"/>
    <w:rPr>
      <w:color w:val="808080"/>
      <w:shd w:val="clear" w:color="auto" w:fill="E6E6E6"/>
    </w:rPr>
  </w:style>
  <w:style w:type="paragraph" w:styleId="NoSpacing">
    <w:name w:val="No Spacing"/>
    <w:uiPriority w:val="1"/>
    <w:qFormat/>
    <w:rsid w:val="003444FE"/>
  </w:style>
  <w:style w:type="paragraph" w:styleId="TOCHeading">
    <w:name w:val="TOC Heading"/>
    <w:basedOn w:val="Heading1"/>
    <w:next w:val="Normal"/>
    <w:uiPriority w:val="39"/>
    <w:unhideWhenUsed/>
    <w:qFormat/>
    <w:rsid w:val="001C3ADB"/>
    <w:pPr>
      <w:keepNext/>
      <w:keepLines/>
      <w:widowControl/>
      <w:tabs>
        <w:tab w:val="left" w:pos="720"/>
      </w:tabs>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1C3ADB"/>
    <w:pPr>
      <w:widowControl/>
      <w:spacing w:after="100" w:line="259" w:lineRule="auto"/>
    </w:pPr>
    <w:rPr>
      <w:rFonts w:eastAsiaTheme="minorEastAsia" w:cs="Times New Roman"/>
    </w:rPr>
  </w:style>
  <w:style w:type="character" w:customStyle="1" w:styleId="BodyTextChar">
    <w:name w:val="Body Text Char"/>
    <w:basedOn w:val="DefaultParagraphFont"/>
    <w:link w:val="BodyText"/>
    <w:uiPriority w:val="1"/>
    <w:rsid w:val="00687C01"/>
    <w:rPr>
      <w:rFonts w:ascii="Times New Roman" w:eastAsia="Times New Roman" w:hAnsi="Times New Roman"/>
    </w:rPr>
  </w:style>
  <w:style w:type="paragraph" w:styleId="Revision">
    <w:name w:val="Revision"/>
    <w:hidden/>
    <w:uiPriority w:val="99"/>
    <w:semiHidden/>
    <w:rsid w:val="00997D09"/>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hyperlink" Target="https://docs.fcc.gov/public/attachments/FCC-19-94A1.pdf" TargetMode="External" /><Relationship Id="rId8" Type="http://schemas.openxmlformats.org/officeDocument/2006/relationships/hyperlink" Target="https://www.federalregister.gov/documents/2019/10/28/2019-22447/updating-the-intercarrier-compensation-regime-to-eliminate-access-arbitrage"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