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00582">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p>
    <w:p w:rsidR="00300582" w:rsidRPr="00C50B80">
      <w:pPr>
        <w:jc w:val="right"/>
        <w:rPr>
          <w:b/>
          <w:szCs w:val="22"/>
        </w:rPr>
      </w:pPr>
      <w:r>
        <w:rPr>
          <w:b/>
          <w:szCs w:val="22"/>
        </w:rPr>
        <w:t xml:space="preserve">DA </w:t>
      </w:r>
      <w:r w:rsidR="006E3F78">
        <w:rPr>
          <w:b/>
          <w:szCs w:val="22"/>
        </w:rPr>
        <w:t>20</w:t>
      </w:r>
      <w:r w:rsidR="00C86003">
        <w:rPr>
          <w:b/>
          <w:szCs w:val="22"/>
        </w:rPr>
        <w:t>-</w:t>
      </w:r>
      <w:r w:rsidR="00B74665">
        <w:rPr>
          <w:b/>
          <w:szCs w:val="22"/>
        </w:rPr>
        <w:t>293</w:t>
      </w:r>
    </w:p>
    <w:p w:rsidR="00300582">
      <w:pPr>
        <w:spacing w:before="60"/>
        <w:jc w:val="right"/>
        <w:rPr>
          <w:sz w:val="24"/>
        </w:rPr>
      </w:pPr>
      <w:r>
        <w:rPr>
          <w:b/>
          <w:szCs w:val="22"/>
        </w:rPr>
        <w:t xml:space="preserve">Released: </w:t>
      </w:r>
      <w:r w:rsidR="00B4082B">
        <w:rPr>
          <w:b/>
          <w:szCs w:val="22"/>
        </w:rPr>
        <w:t>March</w:t>
      </w:r>
      <w:r w:rsidR="006E3F78">
        <w:rPr>
          <w:b/>
          <w:szCs w:val="22"/>
        </w:rPr>
        <w:t xml:space="preserve"> 1</w:t>
      </w:r>
      <w:r w:rsidR="00831768">
        <w:rPr>
          <w:b/>
          <w:szCs w:val="22"/>
        </w:rPr>
        <w:t>8</w:t>
      </w:r>
      <w:r w:rsidR="006E3F78">
        <w:rPr>
          <w:b/>
          <w:szCs w:val="22"/>
        </w:rPr>
        <w:t>, 2020</w:t>
      </w:r>
    </w:p>
    <w:p w:rsidR="00300582">
      <w:pPr>
        <w:jc w:val="right"/>
        <w:rPr>
          <w:sz w:val="24"/>
        </w:rPr>
      </w:pPr>
    </w:p>
    <w:p w:rsidR="00B4082B" w:rsidP="00644027">
      <w:pPr>
        <w:suppressAutoHyphens/>
        <w:jc w:val="center"/>
        <w:rPr>
          <w:b/>
          <w:szCs w:val="22"/>
        </w:rPr>
      </w:pPr>
      <w:r>
        <w:rPr>
          <w:b/>
          <w:szCs w:val="22"/>
        </w:rPr>
        <w:t>DOMESTIC SECTION 214 APPLICATION</w:t>
      </w:r>
      <w:r w:rsidRPr="00792582">
        <w:rPr>
          <w:b/>
          <w:szCs w:val="22"/>
        </w:rPr>
        <w:t xml:space="preserve"> GRANTED FOR THE </w:t>
      </w:r>
      <w:r w:rsidRPr="006E3F78" w:rsidR="006E3F78">
        <w:rPr>
          <w:b/>
          <w:szCs w:val="22"/>
        </w:rPr>
        <w:t xml:space="preserve">TRANSFER OF CONTROL OF </w:t>
      </w:r>
      <w:r>
        <w:rPr>
          <w:b/>
          <w:szCs w:val="22"/>
        </w:rPr>
        <w:t>LONSDALE TELEPHONE CO.</w:t>
      </w:r>
      <w:r w:rsidRPr="006E3F78" w:rsidR="006E3F78">
        <w:rPr>
          <w:b/>
          <w:szCs w:val="22"/>
        </w:rPr>
        <w:t xml:space="preserve"> </w:t>
      </w:r>
    </w:p>
    <w:p w:rsidR="00300582" w:rsidRPr="00375887" w:rsidP="00644027">
      <w:pPr>
        <w:suppressAutoHyphens/>
        <w:jc w:val="center"/>
        <w:rPr>
          <w:b/>
          <w:bCs/>
          <w:szCs w:val="22"/>
        </w:rPr>
      </w:pPr>
      <w:r w:rsidRPr="006E3F78">
        <w:rPr>
          <w:b/>
          <w:szCs w:val="22"/>
        </w:rPr>
        <w:t xml:space="preserve">TO </w:t>
      </w:r>
      <w:r w:rsidR="00B4082B">
        <w:rPr>
          <w:b/>
          <w:szCs w:val="22"/>
        </w:rPr>
        <w:t>RURAL COMMUNICATIONS HOLDING CORPORATION</w:t>
      </w:r>
    </w:p>
    <w:p w:rsidR="00300582" w:rsidRPr="00792582" w:rsidP="00300582">
      <w:pPr>
        <w:suppressAutoHyphens/>
        <w:rPr>
          <w:b/>
          <w:color w:val="000000"/>
          <w:szCs w:val="22"/>
        </w:rPr>
      </w:pPr>
      <w:bookmarkStart w:id="1" w:name="_GoBack"/>
      <w:bookmarkEnd w:id="1"/>
    </w:p>
    <w:p w:rsidR="00300582" w:rsidRPr="004E4DA2" w:rsidP="00300582">
      <w:pPr>
        <w:suppressAutoHyphens/>
        <w:spacing w:after="240"/>
        <w:jc w:val="center"/>
        <w:rPr>
          <w:rFonts w:ascii="Arial" w:hAnsi="Arial" w:cs="Arial"/>
          <w:b/>
          <w:szCs w:val="22"/>
        </w:rPr>
      </w:pPr>
      <w:r>
        <w:rPr>
          <w:b/>
          <w:color w:val="000000"/>
          <w:szCs w:val="22"/>
        </w:rPr>
        <w:t xml:space="preserve">WC Docket No. </w:t>
      </w:r>
      <w:r w:rsidR="00B4082B">
        <w:rPr>
          <w:b/>
          <w:color w:val="000000"/>
          <w:szCs w:val="22"/>
        </w:rPr>
        <w:t>20-24</w:t>
      </w:r>
    </w:p>
    <w:p w:rsidR="008E686C" w:rsidP="008907E3">
      <w:pPr>
        <w:autoSpaceDE w:val="0"/>
        <w:autoSpaceDN w:val="0"/>
        <w:adjustRightInd w:val="0"/>
        <w:spacing w:before="120"/>
        <w:ind w:firstLine="720"/>
        <w:rPr>
          <w:color w:val="231F20"/>
          <w:szCs w:val="22"/>
        </w:rPr>
      </w:pPr>
      <w:r>
        <w:rPr>
          <w:szCs w:val="22"/>
        </w:rPr>
        <w:t xml:space="preserve">By this Public Notice, the Wireline Competition Bureau (Bureau) grants </w:t>
      </w:r>
      <w:r w:rsidR="00EE3B1D">
        <w:rPr>
          <w:szCs w:val="22"/>
        </w:rPr>
        <w:t xml:space="preserve">the </w:t>
      </w:r>
      <w:r w:rsidRPr="00445585">
        <w:rPr>
          <w:szCs w:val="22"/>
        </w:rPr>
        <w:t>application</w:t>
      </w:r>
      <w:r>
        <w:rPr>
          <w:rStyle w:val="FootnoteReference"/>
          <w:szCs w:val="22"/>
        </w:rPr>
        <w:footnoteReference w:id="3"/>
      </w:r>
      <w:r w:rsidRPr="00445585">
        <w:rPr>
          <w:szCs w:val="22"/>
        </w:rPr>
        <w:t xml:space="preserve"> filed by</w:t>
      </w:r>
      <w:r>
        <w:rPr>
          <w:szCs w:val="22"/>
        </w:rPr>
        <w:t xml:space="preserve"> the Bonita L. Simon Revocable Trust U/A/D March 4, 2011 and the Simon Family Trust U/A/D March 4, 2011 (together, the Transferor Trusts) and Rural Communications Holding Corporation (RCHC) </w:t>
      </w:r>
      <w:r w:rsidRPr="00445585">
        <w:rPr>
          <w:szCs w:val="22"/>
        </w:rPr>
        <w:t>(collectively,</w:t>
      </w:r>
      <w:r>
        <w:rPr>
          <w:szCs w:val="22"/>
        </w:rPr>
        <w:t xml:space="preserve"> </w:t>
      </w:r>
      <w:r w:rsidRPr="00445585">
        <w:rPr>
          <w:szCs w:val="22"/>
        </w:rPr>
        <w:t>Applicants), pursuant to section 214 of the Communications Act of 1934, as amended, and sections 63.03-04 of the Commission’s rules,</w:t>
      </w:r>
      <w:r>
        <w:rPr>
          <w:szCs w:val="22"/>
          <w:vertAlign w:val="superscript"/>
        </w:rPr>
        <w:footnoteReference w:id="4"/>
      </w:r>
      <w:r w:rsidRPr="00445585">
        <w:rPr>
          <w:szCs w:val="22"/>
        </w:rPr>
        <w:t xml:space="preserve"> requesting consent</w:t>
      </w:r>
      <w:r>
        <w:rPr>
          <w:szCs w:val="22"/>
        </w:rPr>
        <w:t xml:space="preserve"> </w:t>
      </w:r>
      <w:bookmarkStart w:id="2" w:name="_Hlk29388210"/>
      <w:r>
        <w:rPr>
          <w:szCs w:val="22"/>
        </w:rPr>
        <w:t xml:space="preserve">to transfer control of Lonsdale Telephone Co., Inc. (LTCI) from the Transferor Trusts to RCHC. </w:t>
      </w:r>
      <w:bookmarkEnd w:id="2"/>
      <w:r w:rsidRPr="009C43CF">
        <w:rPr>
          <w:color w:val="231F20"/>
          <w:szCs w:val="22"/>
        </w:rPr>
        <w:t xml:space="preserve"> </w:t>
      </w:r>
      <w:r w:rsidR="00BD673E">
        <w:t>No party filed comments in opposition to a grant of the Application</w:t>
      </w:r>
      <w:r w:rsidR="00831768">
        <w:t>.</w:t>
      </w:r>
    </w:p>
    <w:p w:rsidR="00AF2358" w:rsidRPr="00003C9C" w:rsidP="003A1022">
      <w:pPr>
        <w:autoSpaceDE w:val="0"/>
        <w:autoSpaceDN w:val="0"/>
        <w:adjustRightInd w:val="0"/>
        <w:spacing w:before="120"/>
        <w:ind w:firstLine="720"/>
        <w:rPr>
          <w:color w:val="231F20"/>
          <w:szCs w:val="22"/>
        </w:rPr>
      </w:pPr>
      <w:r>
        <w:rPr>
          <w:szCs w:val="22"/>
        </w:rPr>
        <w:t xml:space="preserve"> </w:t>
      </w:r>
      <w:r>
        <w:rPr>
          <w:color w:val="231F20"/>
          <w:szCs w:val="22"/>
        </w:rPr>
        <w:t>LTCI</w:t>
      </w:r>
      <w:r w:rsidR="000C09E0">
        <w:rPr>
          <w:color w:val="231F20"/>
          <w:szCs w:val="22"/>
        </w:rPr>
        <w:t xml:space="preserve"> </w:t>
      </w:r>
      <w:r>
        <w:rPr>
          <w:color w:val="231F20"/>
          <w:szCs w:val="22"/>
        </w:rPr>
        <w:t xml:space="preserve">provides service as an incumbent local exchange carrier (LEC) to 1,748 access lines in a single exchange serving the area in and around the City of Lonsdale in Rice County in rural southeastern Minnesota.  </w:t>
      </w:r>
      <w:r>
        <w:rPr>
          <w:color w:val="020100"/>
          <w:szCs w:val="22"/>
        </w:rPr>
        <w:t>RCHC</w:t>
      </w:r>
      <w:r w:rsidR="000C09E0">
        <w:rPr>
          <w:color w:val="020100"/>
          <w:szCs w:val="22"/>
        </w:rPr>
        <w:t xml:space="preserve"> </w:t>
      </w:r>
      <w:r>
        <w:rPr>
          <w:color w:val="020100"/>
          <w:szCs w:val="22"/>
        </w:rPr>
        <w:t xml:space="preserve">is a holding company that directly or indirectly controls the following eight incumbent LECs that </w:t>
      </w:r>
      <w:r w:rsidR="003D50CE">
        <w:rPr>
          <w:color w:val="020100"/>
          <w:szCs w:val="22"/>
        </w:rPr>
        <w:t xml:space="preserve">also </w:t>
      </w:r>
      <w:r>
        <w:rPr>
          <w:color w:val="020100"/>
          <w:szCs w:val="22"/>
        </w:rPr>
        <w:t>provide local and resold interstate toll services in 23 rural local exchanges in southern Minnesota and nearby portions of Wisconsin and Iowa:  (1) Blue Earth Valley Telephone Company; (2) Easton Telephone Company; (3) Eckles Telephone Company (Eckles Telephone); (4) Cannon Valley Telecom, Inc.; (5) Pine Island Telephone Company; (6) Indianhead Telephone Company; (7) Hager Telecom, Inc.</w:t>
      </w:r>
      <w:r w:rsidR="00BD673E">
        <w:rPr>
          <w:color w:val="020100"/>
          <w:szCs w:val="22"/>
        </w:rPr>
        <w:t>;</w:t>
      </w:r>
      <w:r>
        <w:rPr>
          <w:color w:val="020100"/>
          <w:szCs w:val="22"/>
        </w:rPr>
        <w:t xml:space="preserve"> and (8) Granada Telephone Company.</w:t>
      </w:r>
      <w:r>
        <w:rPr>
          <w:rStyle w:val="FootnoteReference"/>
          <w:color w:val="020100"/>
          <w:szCs w:val="22"/>
        </w:rPr>
        <w:footnoteReference w:id="5"/>
      </w:r>
      <w:r>
        <w:rPr>
          <w:color w:val="020100"/>
          <w:szCs w:val="22"/>
        </w:rPr>
        <w:t xml:space="preserve">  Pursuant to the terms of the proposed </w:t>
      </w:r>
      <w:r>
        <w:rPr>
          <w:color w:val="020100"/>
          <w:szCs w:val="22"/>
        </w:rPr>
        <w:t>transaction, RCHC will purchase all of the outstanding stock of LTCI from the Transferor Trusts, therefore giving RCHC control of LTCI’s network facilities</w:t>
      </w:r>
      <w:r w:rsidR="00BD673E">
        <w:rPr>
          <w:color w:val="020100"/>
          <w:szCs w:val="22"/>
        </w:rPr>
        <w:t xml:space="preserve"> and</w:t>
      </w:r>
      <w:r>
        <w:rPr>
          <w:color w:val="020100"/>
          <w:szCs w:val="22"/>
        </w:rPr>
        <w:t xml:space="preserve"> operations.</w:t>
      </w:r>
      <w:r w:rsidRPr="0067482A" w:rsidR="00B15E46">
        <w:rPr>
          <w:rFonts w:ascii="TimesNewRomanPSMT" w:hAnsi="TimesNewRomanPSMT" w:cs="TimesNewRomanPSMT"/>
          <w:szCs w:val="22"/>
        </w:rPr>
        <w:t xml:space="preserve"> </w:t>
      </w:r>
      <w:r w:rsidR="00B15E46">
        <w:rPr>
          <w:rFonts w:ascii="TimesNewRomanPSMT" w:hAnsi="TimesNewRomanPSMT" w:cs="TimesNewRomanPSMT"/>
          <w:szCs w:val="22"/>
        </w:rPr>
        <w:t xml:space="preserve"> </w:t>
      </w:r>
    </w:p>
    <w:p w:rsidR="00300582" w:rsidRPr="005F2494" w:rsidP="008907E3">
      <w:pPr>
        <w:spacing w:before="120"/>
        <w:ind w:firstLine="720"/>
        <w:rPr>
          <w:color w:val="000000"/>
          <w:szCs w:val="22"/>
        </w:rPr>
      </w:pPr>
      <w:r>
        <w:rPr>
          <w:szCs w:val="22"/>
        </w:rPr>
        <w:t>T</w:t>
      </w:r>
      <w:r w:rsidRPr="006A19BD">
        <w:rPr>
          <w:color w:val="000000"/>
          <w:szCs w:val="22"/>
        </w:rPr>
        <w:t xml:space="preserve">he Bureau finds, upon consideration of the record, that the </w:t>
      </w:r>
      <w:r>
        <w:rPr>
          <w:color w:val="000000"/>
          <w:szCs w:val="22"/>
        </w:rPr>
        <w:t>transaction</w:t>
      </w:r>
      <w:r w:rsidRPr="006A19BD">
        <w:rPr>
          <w:color w:val="000000"/>
          <w:szCs w:val="22"/>
        </w:rPr>
        <w:t xml:space="preserve"> will serve the public interest, convenience, and necessity and, therefore, grants the </w:t>
      </w:r>
      <w:r>
        <w:rPr>
          <w:color w:val="000000"/>
          <w:szCs w:val="22"/>
        </w:rPr>
        <w:t>Application</w:t>
      </w:r>
      <w:r w:rsidRPr="006A19BD">
        <w:rPr>
          <w:color w:val="000000"/>
          <w:szCs w:val="22"/>
        </w:rPr>
        <w:t>.</w:t>
      </w:r>
      <w:r>
        <w:rPr>
          <w:rStyle w:val="FootnoteReference"/>
          <w:color w:val="000000"/>
          <w:szCs w:val="22"/>
        </w:rPr>
        <w:footnoteReference w:id="6"/>
      </w:r>
      <w:r>
        <w:rPr>
          <w:color w:val="000000"/>
          <w:szCs w:val="22"/>
        </w:rPr>
        <w:t xml:space="preserve">  </w:t>
      </w:r>
      <w:r w:rsidRPr="006A19BD">
        <w:rPr>
          <w:color w:val="000000"/>
          <w:szCs w:val="22"/>
        </w:rPr>
        <w:t>Pursuant to section 1.103 of the Commission's rules, </w:t>
      </w:r>
      <w:hyperlink r:id="rId11" w:history="1">
        <w:r w:rsidRPr="006A19BD">
          <w:rPr>
            <w:color w:val="000000"/>
            <w:szCs w:val="22"/>
          </w:rPr>
          <w:t>47 CFR § 1.103</w:t>
        </w:r>
      </w:hyperlink>
      <w:r w:rsidRPr="006A19BD">
        <w:rPr>
          <w:color w:val="000000"/>
          <w:szCs w:val="22"/>
        </w:rPr>
        <w:t>, the consent granted herein is effective upon the release of the Public Notice.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7"/>
      </w:r>
      <w:r w:rsidRPr="006A19BD">
        <w:rPr>
          <w:color w:val="000000"/>
          <w:szCs w:val="22"/>
          <w:vertAlign w:val="superscript"/>
        </w:rPr>
        <w:t xml:space="preserve"> </w:t>
      </w:r>
      <w:r w:rsidRPr="006A19BD">
        <w:rPr>
          <w:color w:val="000000"/>
          <w:szCs w:val="22"/>
        </w:rPr>
        <w:t xml:space="preserve">  </w:t>
      </w:r>
      <w:r w:rsidRPr="005F2494">
        <w:rPr>
          <w:color w:val="000000"/>
          <w:szCs w:val="22"/>
        </w:rPr>
        <w:t xml:space="preserve"> </w:t>
      </w:r>
    </w:p>
    <w:p w:rsidR="00300582" w:rsidP="008907E3">
      <w:pPr>
        <w:spacing w:before="120"/>
        <w:ind w:firstLine="720"/>
        <w:rPr>
          <w:color w:val="000000"/>
          <w:szCs w:val="22"/>
        </w:rPr>
      </w:pPr>
      <w:bookmarkStart w:id="3" w:name="FN[FN12]"/>
      <w:bookmarkStart w:id="4" w:name="sp_999_2"/>
      <w:bookmarkStart w:id="5" w:name="SDU_2"/>
      <w:bookmarkEnd w:id="3"/>
      <w:bookmarkEnd w:id="4"/>
      <w:bookmarkEnd w:id="5"/>
      <w:r w:rsidRPr="001D3B79">
        <w:rPr>
          <w:color w:val="000000"/>
          <w:szCs w:val="22"/>
        </w:rPr>
        <w:t>For further information, please contact</w:t>
      </w:r>
      <w:r>
        <w:rPr>
          <w:color w:val="000000"/>
          <w:szCs w:val="22"/>
        </w:rPr>
        <w:t xml:space="preserve"> </w:t>
      </w:r>
      <w:r w:rsidR="00B4082B">
        <w:rPr>
          <w:color w:val="000000"/>
          <w:szCs w:val="22"/>
        </w:rPr>
        <w:t>Dennis Johnson</w:t>
      </w:r>
      <w:r w:rsidRPr="001D3B79">
        <w:rPr>
          <w:color w:val="000000"/>
          <w:szCs w:val="22"/>
        </w:rPr>
        <w:t>, Wireline C</w:t>
      </w:r>
      <w:r>
        <w:rPr>
          <w:color w:val="000000"/>
          <w:szCs w:val="22"/>
        </w:rPr>
        <w:t>ompetition Bureau, Competition Policy Division, (202) 418-</w:t>
      </w:r>
      <w:r w:rsidR="00B4082B">
        <w:rPr>
          <w:color w:val="000000"/>
          <w:szCs w:val="22"/>
        </w:rPr>
        <w:t>0809</w:t>
      </w:r>
      <w:r w:rsidRPr="001D3B79">
        <w:rPr>
          <w:color w:val="000000"/>
          <w:szCs w:val="22"/>
        </w:rPr>
        <w:t>.</w:t>
      </w:r>
    </w:p>
    <w:p w:rsidR="00300582" w:rsidP="00300582">
      <w:pPr>
        <w:ind w:firstLine="720"/>
        <w:rPr>
          <w:color w:val="000000"/>
          <w:szCs w:val="22"/>
        </w:rPr>
      </w:pPr>
    </w:p>
    <w:p w:rsidR="00300582" w:rsidRPr="00E30687" w:rsidP="00300582">
      <w:pPr>
        <w:ind w:left="3960" w:firstLine="360"/>
        <w:rPr>
          <w:b/>
          <w:color w:val="000000"/>
          <w:szCs w:val="22"/>
        </w:rPr>
      </w:pPr>
      <w:r w:rsidRPr="00E30687">
        <w:rPr>
          <w:b/>
          <w:color w:val="000000"/>
          <w:szCs w:val="22"/>
        </w:rPr>
        <w:t>- FCC -</w:t>
      </w:r>
    </w:p>
    <w:p w:rsidR="00300582" w:rsidP="00300582">
      <w:pPr>
        <w:ind w:firstLine="720"/>
        <w:rPr>
          <w:color w:val="000000"/>
          <w:szCs w:val="22"/>
        </w:rPr>
      </w:pPr>
    </w:p>
    <w:p w:rsidR="00300582" w:rsidRPr="00C50B80" w:rsidP="00300582">
      <w:pPr>
        <w:rPr>
          <w:rFonts w:eastAsia="ヒラギノ角ゴ Pro W3"/>
          <w:color w:val="000000"/>
          <w:szCs w:val="22"/>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ヒラギノ角ゴ Pro W3">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582">
    <w:pPr>
      <w:pStyle w:val="Footer"/>
      <w:jc w:val="center"/>
    </w:pPr>
    <w:r>
      <w:fldChar w:fldCharType="begin"/>
    </w:r>
    <w:r>
      <w:instrText xml:space="preserve"> PAGE   \* MERGEFORMAT </w:instrText>
    </w:r>
    <w:r>
      <w:fldChar w:fldCharType="separate"/>
    </w:r>
    <w:r>
      <w:rPr>
        <w:noProof/>
      </w:rPr>
      <w:t>3</w:t>
    </w:r>
    <w:r>
      <w:rPr>
        <w:noProof/>
      </w:rPr>
      <w:fldChar w:fldCharType="end"/>
    </w:r>
  </w:p>
  <w:p w:rsidR="00300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2A4B">
      <w:r>
        <w:separator/>
      </w:r>
    </w:p>
  </w:footnote>
  <w:footnote w:type="continuationSeparator" w:id="1">
    <w:p w:rsidR="00D32A4B" w:rsidRPr="008B08B3">
      <w:pPr>
        <w:rPr>
          <w:sz w:val="20"/>
        </w:rPr>
      </w:pPr>
      <w:r w:rsidRPr="008B08B3">
        <w:rPr>
          <w:sz w:val="20"/>
        </w:rPr>
        <w:t xml:space="preserve">(Continued from previous page) </w:t>
      </w:r>
      <w:r w:rsidRPr="008B08B3">
        <w:rPr>
          <w:sz w:val="20"/>
        </w:rPr>
        <w:separator/>
      </w:r>
    </w:p>
  </w:footnote>
  <w:footnote w:type="continuationNotice" w:id="2">
    <w:p w:rsidR="00D32A4B" w:rsidRPr="008B08B3" w:rsidP="00300582">
      <w:pPr>
        <w:jc w:val="right"/>
        <w:rPr>
          <w:sz w:val="20"/>
        </w:rPr>
      </w:pPr>
      <w:r>
        <w:rPr>
          <w:sz w:val="20"/>
        </w:rPr>
        <w:t>(continued…)</w:t>
      </w:r>
    </w:p>
  </w:footnote>
  <w:footnote w:id="3">
    <w:p w:rsidR="00EE3B1D" w:rsidRPr="00842042" w:rsidP="00EE3B1D">
      <w:pPr>
        <w:pStyle w:val="FootnoteText"/>
        <w:rPr>
          <w:sz w:val="20"/>
        </w:rPr>
      </w:pPr>
      <w:r w:rsidRPr="00842042">
        <w:rPr>
          <w:rStyle w:val="FootnoteReference"/>
          <w:sz w:val="20"/>
        </w:rPr>
        <w:footnoteRef/>
      </w:r>
      <w:r w:rsidRPr="00842042">
        <w:rPr>
          <w:sz w:val="20"/>
        </w:rPr>
        <w:t xml:space="preserve"> </w:t>
      </w:r>
      <w:r w:rsidR="003A1022">
        <w:rPr>
          <w:sz w:val="20"/>
        </w:rPr>
        <w:t xml:space="preserve">Application of Bonita L. Simon Revocable Trust U/A/D March 4, 2011, Simon Family Trust U/A/D March 4, 2011, and Rural Communications Holding Corporation for the Transfer of Control of Lonsdale Telephone Co. Inc., WC Docket No. 20-24 (filed Jan. 29, 2020) (Application).  </w:t>
      </w:r>
    </w:p>
  </w:footnote>
  <w:footnote w:id="4">
    <w:p w:rsidR="00EE3B1D" w:rsidRPr="00842042" w:rsidP="00EE3B1D">
      <w:pPr>
        <w:pStyle w:val="FootnoteText"/>
        <w:rPr>
          <w:sz w:val="20"/>
        </w:rPr>
      </w:pPr>
      <w:r w:rsidRPr="00842042">
        <w:rPr>
          <w:rStyle w:val="FootnoteReference"/>
          <w:sz w:val="20"/>
        </w:rPr>
        <w:footnoteRef/>
      </w:r>
      <w:r w:rsidRPr="00842042">
        <w:rPr>
          <w:sz w:val="20"/>
        </w:rPr>
        <w:t xml:space="preserve"> 47 U.S.C. § 214; 47 CFR §§ 63.03-04.    </w:t>
      </w:r>
    </w:p>
  </w:footnote>
  <w:footnote w:id="5">
    <w:p w:rsidR="00EE3B1D" w:rsidRPr="00695E65" w:rsidP="00EE3B1D">
      <w:pPr>
        <w:pStyle w:val="FootnoteText"/>
        <w:rPr>
          <w:sz w:val="20"/>
        </w:rPr>
      </w:pPr>
      <w:r w:rsidRPr="00695E65">
        <w:rPr>
          <w:rStyle w:val="FootnoteReference"/>
          <w:sz w:val="20"/>
        </w:rPr>
        <w:footnoteRef/>
      </w:r>
      <w:r w:rsidRPr="00695E65">
        <w:rPr>
          <w:sz w:val="20"/>
        </w:rPr>
        <w:t xml:space="preserve"> </w:t>
      </w:r>
      <w:r w:rsidR="00BD673E">
        <w:rPr>
          <w:sz w:val="20"/>
        </w:rPr>
        <w:t xml:space="preserve">LTCI’s Lonsdale exchange is adjacent to the New Prague, Minnesota exchange served by Eckles Telephone.  </w:t>
      </w:r>
      <w:r w:rsidRPr="00695E65">
        <w:rPr>
          <w:sz w:val="20"/>
        </w:rPr>
        <w:t>RCHC also wholly owns the following two Minnesota corporations</w:t>
      </w:r>
      <w:r w:rsidRPr="00695E65">
        <w:rPr>
          <w:sz w:val="20"/>
        </w:rPr>
        <w:t>:  (</w:t>
      </w:r>
      <w:r w:rsidRPr="00695E65">
        <w:rPr>
          <w:sz w:val="20"/>
        </w:rPr>
        <w:t>1) BEVCOMM, Inc., providing competitive telecommunications and/or cable services in portions of Minnesota; and (2) Cannon Valley Cablevision, Inc., providing cable television services in portions of Minnesota.  RCHC also holds a 10% or greater interest in the following five Minnesota entities:  (1) Tri-Co Technologies, LLC (Tri-Co) (33.33%), serving as an incumbent LEC in the Crosslake exchange in Crow Wing County in rural central Minnesota; (2) West Central Transport Group (10%), providing high-capacity special access circuits in Minnesota, North Dakota, and South Dakota; (3)</w:t>
      </w:r>
      <w:r w:rsidRPr="00695E65">
        <w:rPr>
          <w:color w:val="020100"/>
          <w:sz w:val="20"/>
        </w:rPr>
        <w:t xml:space="preserve"> </w:t>
      </w:r>
      <w:r w:rsidRPr="00695E65">
        <w:rPr>
          <w:sz w:val="20"/>
        </w:rPr>
        <w:t xml:space="preserve">Tri-Central Transport Group (66%), providing telecommunications transport facilities and services in Minnesota and other portions of the upper Midwest; (4) Broadband Visions, LLC (24.3%), providing digital television services to video program distributors in Hutchinson, Minnesota; and (5) Southern Minnesota Broadband, LLC (12.5%), providing telecommunications facilities and services in Minnesota and other portions of the Upper Midwest. </w:t>
      </w:r>
    </w:p>
  </w:footnote>
  <w:footnote w:id="6">
    <w:p w:rsidR="00300582" w:rsidRPr="00767A3A">
      <w:pPr>
        <w:pStyle w:val="FootnoteText"/>
        <w:rPr>
          <w:sz w:val="20"/>
        </w:rPr>
      </w:pPr>
      <w:r w:rsidRPr="00767A3A">
        <w:rPr>
          <w:rStyle w:val="FootnoteReference"/>
          <w:sz w:val="20"/>
        </w:rPr>
        <w:footnoteRef/>
      </w:r>
      <w:r w:rsidRPr="00767A3A">
        <w:rPr>
          <w:sz w:val="20"/>
        </w:rPr>
        <w:t xml:space="preserve"> </w:t>
      </w:r>
      <w:r w:rsidR="00BD673E">
        <w:rPr>
          <w:i/>
          <w:iCs/>
          <w:sz w:val="20"/>
        </w:rPr>
        <w:t xml:space="preserve">See </w:t>
      </w:r>
      <w:r w:rsidRPr="00767A3A" w:rsidR="00767A3A">
        <w:rPr>
          <w:i/>
          <w:iCs/>
          <w:sz w:val="20"/>
        </w:rPr>
        <w:t xml:space="preserve">Joint Applications of Global Crossing Ltd. and Citizens Communications Company for Authority to </w:t>
      </w:r>
      <w:r w:rsidRPr="00767A3A" w:rsidR="00767A3A">
        <w:rPr>
          <w:i/>
          <w:sz w:val="20"/>
        </w:rPr>
        <w:t>Transfer Control of Corporations Holding Commission Licenses and Authorizations Pursuant to Sections 214 and 310(d) of the Communications Act and Parts 20, 22, 63, 78, 90, and 101 of the Commission’s Rules</w:t>
      </w:r>
      <w:r w:rsidRPr="00767A3A" w:rsidR="00767A3A">
        <w:rPr>
          <w:sz w:val="20"/>
        </w:rPr>
        <w:t xml:space="preserve">, </w:t>
      </w:r>
      <w:r w:rsidRPr="00767A3A" w:rsidR="00767A3A">
        <w:rPr>
          <w:color w:val="000000"/>
          <w:sz w:val="20"/>
          <w:shd w:val="clear" w:color="auto" w:fill="FFFFFF"/>
        </w:rPr>
        <w:t xml:space="preserve">File Nos. ITC-T/C-20000828-00530, CCBPol No. 00-1 20001005AD-09 0000209675, et al., </w:t>
      </w:r>
      <w:r w:rsidRPr="00767A3A" w:rsidR="00767A3A">
        <w:rPr>
          <w:sz w:val="20"/>
        </w:rPr>
        <w:t>Memorandum Opinion and Order, 16 FCC Rcd 8507, 8510-11, paras. 7-9 (CCB, IB, CSB, WTB 2001) (granting transfer of control involving incumbent LECs with adjacent exchanges where the merger would provide service efficiencies)</w:t>
      </w:r>
      <w:r w:rsidRPr="00767A3A" w:rsidR="00767A3A">
        <w:rPr>
          <w:color w:val="212121"/>
          <w:sz w:val="20"/>
        </w:rPr>
        <w:t>.</w:t>
      </w:r>
    </w:p>
  </w:footnote>
  <w:footnote w:id="7">
    <w:p w:rsidR="00300582" w:rsidRPr="006A19BD">
      <w:pPr>
        <w:pStyle w:val="FootnoteText"/>
        <w:rPr>
          <w:sz w:val="20"/>
        </w:rPr>
      </w:pPr>
      <w:r>
        <w:rPr>
          <w:rStyle w:val="FootnoteReference"/>
        </w:rPr>
        <w:footnoteRef/>
      </w:r>
      <w:r>
        <w:t xml:space="preserve"> </w:t>
      </w:r>
      <w:r w:rsidRPr="006A19BD">
        <w:rPr>
          <w:sz w:val="20"/>
        </w:rPr>
        <w:t>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582">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fcc_logo" style="width:41.75pt;height:41.75pt;margin-top:8.5pt;margin-left:34.95pt;position:absolute;visibility:visible;z-index:251661312" o:allowincell="f">
          <v:imagedata r:id="rId1" o:title="fcc_logo"/>
          <w10:wrap type="topAndBottom"/>
        </v:shape>
      </w:pict>
    </w:r>
    <w:r w:rsidR="00B15E46">
      <w:rPr>
        <w:rFonts w:ascii="News Gothic MT" w:hAnsi="News Gothic MT"/>
        <w:b/>
        <w:kern w:val="28"/>
        <w:sz w:val="96"/>
      </w:rPr>
      <w:t xml:space="preserve">  PUBLIC NOTICE</w:t>
    </w:r>
  </w:p>
  <w:p w:rsidR="00300582">
    <w:pPr>
      <w:pStyle w:val="Header"/>
      <w:tabs>
        <w:tab w:val="left" w:pos="1080"/>
        <w:tab w:val="clear" w:pos="4320"/>
        <w:tab w:val="clear" w:pos="8640"/>
      </w:tabs>
      <w:spacing w:line="1120" w:lineRule="exact"/>
      <w:ind w:left="720"/>
      <w:rPr>
        <w:rFonts w:ascii="Arial" w:hAnsi="Arial"/>
        <w:b/>
        <w:sz w:val="28"/>
      </w:rPr>
    </w:pPr>
    <w:r>
      <w:rPr>
        <w:noProof/>
      </w:rPr>
      <w:pict>
        <v:line id="Line 4" o:spid="_x0000_s2050" style="position:absolute;visibility:visible;z-index:251659264" from="37.6pt,54.95pt" to="501.1pt,55.15pt" o:allowincell="f"/>
      </w:pict>
    </w:r>
    <w:r>
      <w:rPr>
        <w:noProof/>
      </w:rPr>
      <w:pict>
        <v:shapetype id="_x0000_t202" coordsize="21600,21600" o:spt="202" path="m,l,21600r21600,l21600,xe">
          <v:stroke joinstyle="miter"/>
          <v:path gradientshapeok="t" o:connecttype="rect"/>
        </v:shapetype>
        <v:shape id="Text Box 2" o:spid="_x0000_s2051" type="#_x0000_t202" style="width:244.8pt;height:50.4pt;margin-top:0.4pt;margin-left:30pt;position:absolute;visibility:visible;z-index:251658240" o:allowincell="f" stroked="f">
          <v:textbox>
            <w:txbxContent>
              <w:p w:rsidR="00300582">
                <w:pPr>
                  <w:rPr>
                    <w:rFonts w:ascii="Arial" w:hAnsi="Arial"/>
                    <w:b/>
                  </w:rPr>
                </w:pPr>
                <w:r>
                  <w:rPr>
                    <w:rFonts w:ascii="Arial" w:hAnsi="Arial"/>
                    <w:b/>
                  </w:rPr>
                  <w:t>Federal Communications Commission</w:t>
                </w:r>
              </w:p>
              <w:p w:rsidR="0030058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00582">
                <w:pPr>
                  <w:rPr>
                    <w:rFonts w:ascii="Arial" w:hAnsi="Arial"/>
                    <w:sz w:val="24"/>
                  </w:rPr>
                </w:pPr>
                <w:r>
                  <w:rPr>
                    <w:rFonts w:ascii="Arial" w:hAnsi="Arial"/>
                    <w:b/>
                  </w:rPr>
                  <w:t>Washington, D.C. 20554</w:t>
                </w:r>
              </w:p>
            </w:txbxContent>
          </v:textbox>
        </v:shape>
      </w:pict>
    </w:r>
    <w:r>
      <w:rPr>
        <w:noProof/>
      </w:rPr>
      <w:pict>
        <v:shape id="Text Box 5" o:spid="_x0000_s2052" type="#_x0000_t202" style="width:207.95pt;height:43.2pt;margin-top:10.25pt;margin-left:301.5pt;position:absolute;visibility:visible;z-index:251660288" o:allowincell="f" stroked="f">
          <v:textbox inset=",0,,0">
            <w:txbxContent>
              <w:p w:rsidR="00300582">
                <w:pPr>
                  <w:spacing w:before="40"/>
                  <w:jc w:val="right"/>
                  <w:rPr>
                    <w:rFonts w:ascii="Arial" w:hAnsi="Arial"/>
                    <w:b/>
                    <w:sz w:val="16"/>
                  </w:rPr>
                </w:pPr>
                <w:r>
                  <w:rPr>
                    <w:rFonts w:ascii="Arial" w:hAnsi="Arial"/>
                    <w:b/>
                    <w:sz w:val="16"/>
                  </w:rPr>
                  <w:t>News Media Information 202 / 418-0500</w:t>
                </w:r>
              </w:p>
              <w:p w:rsidR="0030058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00582">
                <w:pPr>
                  <w:jc w:val="right"/>
                  <w:rPr>
                    <w:rFonts w:ascii="Arial" w:hAnsi="Arial"/>
                    <w:b/>
                    <w:sz w:val="16"/>
                  </w:rPr>
                </w:pPr>
                <w:r>
                  <w:rPr>
                    <w:rFonts w:ascii="Arial" w:hAnsi="Arial"/>
                    <w:b/>
                    <w:sz w:val="16"/>
                  </w:rPr>
                  <w:t>TTY: 1-888-835-5322</w:t>
                </w:r>
              </w:p>
              <w:p w:rsidR="00300582">
                <w:pPr>
                  <w:jc w:val="right"/>
                </w:pPr>
              </w:p>
            </w:txbxContent>
          </v:textbox>
        </v:shape>
      </w:pict>
    </w:r>
  </w:p>
  <w:p w:rsidR="00300582">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5331B"/>
    <w:multiLevelType w:val="hybridMultilevel"/>
    <w:tmpl w:val="BE08B4FE"/>
    <w:lvl w:ilvl="0">
      <w:start w:val="1"/>
      <w:numFmt w:val="decimal"/>
      <w:lvlText w:val="%1."/>
      <w:lvlJc w:val="left"/>
      <w:pPr>
        <w:ind w:left="2250" w:hanging="360"/>
      </w:pPr>
    </w:lvl>
    <w:lvl w:ilvl="1" w:tentative="1">
      <w:start w:val="1"/>
      <w:numFmt w:val="lowerLetter"/>
      <w:lvlText w:val="%2."/>
      <w:lvlJc w:val="left"/>
      <w:pPr>
        <w:ind w:left="2970" w:hanging="360"/>
      </w:pPr>
    </w:lvl>
    <w:lvl w:ilvl="2" w:tentative="1">
      <w:start w:val="1"/>
      <w:numFmt w:val="lowerRoman"/>
      <w:lvlText w:val="%3."/>
      <w:lvlJc w:val="right"/>
      <w:pPr>
        <w:ind w:left="3690" w:hanging="180"/>
      </w:pPr>
    </w:lvl>
    <w:lvl w:ilvl="3" w:tentative="1">
      <w:start w:val="1"/>
      <w:numFmt w:val="decimal"/>
      <w:lvlText w:val="%4."/>
      <w:lvlJc w:val="left"/>
      <w:pPr>
        <w:ind w:left="4410" w:hanging="360"/>
      </w:pPr>
    </w:lvl>
    <w:lvl w:ilvl="4" w:tentative="1">
      <w:start w:val="1"/>
      <w:numFmt w:val="lowerLetter"/>
      <w:lvlText w:val="%5."/>
      <w:lvlJc w:val="left"/>
      <w:pPr>
        <w:ind w:left="5130" w:hanging="360"/>
      </w:pPr>
    </w:lvl>
    <w:lvl w:ilvl="5" w:tentative="1">
      <w:start w:val="1"/>
      <w:numFmt w:val="lowerRoman"/>
      <w:lvlText w:val="%6."/>
      <w:lvlJc w:val="right"/>
      <w:pPr>
        <w:ind w:left="5850" w:hanging="180"/>
      </w:pPr>
    </w:lvl>
    <w:lvl w:ilvl="6" w:tentative="1">
      <w:start w:val="1"/>
      <w:numFmt w:val="decimal"/>
      <w:lvlText w:val="%7."/>
      <w:lvlJc w:val="left"/>
      <w:pPr>
        <w:ind w:left="6570" w:hanging="360"/>
      </w:pPr>
    </w:lvl>
    <w:lvl w:ilvl="7" w:tentative="1">
      <w:start w:val="1"/>
      <w:numFmt w:val="lowerLetter"/>
      <w:lvlText w:val="%8."/>
      <w:lvlJc w:val="left"/>
      <w:pPr>
        <w:ind w:left="7290" w:hanging="360"/>
      </w:pPr>
    </w:lvl>
    <w:lvl w:ilvl="8" w:tentative="1">
      <w:start w:val="1"/>
      <w:numFmt w:val="lowerRoman"/>
      <w:lvlText w:val="%9."/>
      <w:lvlJc w:val="right"/>
      <w:pPr>
        <w:ind w:left="8010" w:hanging="180"/>
      </w:pPr>
    </w:lvl>
  </w:abstractNum>
  <w:abstractNum w:abstractNumId="1">
    <w:nsid w:val="096A45F9"/>
    <w:multiLevelType w:val="hybridMultilevel"/>
    <w:tmpl w:val="32B48FFC"/>
    <w:lvl w:ilvl="0">
      <w:start w:val="0"/>
      <w:numFmt w:val="bullet"/>
      <w:lvlText w:val="-"/>
      <w:lvlJc w:val="left"/>
      <w:pPr>
        <w:ind w:left="144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7566593"/>
    <w:multiLevelType w:val="hybridMultilevel"/>
    <w:tmpl w:val="B9BAA3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1D44120"/>
    <w:multiLevelType w:val="hybridMultilevel"/>
    <w:tmpl w:val="BE929A28"/>
    <w:lvl w:ilvl="0">
      <w:start w:val="1"/>
      <w:numFmt w:val="decimal"/>
      <w:lvlText w:val="%1."/>
      <w:lvlJc w:val="left"/>
      <w:pPr>
        <w:ind w:left="1710" w:hanging="360"/>
      </w:pPr>
      <w:rPr>
        <w:rFonts w:hint="default"/>
        <w:b/>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37685427"/>
    <w:multiLevelType w:val="hybridMultilevel"/>
    <w:tmpl w:val="F9CA86B0"/>
    <w:lvl w:ilvl="0">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start w:val="13"/>
      <w:numFmt w:val="decimal"/>
      <w:lvlText w:val="%2."/>
      <w:lvlJc w:val="left"/>
      <w:pPr>
        <w:tabs>
          <w:tab w:val="num" w:pos="720"/>
        </w:tabs>
        <w:ind w:left="720" w:hanging="360"/>
      </w:pPr>
      <w:rPr>
        <w:rFonts w:cs="Times New Roman" w:hint="default"/>
      </w:rPr>
    </w:lvl>
    <w:lvl w:ilvl="2" w:tentative="1">
      <w:start w:val="1"/>
      <w:numFmt w:val="lowerRoman"/>
      <w:lvlText w:val="%3."/>
      <w:lvlJc w:val="right"/>
      <w:pPr>
        <w:tabs>
          <w:tab w:val="num" w:pos="1440"/>
        </w:tabs>
        <w:ind w:left="1440" w:hanging="18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lowerLetter"/>
      <w:lvlText w:val="%5."/>
      <w:lvlJc w:val="left"/>
      <w:pPr>
        <w:tabs>
          <w:tab w:val="num" w:pos="2880"/>
        </w:tabs>
        <w:ind w:left="2880" w:hanging="360"/>
      </w:pPr>
      <w:rPr>
        <w:rFonts w:cs="Times New Roman"/>
      </w:rPr>
    </w:lvl>
    <w:lvl w:ilvl="5" w:tentative="1">
      <w:start w:val="1"/>
      <w:numFmt w:val="lowerRoman"/>
      <w:lvlText w:val="%6."/>
      <w:lvlJc w:val="right"/>
      <w:pPr>
        <w:tabs>
          <w:tab w:val="num" w:pos="3600"/>
        </w:tabs>
        <w:ind w:left="3600" w:hanging="18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lowerLetter"/>
      <w:lvlText w:val="%8."/>
      <w:lvlJc w:val="left"/>
      <w:pPr>
        <w:tabs>
          <w:tab w:val="num" w:pos="5040"/>
        </w:tabs>
        <w:ind w:left="5040" w:hanging="360"/>
      </w:pPr>
      <w:rPr>
        <w:rFonts w:cs="Times New Roman"/>
      </w:rPr>
    </w:lvl>
    <w:lvl w:ilvl="8" w:tentative="1">
      <w:start w:val="1"/>
      <w:numFmt w:val="lowerRoman"/>
      <w:lvlText w:val="%9."/>
      <w:lvlJc w:val="right"/>
      <w:pPr>
        <w:tabs>
          <w:tab w:val="num" w:pos="5760"/>
        </w:tabs>
        <w:ind w:left="5760" w:hanging="180"/>
      </w:pPr>
      <w:rPr>
        <w:rFonts w:cs="Times New Roman"/>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5761DC"/>
    <w:multiLevelType w:val="hybridMultilevel"/>
    <w:tmpl w:val="64D24C8C"/>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460F0118"/>
    <w:multiLevelType w:val="hybridMultilevel"/>
    <w:tmpl w:val="7EB0ADD2"/>
    <w:lvl w:ilvl="0">
      <w:start w:val="1"/>
      <w:numFmt w:val="lowerLetter"/>
      <w:lvlText w:val="%1)"/>
      <w:lvlJc w:val="left"/>
      <w:pPr>
        <w:tabs>
          <w:tab w:val="num" w:pos="1440"/>
        </w:tabs>
        <w:ind w:left="1440" w:hanging="360"/>
      </w:pPr>
      <w:rPr>
        <w:b w:val="0"/>
        <w:i w:val="0"/>
      </w:rPr>
    </w:lvl>
    <w:lvl w:ilvl="1">
      <w:start w:val="1"/>
      <w:numFmt w:val="lowerRoman"/>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6B597F9D"/>
    <w:multiLevelType w:val="hybridMultilevel"/>
    <w:tmpl w:val="EA183FBE"/>
    <w:lvl w:ilvl="0">
      <w:start w:val="1"/>
      <w:numFmt w:val="lowerLetter"/>
      <w:lvlText w:val="(%1)"/>
      <w:lvlJc w:val="left"/>
      <w:pPr>
        <w:ind w:left="1980" w:hanging="360"/>
      </w:pPr>
      <w:rPr>
        <w:rFonts w:hint="default"/>
        <w:i w:val="0"/>
      </w:rPr>
    </w:lvl>
    <w:lvl w:ilvl="1" w:tentative="1">
      <w:start w:val="1"/>
      <w:numFmt w:val="lowerLetter"/>
      <w:lvlText w:val="%2."/>
      <w:lvlJc w:val="left"/>
      <w:pPr>
        <w:ind w:left="2700" w:hanging="360"/>
      </w:pPr>
    </w:lvl>
    <w:lvl w:ilvl="2" w:tentative="1">
      <w:start w:val="1"/>
      <w:numFmt w:val="lowerRoman"/>
      <w:lvlText w:val="%3."/>
      <w:lvlJc w:val="right"/>
      <w:pPr>
        <w:ind w:left="3420" w:hanging="180"/>
      </w:pPr>
    </w:lvl>
    <w:lvl w:ilvl="3" w:tentative="1">
      <w:start w:val="1"/>
      <w:numFmt w:val="decimal"/>
      <w:lvlText w:val="%4."/>
      <w:lvlJc w:val="left"/>
      <w:pPr>
        <w:ind w:left="4140" w:hanging="360"/>
      </w:pPr>
    </w:lvl>
    <w:lvl w:ilvl="4" w:tentative="1">
      <w:start w:val="1"/>
      <w:numFmt w:val="lowerLetter"/>
      <w:lvlText w:val="%5."/>
      <w:lvlJc w:val="left"/>
      <w:pPr>
        <w:ind w:left="4860" w:hanging="360"/>
      </w:p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abstractNum w:abstractNumId="14">
    <w:nsid w:val="79370CEA"/>
    <w:multiLevelType w:val="hybridMultilevel"/>
    <w:tmpl w:val="5338FD5A"/>
    <w:lvl w:ilvl="0">
      <w:start w:val="1"/>
      <w:numFmt w:val="lowerRoman"/>
      <w:lvlText w:val="%1."/>
      <w:lvlJc w:val="righ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5">
    <w:nsid w:val="7D8120BC"/>
    <w:multiLevelType w:val="hybridMultilevel"/>
    <w:tmpl w:val="90D00BFA"/>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low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4"/>
  </w:num>
  <w:num w:numId="15">
    <w:abstractNumId w:val="5"/>
  </w:num>
  <w:num w:numId="16">
    <w:abstractNumId w:val="15"/>
  </w:num>
  <w:num w:numId="17">
    <w:abstractNumId w:val="13"/>
  </w:num>
  <w:num w:numId="18">
    <w:abstractNumId w:val="14"/>
  </w:num>
  <w:num w:numId="19">
    <w:abstractNumId w:val="0"/>
  </w:num>
  <w:num w:numId="20">
    <w:abstractNumId w:val="7"/>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80"/>
    <w:rsid w:val="00003C9C"/>
    <w:rsid w:val="00005506"/>
    <w:rsid w:val="00026431"/>
    <w:rsid w:val="00047D43"/>
    <w:rsid w:val="000C09E0"/>
    <w:rsid w:val="000C5183"/>
    <w:rsid w:val="000D2725"/>
    <w:rsid w:val="000D720A"/>
    <w:rsid w:val="001208FE"/>
    <w:rsid w:val="00195C12"/>
    <w:rsid w:val="001D3B79"/>
    <w:rsid w:val="001E2F0D"/>
    <w:rsid w:val="00217EEF"/>
    <w:rsid w:val="00221558"/>
    <w:rsid w:val="00300582"/>
    <w:rsid w:val="00375887"/>
    <w:rsid w:val="0038750F"/>
    <w:rsid w:val="003A1022"/>
    <w:rsid w:val="003D50CE"/>
    <w:rsid w:val="00445585"/>
    <w:rsid w:val="00447486"/>
    <w:rsid w:val="004900F8"/>
    <w:rsid w:val="004E4DA2"/>
    <w:rsid w:val="005179D5"/>
    <w:rsid w:val="005323AB"/>
    <w:rsid w:val="00547514"/>
    <w:rsid w:val="005739A3"/>
    <w:rsid w:val="00576A91"/>
    <w:rsid w:val="00594C3F"/>
    <w:rsid w:val="005F2494"/>
    <w:rsid w:val="0062032E"/>
    <w:rsid w:val="00636692"/>
    <w:rsid w:val="00637B6F"/>
    <w:rsid w:val="00644027"/>
    <w:rsid w:val="00656CB4"/>
    <w:rsid w:val="0067482A"/>
    <w:rsid w:val="00695E65"/>
    <w:rsid w:val="006A19BD"/>
    <w:rsid w:val="006E3F78"/>
    <w:rsid w:val="00767A3A"/>
    <w:rsid w:val="00792582"/>
    <w:rsid w:val="007D452E"/>
    <w:rsid w:val="00831768"/>
    <w:rsid w:val="00842042"/>
    <w:rsid w:val="008907E3"/>
    <w:rsid w:val="008C1006"/>
    <w:rsid w:val="008C36D9"/>
    <w:rsid w:val="008E686C"/>
    <w:rsid w:val="00921A4A"/>
    <w:rsid w:val="009367B8"/>
    <w:rsid w:val="00950931"/>
    <w:rsid w:val="009C43CF"/>
    <w:rsid w:val="00AA5372"/>
    <w:rsid w:val="00AB76C4"/>
    <w:rsid w:val="00AD1398"/>
    <w:rsid w:val="00AD7F41"/>
    <w:rsid w:val="00AF2358"/>
    <w:rsid w:val="00B03749"/>
    <w:rsid w:val="00B15E46"/>
    <w:rsid w:val="00B4082B"/>
    <w:rsid w:val="00B74665"/>
    <w:rsid w:val="00B8199E"/>
    <w:rsid w:val="00BD673E"/>
    <w:rsid w:val="00C00ABB"/>
    <w:rsid w:val="00C50B80"/>
    <w:rsid w:val="00C70D87"/>
    <w:rsid w:val="00C86003"/>
    <w:rsid w:val="00CF0AFC"/>
    <w:rsid w:val="00D07CD5"/>
    <w:rsid w:val="00D109A4"/>
    <w:rsid w:val="00D20009"/>
    <w:rsid w:val="00D32A4B"/>
    <w:rsid w:val="00D55C7B"/>
    <w:rsid w:val="00DA049A"/>
    <w:rsid w:val="00DD08C4"/>
    <w:rsid w:val="00E30687"/>
    <w:rsid w:val="00EE3B1D"/>
    <w:rsid w:val="00EF4E42"/>
    <w:rsid w:val="00F16F39"/>
    <w:rsid w:val="00F673BF"/>
    <w:rsid w:val="00F76042"/>
    <w:rsid w:val="00F80DBA"/>
    <w:rsid w:val="00F80F29"/>
    <w:rsid w:val="00F82C47"/>
    <w:rsid w:val="00F83A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C50B80"/>
    <w:rPr>
      <w:sz w:val="22"/>
    </w:rPr>
  </w:style>
  <w:style w:type="character" w:customStyle="1" w:styleId="FootnoteCharacters">
    <w:name w:val="Footnote Characters"/>
    <w:rsid w:val="00C50B80"/>
    <w:rPr>
      <w:vertAlign w:val="superscript"/>
    </w:rPr>
  </w:style>
  <w:style w:type="character" w:customStyle="1" w:styleId="FooterChar">
    <w:name w:val="Footer Char"/>
    <w:link w:val="Footer"/>
    <w:uiPriority w:val="99"/>
    <w:rsid w:val="00C50B80"/>
    <w:rPr>
      <w:sz w:val="22"/>
    </w:rPr>
  </w:style>
  <w:style w:type="paragraph" w:styleId="ListParagraph">
    <w:name w:val="List Paragraph"/>
    <w:basedOn w:val="Normal"/>
    <w:uiPriority w:val="34"/>
    <w:qFormat/>
    <w:rsid w:val="00E30687"/>
    <w:pPr>
      <w:ind w:left="720"/>
      <w:contextualSpacing/>
    </w:pPr>
  </w:style>
  <w:style w:type="paragraph" w:styleId="BalloonText">
    <w:name w:val="Balloon Text"/>
    <w:basedOn w:val="Normal"/>
    <w:link w:val="BalloonTextChar"/>
    <w:uiPriority w:val="99"/>
    <w:semiHidden/>
    <w:unhideWhenUsed/>
    <w:rsid w:val="00C26DCE"/>
    <w:rPr>
      <w:rFonts w:ascii="Segoe UI" w:hAnsi="Segoe UI" w:cs="Segoe UI"/>
      <w:sz w:val="18"/>
      <w:szCs w:val="18"/>
    </w:rPr>
  </w:style>
  <w:style w:type="character" w:customStyle="1" w:styleId="BalloonTextChar">
    <w:name w:val="Balloon Text Char"/>
    <w:link w:val="BalloonText"/>
    <w:uiPriority w:val="99"/>
    <w:semiHidden/>
    <w:rsid w:val="00C26DCE"/>
    <w:rPr>
      <w:rFonts w:ascii="Segoe UI" w:hAnsi="Segoe UI" w:cs="Segoe UI"/>
      <w:sz w:val="18"/>
      <w:szCs w:val="18"/>
    </w:rPr>
  </w:style>
  <w:style w:type="character" w:styleId="CommentReference">
    <w:name w:val="annotation reference"/>
    <w:uiPriority w:val="99"/>
    <w:semiHidden/>
    <w:unhideWhenUsed/>
    <w:rsid w:val="0012508C"/>
    <w:rPr>
      <w:sz w:val="16"/>
      <w:szCs w:val="16"/>
    </w:rPr>
  </w:style>
  <w:style w:type="paragraph" w:styleId="CommentText">
    <w:name w:val="annotation text"/>
    <w:basedOn w:val="Normal"/>
    <w:link w:val="CommentTextChar"/>
    <w:uiPriority w:val="99"/>
    <w:semiHidden/>
    <w:unhideWhenUsed/>
    <w:rsid w:val="0012508C"/>
    <w:rPr>
      <w:sz w:val="20"/>
    </w:rPr>
  </w:style>
  <w:style w:type="character" w:customStyle="1" w:styleId="CommentTextChar">
    <w:name w:val="Comment Text Char"/>
    <w:basedOn w:val="DefaultParagraphFont"/>
    <w:link w:val="CommentText"/>
    <w:uiPriority w:val="99"/>
    <w:semiHidden/>
    <w:rsid w:val="0012508C"/>
  </w:style>
  <w:style w:type="paragraph" w:styleId="CommentSubject">
    <w:name w:val="annotation subject"/>
    <w:basedOn w:val="CommentText"/>
    <w:next w:val="CommentText"/>
    <w:link w:val="CommentSubjectChar"/>
    <w:uiPriority w:val="99"/>
    <w:semiHidden/>
    <w:unhideWhenUsed/>
    <w:rsid w:val="0012508C"/>
    <w:rPr>
      <w:b/>
      <w:bCs/>
    </w:rPr>
  </w:style>
  <w:style w:type="character" w:customStyle="1" w:styleId="CommentSubjectChar">
    <w:name w:val="Comment Subject Char"/>
    <w:link w:val="CommentSubject"/>
    <w:uiPriority w:val="99"/>
    <w:semiHidden/>
    <w:rsid w:val="0012508C"/>
    <w:rPr>
      <w:b/>
      <w:bCs/>
    </w:rPr>
  </w:style>
  <w:style w:type="character" w:customStyle="1" w:styleId="copinpointicon">
    <w:name w:val="co_pinpointicon"/>
    <w:rsid w:val="00F16F39"/>
  </w:style>
  <w:style w:type="character" w:customStyle="1" w:styleId="cosearchterm">
    <w:name w:val="co_searchterm"/>
    <w:rsid w:val="00F16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s://1.next.westlaw.com/Link/Document/FullText?findType=L&amp;pubNum=1000547&amp;cite=47CFRS1.103&amp;originatingDoc=I2a5de1caa71b11e69822eed485bc7ca1&amp;refType=LQ&amp;originationContext=document&amp;transitionType=DocumentItem&amp;contextData=(sc.Search)"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