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171FC" w:rsidRPr="002171FC" w:rsidP="002171FC" w14:paraId="1ACD7930" w14:textId="2DD38236">
      <w:pPr>
        <w:widowControl/>
        <w:spacing w:before="120"/>
        <w:ind w:firstLine="720"/>
        <w:jc w:val="right"/>
        <w:rPr>
          <w:rFonts w:eastAsia="Batang"/>
          <w:snapToGrid/>
          <w:kern w:val="0"/>
          <w:szCs w:val="22"/>
        </w:rPr>
      </w:pPr>
      <w:r>
        <w:rPr>
          <w:rFonts w:eastAsia="Batang"/>
          <w:b/>
          <w:snapToGrid/>
          <w:kern w:val="0"/>
          <w:szCs w:val="22"/>
        </w:rPr>
        <w:t>D</w:t>
      </w:r>
      <w:r w:rsidRPr="002171FC">
        <w:rPr>
          <w:rFonts w:eastAsia="Batang"/>
          <w:b/>
          <w:snapToGrid/>
          <w:kern w:val="0"/>
          <w:szCs w:val="22"/>
        </w:rPr>
        <w:t>A 20-</w:t>
      </w:r>
      <w:r w:rsidR="00380D4B">
        <w:rPr>
          <w:rFonts w:eastAsia="Batang"/>
          <w:b/>
          <w:snapToGrid/>
          <w:kern w:val="0"/>
          <w:szCs w:val="22"/>
        </w:rPr>
        <w:t>302</w:t>
      </w:r>
    </w:p>
    <w:p w:rsidR="002171FC" w:rsidRPr="002171FC" w:rsidP="002171FC" w14:paraId="57AEE933" w14:textId="11CEE9B4">
      <w:pPr>
        <w:widowControl/>
        <w:spacing w:before="120"/>
        <w:jc w:val="right"/>
        <w:rPr>
          <w:rFonts w:eastAsia="Batang"/>
          <w:b/>
          <w:bCs/>
          <w:snapToGrid/>
          <w:kern w:val="0"/>
          <w:szCs w:val="22"/>
        </w:rPr>
      </w:pPr>
      <w:r w:rsidRPr="002171FC">
        <w:rPr>
          <w:rFonts w:eastAsia="Batang"/>
          <w:b/>
          <w:bCs/>
          <w:snapToGrid/>
          <w:kern w:val="0"/>
          <w:szCs w:val="22"/>
        </w:rPr>
        <w:t xml:space="preserve">Released:  </w:t>
      </w:r>
      <w:r w:rsidR="002F262E">
        <w:rPr>
          <w:rFonts w:eastAsia="Batang"/>
          <w:b/>
          <w:bCs/>
          <w:snapToGrid/>
          <w:kern w:val="0"/>
          <w:szCs w:val="22"/>
        </w:rPr>
        <w:t>March 19</w:t>
      </w:r>
      <w:r w:rsidRPr="002171FC">
        <w:rPr>
          <w:rFonts w:eastAsia="Batang"/>
          <w:b/>
          <w:bCs/>
          <w:snapToGrid/>
          <w:kern w:val="0"/>
          <w:szCs w:val="22"/>
        </w:rPr>
        <w:t xml:space="preserve">, 2020 </w:t>
      </w:r>
    </w:p>
    <w:p w:rsidR="002171FC" w:rsidRPr="002171FC" w:rsidP="002171FC" w14:paraId="6C351D4B" w14:textId="77777777">
      <w:pPr>
        <w:widowControl/>
        <w:jc w:val="center"/>
        <w:rPr>
          <w:rFonts w:eastAsia="Batang"/>
          <w:b/>
          <w:i/>
          <w:snapToGrid/>
          <w:kern w:val="0"/>
          <w:szCs w:val="22"/>
        </w:rPr>
      </w:pPr>
    </w:p>
    <w:p w:rsidR="002171FC" w:rsidRPr="002171FC" w:rsidP="002171FC" w14:paraId="4CB1C94C" w14:textId="77777777">
      <w:pPr>
        <w:widowControl/>
        <w:tabs>
          <w:tab w:val="center" w:pos="4680"/>
          <w:tab w:val="left" w:pos="7800"/>
        </w:tabs>
        <w:spacing w:after="200"/>
        <w:jc w:val="center"/>
        <w:rPr>
          <w:rFonts w:eastAsia="Batang"/>
          <w:b/>
          <w:snapToGrid/>
          <w:kern w:val="0"/>
          <w:szCs w:val="22"/>
        </w:rPr>
      </w:pPr>
      <w:r w:rsidRPr="002171FC">
        <w:rPr>
          <w:rFonts w:eastAsia="Batang"/>
          <w:b/>
          <w:snapToGrid/>
          <w:kern w:val="0"/>
          <w:szCs w:val="22"/>
        </w:rPr>
        <w:t>STATES THAT HAVE CERTIFIED THAT THEY REGULATE POLE ATTACHMENTS</w:t>
      </w:r>
    </w:p>
    <w:p w:rsidR="002171FC" w:rsidRPr="002171FC" w:rsidP="002171FC" w14:paraId="5B84369C" w14:textId="77777777">
      <w:pPr>
        <w:widowControl/>
        <w:tabs>
          <w:tab w:val="left" w:pos="-720"/>
        </w:tabs>
        <w:suppressAutoHyphens/>
        <w:jc w:val="center"/>
        <w:rPr>
          <w:rFonts w:eastAsia="Batang"/>
          <w:b/>
          <w:snapToGrid/>
          <w:kern w:val="0"/>
          <w:szCs w:val="22"/>
        </w:rPr>
      </w:pPr>
      <w:r w:rsidRPr="002171FC">
        <w:rPr>
          <w:rFonts w:eastAsia="Batang"/>
          <w:b/>
          <w:snapToGrid/>
          <w:kern w:val="0"/>
          <w:szCs w:val="22"/>
        </w:rPr>
        <w:t>WC Docket No. 10-101</w:t>
      </w:r>
    </w:p>
    <w:p w:rsidR="002171FC" w:rsidRPr="002171FC" w:rsidP="002171FC" w14:paraId="7A2FDBE1" w14:textId="77777777">
      <w:pPr>
        <w:widowControl/>
        <w:tabs>
          <w:tab w:val="left" w:pos="-720"/>
        </w:tabs>
        <w:suppressAutoHyphens/>
        <w:jc w:val="center"/>
        <w:rPr>
          <w:rFonts w:eastAsia="Batang"/>
          <w:b/>
          <w:snapToGrid/>
          <w:kern w:val="0"/>
          <w:szCs w:val="22"/>
        </w:rPr>
      </w:pPr>
    </w:p>
    <w:p w:rsidR="002171FC" w:rsidRPr="002171FC" w:rsidP="00C93378" w14:paraId="19134572" w14:textId="56E4A4A4">
      <w:pPr>
        <w:widowControl/>
        <w:spacing w:after="120"/>
        <w:ind w:firstLine="720"/>
        <w:rPr>
          <w:rFonts w:eastAsia="Batang"/>
          <w:snapToGrid/>
          <w:spacing w:val="-2"/>
          <w:kern w:val="0"/>
          <w:szCs w:val="22"/>
        </w:rPr>
      </w:pPr>
      <w:r w:rsidRPr="002171FC">
        <w:rPr>
          <w:rFonts w:eastAsia="Batang"/>
          <w:snapToGrid/>
          <w:spacing w:val="-2"/>
          <w:kern w:val="0"/>
          <w:szCs w:val="22"/>
        </w:rPr>
        <w:t xml:space="preserve">The </w:t>
      </w:r>
      <w:r w:rsidR="002F262E">
        <w:rPr>
          <w:rFonts w:eastAsia="Batang"/>
          <w:snapToGrid/>
          <w:spacing w:val="-2"/>
          <w:kern w:val="0"/>
          <w:szCs w:val="22"/>
        </w:rPr>
        <w:t>Commonwealth of Pennsylvania</w:t>
      </w:r>
      <w:r w:rsidRPr="002171FC">
        <w:rPr>
          <w:rFonts w:eastAsia="Batang"/>
          <w:snapToGrid/>
          <w:spacing w:val="-2"/>
          <w:kern w:val="0"/>
          <w:szCs w:val="22"/>
        </w:rPr>
        <w:t xml:space="preserve"> certifies that it has issued and made effective rules and regulations implementing its regulatory authority over pole attachments in the state, including a specific methodology for such regulation that has been made publicly available in the state.</w:t>
      </w:r>
      <w:r>
        <w:rPr>
          <w:rFonts w:eastAsia="Batang"/>
          <w:snapToGrid/>
          <w:spacing w:val="-2"/>
          <w:kern w:val="0"/>
          <w:szCs w:val="22"/>
          <w:vertAlign w:val="superscript"/>
        </w:rPr>
        <w:footnoteReference w:id="3"/>
      </w:r>
      <w:r w:rsidRPr="002171FC">
        <w:rPr>
          <w:rFonts w:eastAsia="Batang"/>
          <w:snapToGrid/>
          <w:spacing w:val="-2"/>
          <w:kern w:val="0"/>
          <w:szCs w:val="22"/>
        </w:rPr>
        <w:t xml:space="preserve">  Pursuant to </w:t>
      </w:r>
      <w:r w:rsidR="00073158">
        <w:rPr>
          <w:rFonts w:eastAsia="Batang"/>
          <w:snapToGrid/>
          <w:spacing w:val="-2"/>
          <w:kern w:val="0"/>
          <w:szCs w:val="22"/>
        </w:rPr>
        <w:t>s</w:t>
      </w:r>
      <w:r w:rsidRPr="002171FC">
        <w:rPr>
          <w:rFonts w:eastAsia="Batang"/>
          <w:snapToGrid/>
          <w:spacing w:val="-2"/>
          <w:kern w:val="0"/>
          <w:szCs w:val="22"/>
        </w:rPr>
        <w:t xml:space="preserve">ection 1.1405(c) of the Commission’s rules, the Commission gives public notice of the receipt of </w:t>
      </w:r>
      <w:r w:rsidR="002F262E">
        <w:rPr>
          <w:rFonts w:eastAsia="Batang"/>
          <w:snapToGrid/>
          <w:spacing w:val="-2"/>
          <w:kern w:val="0"/>
          <w:szCs w:val="22"/>
        </w:rPr>
        <w:t>Pennsylvania</w:t>
      </w:r>
      <w:r w:rsidRPr="002171FC">
        <w:rPr>
          <w:rFonts w:eastAsia="Batang"/>
          <w:snapToGrid/>
          <w:spacing w:val="-2"/>
          <w:kern w:val="0"/>
          <w:szCs w:val="22"/>
        </w:rPr>
        <w:t>’s certification.</w:t>
      </w:r>
      <w:r>
        <w:rPr>
          <w:rFonts w:eastAsia="Batang"/>
          <w:snapToGrid/>
          <w:spacing w:val="-2"/>
          <w:kern w:val="0"/>
          <w:szCs w:val="22"/>
          <w:vertAlign w:val="superscript"/>
        </w:rPr>
        <w:footnoteReference w:id="4"/>
      </w:r>
      <w:r w:rsidRPr="002171FC">
        <w:rPr>
          <w:rFonts w:eastAsia="Batang"/>
          <w:snapToGrid/>
          <w:spacing w:val="-2"/>
          <w:kern w:val="0"/>
          <w:szCs w:val="22"/>
        </w:rPr>
        <w:t xml:space="preserve">  Certification by a state preempts the Commission from accepting pole attachment complaints under Subpart J of Part 1 of the Commission’s rules.</w:t>
      </w:r>
      <w:r>
        <w:rPr>
          <w:rFonts w:eastAsia="Batang"/>
          <w:snapToGrid/>
          <w:spacing w:val="-2"/>
          <w:kern w:val="0"/>
          <w:szCs w:val="22"/>
          <w:vertAlign w:val="superscript"/>
        </w:rPr>
        <w:footnoteReference w:id="5"/>
      </w:r>
      <w:r w:rsidRPr="002171FC">
        <w:rPr>
          <w:rFonts w:eastAsia="Batang"/>
          <w:snapToGrid/>
          <w:spacing w:val="-2"/>
          <w:kern w:val="0"/>
          <w:szCs w:val="22"/>
        </w:rPr>
        <w:t xml:space="preserve">  </w:t>
      </w:r>
    </w:p>
    <w:p w:rsidR="002171FC" w:rsidRPr="002171FC" w:rsidP="00C93378" w14:paraId="135BDFE3" w14:textId="77777777">
      <w:pPr>
        <w:widowControl/>
        <w:spacing w:after="120"/>
        <w:ind w:firstLine="720"/>
        <w:rPr>
          <w:rFonts w:eastAsia="Batang"/>
          <w:snapToGrid/>
          <w:spacing w:val="-2"/>
          <w:kern w:val="0"/>
          <w:szCs w:val="22"/>
        </w:rPr>
      </w:pPr>
      <w:r w:rsidRPr="002171FC">
        <w:rPr>
          <w:rFonts w:eastAsia="Batang"/>
          <w:snapToGrid/>
          <w:spacing w:val="-2"/>
          <w:kern w:val="0"/>
          <w:szCs w:val="22"/>
        </w:rPr>
        <w:t>Also pursuant to section 1.1405(c), the Commission compiles and publishes from time to time a listing of states which have provided</w:t>
      </w:r>
      <w:bookmarkStart w:id="0" w:name="_GoBack"/>
      <w:bookmarkEnd w:id="0"/>
      <w:r w:rsidRPr="002171FC">
        <w:rPr>
          <w:rFonts w:eastAsia="Batang"/>
          <w:snapToGrid/>
          <w:spacing w:val="-2"/>
          <w:kern w:val="0"/>
          <w:szCs w:val="22"/>
        </w:rPr>
        <w:t xml:space="preserve"> certification.</w:t>
      </w:r>
      <w:r>
        <w:rPr>
          <w:rFonts w:eastAsia="Batang"/>
          <w:snapToGrid/>
          <w:spacing w:val="-2"/>
          <w:kern w:val="0"/>
          <w:szCs w:val="22"/>
          <w:vertAlign w:val="superscript"/>
        </w:rPr>
        <w:footnoteReference w:id="6"/>
      </w:r>
      <w:r w:rsidRPr="002171FC">
        <w:rPr>
          <w:rFonts w:eastAsia="Batang"/>
          <w:snapToGrid/>
          <w:spacing w:val="-2"/>
          <w:kern w:val="0"/>
          <w:szCs w:val="22"/>
        </w:rPr>
        <w:t xml:space="preserve">  The following states have certified that they regulate the rates, terms, and conditions for pole attachments in their state, and, in so regulating, have the authority to consider and do consider the interests of consumers of the services offered via the attachments, as well as the interests of the consumers of the utility services.  Moreover, these states have certified that they have issued and made effective rules and regulations implementing their regulatory authority over pole attachments, including a specific methodology for such regulation which has been made publicly available in the state.   </w:t>
      </w:r>
    </w:p>
    <w:p w:rsidR="002171FC" w:rsidRPr="002171FC" w:rsidP="002171FC" w14:paraId="46A8C727"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Alaska</w:t>
      </w:r>
    </w:p>
    <w:p w:rsidR="002171FC" w:rsidRPr="002171FC" w:rsidP="002171FC" w14:paraId="53ED0C24"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Arkansas</w:t>
      </w:r>
    </w:p>
    <w:p w:rsidR="002171FC" w:rsidRPr="002171FC" w:rsidP="002171FC" w14:paraId="47F7AD46"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California</w:t>
      </w:r>
    </w:p>
    <w:p w:rsidR="002171FC" w:rsidRPr="002171FC" w:rsidP="002171FC" w14:paraId="03BF3B5D"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Connecticut</w:t>
      </w:r>
    </w:p>
    <w:p w:rsidR="002171FC" w:rsidRPr="002171FC" w:rsidP="002171FC" w14:paraId="5A550599"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Delaware</w:t>
      </w:r>
    </w:p>
    <w:p w:rsidR="002171FC" w:rsidRPr="002171FC" w:rsidP="002171FC" w14:paraId="0AC49BDF"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District of Columbia</w:t>
      </w:r>
    </w:p>
    <w:p w:rsidR="002171FC" w:rsidRPr="002171FC" w:rsidP="002171FC" w14:paraId="339C72F5"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Idaho</w:t>
      </w:r>
    </w:p>
    <w:p w:rsidR="002171FC" w:rsidRPr="002171FC" w:rsidP="002171FC" w14:paraId="13F2FCA5"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Illinois</w:t>
      </w:r>
    </w:p>
    <w:p w:rsidR="002171FC" w:rsidRPr="002171FC" w:rsidP="002171FC" w14:paraId="6BD2FF09"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Kentucky</w:t>
      </w:r>
    </w:p>
    <w:p w:rsidR="002171FC" w:rsidRPr="002171FC" w:rsidP="002171FC" w14:paraId="188EE5D9"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Louisiana</w:t>
      </w:r>
    </w:p>
    <w:p w:rsidR="002171FC" w:rsidRPr="002171FC" w:rsidP="002171FC" w14:paraId="3D1466C3"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Maine</w:t>
      </w:r>
    </w:p>
    <w:p w:rsidR="002171FC" w:rsidRPr="002171FC" w:rsidP="002171FC" w14:paraId="52B711C4"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Massachusetts</w:t>
      </w:r>
      <w:r w:rsidRPr="002171FC">
        <w:rPr>
          <w:rFonts w:eastAsia="Batang"/>
          <w:snapToGrid/>
          <w:spacing w:val="-2"/>
          <w:kern w:val="0"/>
          <w:szCs w:val="22"/>
        </w:rPr>
        <w:tab/>
      </w:r>
    </w:p>
    <w:p w:rsidR="002171FC" w:rsidRPr="002171FC" w:rsidP="002171FC" w14:paraId="54317E9E"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Michigan</w:t>
      </w:r>
    </w:p>
    <w:p w:rsidR="002171FC" w:rsidRPr="002171FC" w:rsidP="002171FC" w14:paraId="09D35B41"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New Hampshire</w:t>
      </w:r>
    </w:p>
    <w:p w:rsidR="002171FC" w:rsidRPr="002171FC" w:rsidP="002171FC" w14:paraId="0C6076A7"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New Jersey</w:t>
      </w:r>
    </w:p>
    <w:p w:rsidR="002171FC" w:rsidRPr="002171FC" w:rsidP="002171FC" w14:paraId="6BB49452"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New York</w:t>
      </w:r>
    </w:p>
    <w:p w:rsidR="002171FC" w:rsidRPr="002171FC" w:rsidP="002171FC" w14:paraId="09AAFBB6"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Ohio</w:t>
      </w:r>
    </w:p>
    <w:p w:rsidR="002171FC" w:rsidRPr="002171FC" w:rsidP="002171FC" w14:paraId="7F873A92"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Oregon</w:t>
      </w:r>
    </w:p>
    <w:p w:rsidR="002F262E" w:rsidP="002171FC" w14:paraId="6CD1C59F" w14:textId="3B4E27A5">
      <w:pPr>
        <w:widowControl/>
        <w:spacing w:after="100" w:afterAutospacing="1"/>
        <w:ind w:firstLine="720"/>
        <w:rPr>
          <w:rFonts w:eastAsia="Batang"/>
          <w:snapToGrid/>
          <w:spacing w:val="-2"/>
          <w:kern w:val="0"/>
          <w:szCs w:val="22"/>
        </w:rPr>
      </w:pPr>
      <w:r>
        <w:rPr>
          <w:rFonts w:eastAsia="Batang"/>
          <w:snapToGrid/>
          <w:spacing w:val="-2"/>
          <w:kern w:val="0"/>
          <w:szCs w:val="22"/>
        </w:rPr>
        <w:t>Pennsylvania</w:t>
      </w:r>
    </w:p>
    <w:p w:rsidR="002171FC" w:rsidRPr="002171FC" w:rsidP="002171FC" w14:paraId="01DF01DB" w14:textId="1C8D1E58">
      <w:pPr>
        <w:widowControl/>
        <w:spacing w:after="100" w:afterAutospacing="1"/>
        <w:ind w:firstLine="720"/>
        <w:rPr>
          <w:rFonts w:eastAsia="Batang"/>
          <w:snapToGrid/>
          <w:spacing w:val="-2"/>
          <w:kern w:val="0"/>
          <w:szCs w:val="22"/>
        </w:rPr>
      </w:pPr>
      <w:r w:rsidRPr="002171FC">
        <w:rPr>
          <w:rFonts w:eastAsia="Batang"/>
          <w:snapToGrid/>
          <w:spacing w:val="-2"/>
          <w:kern w:val="0"/>
          <w:szCs w:val="22"/>
        </w:rPr>
        <w:t>Utah</w:t>
      </w:r>
    </w:p>
    <w:p w:rsidR="002171FC" w:rsidRPr="002171FC" w:rsidP="002171FC" w14:paraId="6356EA20"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Vermont</w:t>
      </w:r>
    </w:p>
    <w:p w:rsidR="002171FC" w:rsidRPr="002171FC" w:rsidP="002171FC" w14:paraId="1860B6FB"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Washington</w:t>
      </w:r>
      <w:r w:rsidRPr="002171FC">
        <w:rPr>
          <w:rFonts w:eastAsia="Batang"/>
          <w:snapToGrid/>
          <w:spacing w:val="-2"/>
          <w:kern w:val="0"/>
          <w:szCs w:val="22"/>
        </w:rPr>
        <w:tab/>
      </w:r>
    </w:p>
    <w:p w:rsidR="002171FC" w:rsidRPr="002171FC" w:rsidP="002171FC" w14:paraId="51586E22" w14:textId="77777777">
      <w:pPr>
        <w:widowControl/>
        <w:spacing w:after="240"/>
        <w:ind w:firstLine="720"/>
        <w:rPr>
          <w:rFonts w:eastAsia="Batang"/>
          <w:snapToGrid/>
          <w:spacing w:val="-2"/>
          <w:kern w:val="0"/>
          <w:szCs w:val="22"/>
        </w:rPr>
      </w:pPr>
      <w:r w:rsidRPr="002171FC">
        <w:rPr>
          <w:rFonts w:eastAsia="Batang"/>
          <w:snapToGrid/>
          <w:spacing w:val="-2"/>
          <w:kern w:val="0"/>
          <w:szCs w:val="22"/>
        </w:rPr>
        <w:t>West Virginia</w:t>
      </w:r>
    </w:p>
    <w:p w:rsidR="002171FC" w:rsidRPr="002171FC" w:rsidP="00C93378" w14:paraId="4885FBF9" w14:textId="3F88C66F">
      <w:pPr>
        <w:widowControl/>
        <w:spacing w:after="120"/>
        <w:ind w:firstLine="720"/>
        <w:rPr>
          <w:rFonts w:eastAsia="Batang"/>
          <w:snapToGrid/>
          <w:spacing w:val="-2"/>
          <w:kern w:val="0"/>
          <w:szCs w:val="22"/>
        </w:rPr>
      </w:pPr>
      <w:r w:rsidRPr="002171FC">
        <w:rPr>
          <w:rFonts w:eastAsia="Batang"/>
          <w:snapToGrid/>
          <w:spacing w:val="-2"/>
          <w:kern w:val="0"/>
          <w:szCs w:val="22"/>
        </w:rPr>
        <w:t xml:space="preserve">This Public Notice supersedes </w:t>
      </w:r>
      <w:r w:rsidRPr="002171FC">
        <w:rPr>
          <w:rFonts w:eastAsia="Batang"/>
          <w:i/>
          <w:snapToGrid/>
          <w:spacing w:val="-2"/>
          <w:kern w:val="0"/>
          <w:szCs w:val="22"/>
        </w:rPr>
        <w:t>States That Have Certified That They Regulate Pole Attachments</w:t>
      </w:r>
      <w:r w:rsidRPr="00264BA4">
        <w:rPr>
          <w:rFonts w:eastAsia="Batang"/>
          <w:snapToGrid/>
          <w:spacing w:val="-2"/>
          <w:kern w:val="0"/>
          <w:szCs w:val="22"/>
        </w:rPr>
        <w:t>,</w:t>
      </w:r>
      <w:r w:rsidRPr="002171FC">
        <w:rPr>
          <w:rFonts w:eastAsia="Batang"/>
          <w:snapToGrid/>
          <w:spacing w:val="-2"/>
          <w:kern w:val="0"/>
          <w:szCs w:val="22"/>
        </w:rPr>
        <w:t xml:space="preserve"> WC Docket No. 10-101, Public Notice, </w:t>
      </w:r>
      <w:r w:rsidR="002F262E">
        <w:rPr>
          <w:rFonts w:eastAsia="Batang"/>
          <w:snapToGrid/>
          <w:spacing w:val="-2"/>
          <w:kern w:val="0"/>
          <w:szCs w:val="22"/>
        </w:rPr>
        <w:t>DA 20-122</w:t>
      </w:r>
      <w:r w:rsidRPr="002171FC">
        <w:rPr>
          <w:rFonts w:eastAsia="Batang"/>
          <w:snapToGrid/>
          <w:spacing w:val="-2"/>
          <w:kern w:val="0"/>
          <w:szCs w:val="22"/>
        </w:rPr>
        <w:t xml:space="preserve"> (</w:t>
      </w:r>
      <w:r w:rsidR="00BF673E">
        <w:rPr>
          <w:rFonts w:eastAsia="Batang"/>
          <w:snapToGrid/>
          <w:spacing w:val="-2"/>
          <w:kern w:val="0"/>
          <w:szCs w:val="22"/>
        </w:rPr>
        <w:t>WCB</w:t>
      </w:r>
      <w:r w:rsidR="002F262E">
        <w:rPr>
          <w:rFonts w:eastAsia="Batang"/>
          <w:snapToGrid/>
          <w:spacing w:val="-2"/>
          <w:kern w:val="0"/>
          <w:szCs w:val="22"/>
        </w:rPr>
        <w:t xml:space="preserve"> Feb. 3, 2020</w:t>
      </w:r>
      <w:r w:rsidRPr="002171FC">
        <w:rPr>
          <w:rFonts w:eastAsia="Batang"/>
          <w:snapToGrid/>
          <w:spacing w:val="-2"/>
          <w:kern w:val="0"/>
          <w:szCs w:val="22"/>
        </w:rPr>
        <w:t>).</w:t>
      </w:r>
    </w:p>
    <w:p w:rsidR="002171FC" w:rsidRPr="002171FC" w:rsidP="002171FC" w14:paraId="57204F54" w14:textId="77777777">
      <w:pPr>
        <w:widowControl/>
        <w:spacing w:after="240"/>
        <w:rPr>
          <w:rFonts w:eastAsia="Batang"/>
          <w:snapToGrid/>
          <w:color w:val="0000FF"/>
          <w:kern w:val="0"/>
          <w:szCs w:val="22"/>
        </w:rPr>
      </w:pPr>
      <w:r w:rsidRPr="002171FC">
        <w:rPr>
          <w:rFonts w:eastAsia="Batang"/>
          <w:snapToGrid/>
          <w:kern w:val="0"/>
          <w:szCs w:val="22"/>
        </w:rPr>
        <w:tab/>
        <w:t xml:space="preserve">For further information regarding this proceeding, contact Michael Ray, Competition Policy Division, Wireline Competition Bureau, (202) 418-0357 or </w:t>
      </w:r>
      <w:hyperlink r:id="rId5" w:history="1">
        <w:r w:rsidRPr="002171FC">
          <w:rPr>
            <w:rFonts w:eastAsia="Batang"/>
            <w:snapToGrid/>
            <w:color w:val="0000FF"/>
            <w:kern w:val="0"/>
            <w:szCs w:val="22"/>
            <w:u w:val="single"/>
          </w:rPr>
          <w:t>michael.ray@fcc.gov</w:t>
        </w:r>
      </w:hyperlink>
      <w:r w:rsidRPr="002171FC">
        <w:rPr>
          <w:rFonts w:eastAsia="Batang"/>
          <w:snapToGrid/>
          <w:kern w:val="0"/>
          <w:szCs w:val="22"/>
        </w:rPr>
        <w:t>.</w:t>
      </w:r>
    </w:p>
    <w:p w:rsidR="002171FC" w:rsidRPr="002171FC" w:rsidP="002171FC" w14:paraId="0D903B7C" w14:textId="77777777">
      <w:pPr>
        <w:widowControl/>
        <w:tabs>
          <w:tab w:val="left" w:pos="4050"/>
        </w:tabs>
        <w:spacing w:after="480" w:afterLines="200"/>
        <w:jc w:val="center"/>
        <w:rPr>
          <w:rFonts w:eastAsia="Batang"/>
          <w:b/>
          <w:snapToGrid/>
          <w:kern w:val="0"/>
          <w:szCs w:val="22"/>
        </w:rPr>
      </w:pPr>
      <w:r w:rsidRPr="002171FC">
        <w:rPr>
          <w:rFonts w:eastAsia="Batang"/>
          <w:b/>
          <w:snapToGrid/>
          <w:kern w:val="0"/>
          <w:szCs w:val="22"/>
        </w:rPr>
        <w:t>-- FCC --</w:t>
      </w:r>
    </w:p>
    <w:p w:rsidR="00930ECF" w:rsidRPr="00930ECF" w:rsidP="00F96F63" w14:paraId="595EDD13"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4271D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BA463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7FE247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4B13A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0BDE" w14:paraId="76543895" w14:textId="77777777">
      <w:r>
        <w:separator/>
      </w:r>
    </w:p>
  </w:footnote>
  <w:footnote w:type="continuationSeparator" w:id="1">
    <w:p w:rsidR="001E0BDE" w14:paraId="135AA525" w14:textId="77777777">
      <w:pPr>
        <w:rPr>
          <w:sz w:val="20"/>
        </w:rPr>
      </w:pPr>
      <w:r>
        <w:rPr>
          <w:sz w:val="20"/>
        </w:rPr>
        <w:t xml:space="preserve">(Continued from previous page)  </w:t>
      </w:r>
      <w:r>
        <w:rPr>
          <w:sz w:val="20"/>
        </w:rPr>
        <w:separator/>
      </w:r>
    </w:p>
  </w:footnote>
  <w:footnote w:type="continuationNotice" w:id="2">
    <w:p w:rsidR="001E0BDE" w:rsidP="00910F12" w14:paraId="5D774DC2" w14:textId="77777777">
      <w:pPr>
        <w:jc w:val="right"/>
        <w:rPr>
          <w:sz w:val="20"/>
        </w:rPr>
      </w:pPr>
      <w:r>
        <w:rPr>
          <w:sz w:val="20"/>
        </w:rPr>
        <w:t>(continued….)</w:t>
      </w:r>
    </w:p>
  </w:footnote>
  <w:footnote w:id="3">
    <w:p w:rsidR="002171FC" w:rsidRPr="00F33877" w:rsidP="002171FC" w14:paraId="7146C216" w14:textId="5524F80A">
      <w:pPr>
        <w:pStyle w:val="FootnoteText"/>
      </w:pPr>
      <w:r w:rsidRPr="00F33877">
        <w:rPr>
          <w:rStyle w:val="FootnoteReference"/>
        </w:rPr>
        <w:footnoteRef/>
      </w:r>
      <w:r w:rsidRPr="00F33877">
        <w:t xml:space="preserve"> Letter from </w:t>
      </w:r>
      <w:r w:rsidR="002F262E">
        <w:t>Renardo</w:t>
      </w:r>
      <w:r w:rsidR="002F262E">
        <w:t xml:space="preserve"> L. Hicks, Chief Counsel, Pennsylvania Public Utility Commission</w:t>
      </w:r>
      <w:r w:rsidRPr="00F33877">
        <w:t>, to Marlene H. Dortch, Secretary, Federal Communications Commission, WC Docket No. 10-101 (filed</w:t>
      </w:r>
      <w:r w:rsidR="002F262E">
        <w:t xml:space="preserve"> Mar. 18</w:t>
      </w:r>
      <w:r w:rsidRPr="00F33877">
        <w:t xml:space="preserve">, 2020). </w:t>
      </w:r>
    </w:p>
  </w:footnote>
  <w:footnote w:id="4">
    <w:p w:rsidR="002171FC" w:rsidRPr="00F33877" w:rsidP="002171FC" w14:paraId="4290AF1E" w14:textId="77777777">
      <w:pPr>
        <w:pStyle w:val="FootnoteText"/>
      </w:pPr>
      <w:r w:rsidRPr="00F33877">
        <w:rPr>
          <w:rStyle w:val="FootnoteReference"/>
        </w:rPr>
        <w:footnoteRef/>
      </w:r>
      <w:r w:rsidRPr="00F33877">
        <w:t xml:space="preserve"> 47 CFR § 1.1405(c).  </w:t>
      </w:r>
    </w:p>
  </w:footnote>
  <w:footnote w:id="5">
    <w:p w:rsidR="002171FC" w:rsidRPr="00F33877" w:rsidP="002171FC" w14:paraId="439AE5BE" w14:textId="77777777">
      <w:pPr>
        <w:pStyle w:val="NormalWeb"/>
        <w:spacing w:after="120"/>
        <w:rPr>
          <w:sz w:val="20"/>
          <w:szCs w:val="20"/>
        </w:rPr>
      </w:pPr>
      <w:r w:rsidRPr="00F33877">
        <w:rPr>
          <w:rStyle w:val="FootnoteReference"/>
          <w:szCs w:val="20"/>
        </w:rPr>
        <w:footnoteRef/>
      </w:r>
      <w:r w:rsidRPr="00F33877">
        <w:rPr>
          <w:sz w:val="20"/>
          <w:szCs w:val="20"/>
        </w:rPr>
        <w:t xml:space="preserve"> 47 U.S.C. § 224(c); 47 CFR § 1.1405; </w:t>
      </w:r>
      <w:r w:rsidRPr="00F33877">
        <w:rPr>
          <w:i/>
          <w:iCs/>
          <w:sz w:val="20"/>
          <w:szCs w:val="20"/>
        </w:rPr>
        <w:t xml:space="preserve">but see </w:t>
      </w:r>
      <w:r w:rsidRPr="00F33877">
        <w:rPr>
          <w:sz w:val="20"/>
          <w:szCs w:val="20"/>
        </w:rPr>
        <w:t>47 CFR § 1.1405(f) (jurisdiction will revert to th</w:t>
      </w:r>
      <w:r>
        <w:rPr>
          <w:sz w:val="20"/>
          <w:szCs w:val="20"/>
        </w:rPr>
        <w:t>e Federal Communications</w:t>
      </w:r>
      <w:r w:rsidRPr="00F33877">
        <w:rPr>
          <w:sz w:val="20"/>
          <w:szCs w:val="20"/>
        </w:rPr>
        <w:t xml:space="preserve"> Commission unless the state takes final action on a </w:t>
      </w:r>
      <w:r>
        <w:rPr>
          <w:sz w:val="20"/>
          <w:szCs w:val="20"/>
        </w:rPr>
        <w:t xml:space="preserve">pole attachment </w:t>
      </w:r>
      <w:r w:rsidRPr="00F33877">
        <w:rPr>
          <w:sz w:val="20"/>
          <w:szCs w:val="20"/>
        </w:rPr>
        <w:t xml:space="preserve">complaint </w:t>
      </w:r>
      <w:r>
        <w:rPr>
          <w:sz w:val="20"/>
          <w:szCs w:val="20"/>
        </w:rPr>
        <w:t>(1) w</w:t>
      </w:r>
      <w:r w:rsidRPr="00F33877">
        <w:rPr>
          <w:sz w:val="20"/>
          <w:szCs w:val="20"/>
        </w:rPr>
        <w:t>ithin 180 days after the complaint is filed with the state, or</w:t>
      </w:r>
      <w:r>
        <w:rPr>
          <w:sz w:val="20"/>
          <w:szCs w:val="20"/>
        </w:rPr>
        <w:t xml:space="preserve"> (2) wi</w:t>
      </w:r>
      <w:r w:rsidRPr="00F33877">
        <w:rPr>
          <w:sz w:val="20"/>
          <w:szCs w:val="20"/>
        </w:rPr>
        <w:t xml:space="preserve">thin the applicable period </w:t>
      </w:r>
      <w:r>
        <w:rPr>
          <w:sz w:val="20"/>
          <w:szCs w:val="20"/>
        </w:rPr>
        <w:t xml:space="preserve">established by the state </w:t>
      </w:r>
      <w:r w:rsidRPr="00F33877">
        <w:rPr>
          <w:sz w:val="20"/>
          <w:szCs w:val="20"/>
        </w:rPr>
        <w:t xml:space="preserve">for final action, </w:t>
      </w:r>
      <w:r>
        <w:rPr>
          <w:sz w:val="20"/>
          <w:szCs w:val="20"/>
        </w:rPr>
        <w:t xml:space="preserve">so long as </w:t>
      </w:r>
      <w:r w:rsidRPr="00F33877">
        <w:rPr>
          <w:sz w:val="20"/>
          <w:szCs w:val="20"/>
        </w:rPr>
        <w:t xml:space="preserve">the period does not extend beyond 360 days after the filing of </w:t>
      </w:r>
      <w:r>
        <w:rPr>
          <w:sz w:val="20"/>
          <w:szCs w:val="20"/>
        </w:rPr>
        <w:t xml:space="preserve">a </w:t>
      </w:r>
      <w:r w:rsidRPr="00F33877">
        <w:rPr>
          <w:sz w:val="20"/>
          <w:szCs w:val="20"/>
        </w:rPr>
        <w:t>complaint</w:t>
      </w:r>
      <w:r>
        <w:rPr>
          <w:sz w:val="20"/>
          <w:szCs w:val="20"/>
        </w:rPr>
        <w:t xml:space="preserve"> with the state).</w:t>
      </w:r>
    </w:p>
  </w:footnote>
  <w:footnote w:id="6">
    <w:p w:rsidR="002171FC" w:rsidRPr="00F33877" w:rsidP="002171FC" w14:paraId="286C8DAE" w14:textId="77777777">
      <w:pPr>
        <w:pStyle w:val="FootnoteText"/>
      </w:pPr>
      <w:r w:rsidRPr="00F33877">
        <w:rPr>
          <w:rStyle w:val="FootnoteReference"/>
        </w:rPr>
        <w:footnoteRef/>
      </w:r>
      <w:r w:rsidRPr="00F33877">
        <w:t xml:space="preserve"> 47 CFR § 1.14</w:t>
      </w:r>
      <w:r>
        <w:t>05</w:t>
      </w:r>
      <w:r w:rsidRPr="00F33877">
        <w:t>(</w:t>
      </w:r>
      <w:r>
        <w:t>c</w:t>
      </w:r>
      <w:r w:rsidRPr="00F338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D19D161" w14:textId="48155C61">
    <w:pPr>
      <w:tabs>
        <w:tab w:val="center" w:pos="4680"/>
        <w:tab w:val="right" w:pos="9360"/>
      </w:tabs>
    </w:pPr>
    <w:r w:rsidRPr="009838BC">
      <w:rPr>
        <w:b/>
      </w:rPr>
      <w:tab/>
      <w:t>Federal Communications Commission</w:t>
    </w:r>
    <w:r w:rsidRPr="009838BC">
      <w:rPr>
        <w:b/>
      </w:rPr>
      <w:tab/>
    </w:r>
    <w:r w:rsidR="00C93378">
      <w:rPr>
        <w:b/>
      </w:rPr>
      <w:t>DA 20-</w:t>
    </w:r>
    <w:r w:rsidR="00380D4B">
      <w:rPr>
        <w:b/>
      </w:rPr>
      <w:t>302</w:t>
    </w:r>
  </w:p>
  <w:p w:rsidR="009838BC" w:rsidRPr="009838BC" w:rsidP="009838BC" w14:paraId="1282741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31AD82B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F0FC5C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4E5EF2FE" w14:textId="77777777">
                <w:pPr>
                  <w:rPr>
                    <w:rFonts w:ascii="Arial" w:hAnsi="Arial"/>
                    <w:b/>
                  </w:rPr>
                </w:pPr>
                <w:r>
                  <w:rPr>
                    <w:rFonts w:ascii="Arial" w:hAnsi="Arial"/>
                    <w:b/>
                  </w:rPr>
                  <w:t>Federal Communications Commission</w:t>
                </w:r>
              </w:p>
              <w:p w:rsidR="009838BC" w:rsidP="009838BC" w14:paraId="2B9CD1F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A2ED1F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F7193A">
      <w:rPr>
        <w:rFonts w:ascii="Arial" w:hAnsi="Arial" w:cs="Arial"/>
        <w:b/>
        <w:sz w:val="96"/>
      </w:rPr>
      <w:t>PUBLIC NOTICE</w:t>
    </w:r>
  </w:p>
  <w:p w:rsidR="009838BC" w:rsidRPr="00357D50" w:rsidP="009838BC" w14:paraId="6B227F1D"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2928.8pt,56.7pt" to="3396.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635F24A" w14:textId="77777777">
                <w:pPr>
                  <w:spacing w:before="40"/>
                  <w:jc w:val="right"/>
                  <w:rPr>
                    <w:rFonts w:ascii="Arial" w:hAnsi="Arial"/>
                    <w:b/>
                    <w:sz w:val="16"/>
                  </w:rPr>
                </w:pPr>
                <w:r>
                  <w:rPr>
                    <w:rFonts w:ascii="Arial" w:hAnsi="Arial"/>
                    <w:b/>
                    <w:sz w:val="16"/>
                  </w:rPr>
                  <w:t>News Media Information 202 / 418-0500</w:t>
                </w:r>
              </w:p>
              <w:p w:rsidR="009838BC" w:rsidP="009838BC" w14:paraId="5E9CBFA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E720B91" w14:textId="77777777">
                <w:pPr>
                  <w:jc w:val="right"/>
                </w:pPr>
                <w:r>
                  <w:rPr>
                    <w:rFonts w:ascii="Arial" w:hAnsi="Arial"/>
                    <w:b/>
                    <w:sz w:val="16"/>
                  </w:rPr>
                  <w:t>TTY: 1-888-835-5322</w:t>
                </w:r>
              </w:p>
            </w:txbxContent>
          </v:textbox>
        </v:shape>
      </w:pict>
    </w:r>
  </w:p>
  <w:p w:rsidR="006F7393" w:rsidRPr="009838BC" w:rsidP="009838BC" w14:paraId="25735AF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C"/>
    <w:rsid w:val="000072CE"/>
    <w:rsid w:val="00013A8B"/>
    <w:rsid w:val="00021445"/>
    <w:rsid w:val="00036039"/>
    <w:rsid w:val="00037F90"/>
    <w:rsid w:val="00073158"/>
    <w:rsid w:val="000875BF"/>
    <w:rsid w:val="00096D8C"/>
    <w:rsid w:val="000C0B65"/>
    <w:rsid w:val="000E3D42"/>
    <w:rsid w:val="000E5884"/>
    <w:rsid w:val="00115751"/>
    <w:rsid w:val="00122BD5"/>
    <w:rsid w:val="001909C8"/>
    <w:rsid w:val="001979D9"/>
    <w:rsid w:val="001D6BCF"/>
    <w:rsid w:val="001E01CA"/>
    <w:rsid w:val="001E0BDE"/>
    <w:rsid w:val="002060D9"/>
    <w:rsid w:val="002171FC"/>
    <w:rsid w:val="00226822"/>
    <w:rsid w:val="00260594"/>
    <w:rsid w:val="00264BA4"/>
    <w:rsid w:val="00285017"/>
    <w:rsid w:val="002A2D2E"/>
    <w:rsid w:val="002F262E"/>
    <w:rsid w:val="00343749"/>
    <w:rsid w:val="00357D50"/>
    <w:rsid w:val="00380D4B"/>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21EC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326E3"/>
    <w:rsid w:val="00B42743"/>
    <w:rsid w:val="00B811F7"/>
    <w:rsid w:val="00BA5DC6"/>
    <w:rsid w:val="00BA6196"/>
    <w:rsid w:val="00BC6D8C"/>
    <w:rsid w:val="00BF673E"/>
    <w:rsid w:val="00C16AF2"/>
    <w:rsid w:val="00C34006"/>
    <w:rsid w:val="00C426B1"/>
    <w:rsid w:val="00C82B6B"/>
    <w:rsid w:val="00C90D6A"/>
    <w:rsid w:val="00C93378"/>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33877"/>
    <w:rsid w:val="00F57ACA"/>
    <w:rsid w:val="00F62E97"/>
    <w:rsid w:val="00F64209"/>
    <w:rsid w:val="00F7193A"/>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D539C9-542F-48C8-8D97-0BDB29D2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NormalWeb">
    <w:name w:val="Normal (Web)"/>
    <w:basedOn w:val="Normal"/>
    <w:uiPriority w:val="99"/>
    <w:semiHidden/>
    <w:unhideWhenUsed/>
    <w:rsid w:val="002171FC"/>
    <w:rPr>
      <w:sz w:val="24"/>
      <w:szCs w:val="24"/>
    </w:rPr>
  </w:style>
  <w:style w:type="character" w:styleId="CommentReference">
    <w:name w:val="annotation reference"/>
    <w:uiPriority w:val="99"/>
    <w:semiHidden/>
    <w:unhideWhenUsed/>
    <w:rsid w:val="00073158"/>
    <w:rPr>
      <w:sz w:val="16"/>
      <w:szCs w:val="16"/>
    </w:rPr>
  </w:style>
  <w:style w:type="paragraph" w:styleId="CommentText">
    <w:name w:val="annotation text"/>
    <w:basedOn w:val="Normal"/>
    <w:link w:val="CommentTextChar"/>
    <w:uiPriority w:val="99"/>
    <w:semiHidden/>
    <w:unhideWhenUsed/>
    <w:rsid w:val="00073158"/>
    <w:rPr>
      <w:sz w:val="20"/>
    </w:rPr>
  </w:style>
  <w:style w:type="character" w:customStyle="1" w:styleId="CommentTextChar">
    <w:name w:val="Comment Text Char"/>
    <w:link w:val="CommentText"/>
    <w:uiPriority w:val="99"/>
    <w:semiHidden/>
    <w:rsid w:val="00073158"/>
    <w:rPr>
      <w:snapToGrid w:val="0"/>
      <w:kern w:val="28"/>
    </w:rPr>
  </w:style>
  <w:style w:type="paragraph" w:styleId="CommentSubject">
    <w:name w:val="annotation subject"/>
    <w:basedOn w:val="CommentText"/>
    <w:next w:val="CommentText"/>
    <w:link w:val="CommentSubjectChar"/>
    <w:uiPriority w:val="99"/>
    <w:semiHidden/>
    <w:unhideWhenUsed/>
    <w:rsid w:val="00073158"/>
    <w:rPr>
      <w:b/>
      <w:bCs/>
    </w:rPr>
  </w:style>
  <w:style w:type="character" w:customStyle="1" w:styleId="CommentSubjectChar">
    <w:name w:val="Comment Subject Char"/>
    <w:link w:val="CommentSubject"/>
    <w:uiPriority w:val="99"/>
    <w:semiHidden/>
    <w:rsid w:val="00073158"/>
    <w:rPr>
      <w:b/>
      <w:bCs/>
      <w:snapToGrid w:val="0"/>
      <w:kern w:val="28"/>
    </w:rPr>
  </w:style>
  <w:style w:type="paragraph" w:styleId="BalloonText">
    <w:name w:val="Balloon Text"/>
    <w:basedOn w:val="Normal"/>
    <w:link w:val="BalloonTextChar"/>
    <w:uiPriority w:val="99"/>
    <w:semiHidden/>
    <w:unhideWhenUsed/>
    <w:rsid w:val="00073158"/>
    <w:rPr>
      <w:rFonts w:ascii="Segoe UI" w:hAnsi="Segoe UI" w:cs="Segoe UI"/>
      <w:sz w:val="18"/>
      <w:szCs w:val="18"/>
    </w:rPr>
  </w:style>
  <w:style w:type="character" w:customStyle="1" w:styleId="BalloonTextChar">
    <w:name w:val="Balloon Text Char"/>
    <w:link w:val="BalloonText"/>
    <w:uiPriority w:val="99"/>
    <w:semiHidden/>
    <w:rsid w:val="0007315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ray@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